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0.xml" ContentType="application/vnd.openxmlformats-officedocument.drawingml.chart+xml"/>
  <Override PartName="/word/drawings/drawing1.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55.xml" ContentType="application/vnd.openxmlformats-officedocument.drawingml.chart+xml"/>
  <Override PartName="/word/theme/themeOverride5.xml" ContentType="application/vnd.openxmlformats-officedocument.themeOverride+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theme/themeOverride6.xml" ContentType="application/vnd.openxmlformats-officedocument.themeOverride+xml"/>
  <Override PartName="/word/charts/chart62.xml" ContentType="application/vnd.openxmlformats-officedocument.drawingml.chart+xml"/>
  <Override PartName="/word/charts/chart6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64.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65.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theme/themeOverride10.xml" ContentType="application/vnd.openxmlformats-officedocument.themeOverride+xml"/>
  <Override PartName="/word/charts/chart71.xml" ContentType="application/vnd.openxmlformats-officedocument.drawingml.chart+xml"/>
  <Override PartName="/word/theme/themeOverride11.xml" ContentType="application/vnd.openxmlformats-officedocument.themeOverride+xml"/>
  <Override PartName="/word/drawings/drawing5.xml" ContentType="application/vnd.openxmlformats-officedocument.drawingml.chartshapes+xml"/>
  <Override PartName="/word/charts/chart72.xml" ContentType="application/vnd.openxmlformats-officedocument.drawingml.chart+xml"/>
  <Override PartName="/word/theme/themeOverride12.xml" ContentType="application/vnd.openxmlformats-officedocument.themeOverride+xml"/>
  <Override PartName="/word/drawings/drawing6.xml" ContentType="application/vnd.openxmlformats-officedocument.drawingml.chartshapes+xml"/>
  <Override PartName="/word/charts/chart73.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theme/themeOverride14.xml" ContentType="application/vnd.openxmlformats-officedocument.themeOverride+xml"/>
  <Override PartName="/word/charts/chart81.xml" ContentType="application/vnd.openxmlformats-officedocument.drawingml.chart+xml"/>
  <Override PartName="/word/theme/themeOverride15.xml" ContentType="application/vnd.openxmlformats-officedocument.themeOverride+xml"/>
  <Override PartName="/word/charts/chart82.xml" ContentType="application/vnd.openxmlformats-officedocument.drawingml.chart+xml"/>
  <Override PartName="/word/theme/themeOverride16.xml" ContentType="application/vnd.openxmlformats-officedocument.themeOverride+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theme/themeOverride17.xml" ContentType="application/vnd.openxmlformats-officedocument.themeOverride+xml"/>
  <Override PartName="/word/charts/chart87.xml" ContentType="application/vnd.openxmlformats-officedocument.drawingml.chart+xml"/>
  <Override PartName="/word/theme/themeOverride18.xml" ContentType="application/vnd.openxmlformats-officedocument.themeOverride+xml"/>
  <Override PartName="/word/charts/chart8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9.xml" ContentType="application/vnd.openxmlformats-officedocument.themeOverride+xml"/>
  <Override PartName="/word/charts/chart8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theme/themeOverride20.xml" ContentType="application/vnd.openxmlformats-officedocument.themeOverride+xml"/>
  <Override PartName="/word/charts/chart100.xml" ContentType="application/vnd.openxmlformats-officedocument.drawingml.chart+xml"/>
  <Override PartName="/word/theme/themeOverride21.xml" ContentType="application/vnd.openxmlformats-officedocument.themeOverride+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theme/themeOverride22.xml" ContentType="application/vnd.openxmlformats-officedocument.themeOverride+xml"/>
  <Override PartName="/word/charts/chart10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0.xml" ContentType="application/vnd.openxmlformats-officedocument.drawingml.chart+xml"/>
  <Override PartName="/word/theme/themeOverride23.xml" ContentType="application/vnd.openxmlformats-officedocument.themeOverride+xml"/>
  <Override PartName="/word/charts/chart111.xml" ContentType="application/vnd.openxmlformats-officedocument.drawingml.chart+xml"/>
  <Override PartName="/word/theme/themeOverride24.xml" ContentType="application/vnd.openxmlformats-officedocument.themeOverride+xml"/>
  <Override PartName="/word/charts/chart112.xml" ContentType="application/vnd.openxmlformats-officedocument.drawingml.chart+xml"/>
  <Override PartName="/word/charts/chart113.xml" ContentType="application/vnd.openxmlformats-officedocument.drawingml.chart+xml"/>
  <Override PartName="/word/theme/themeOverride25.xml" ContentType="application/vnd.openxmlformats-officedocument.themeOverride+xml"/>
  <Override PartName="/word/charts/chart114.xml" ContentType="application/vnd.openxmlformats-officedocument.drawingml.chart+xml"/>
  <Override PartName="/word/charts/chart115.xml" ContentType="application/vnd.openxmlformats-officedocument.drawingml.chart+xml"/>
  <Override PartName="/word/theme/themeOverride26.xml" ContentType="application/vnd.openxmlformats-officedocument.themeOverride+xml"/>
  <Override PartName="/word/charts/chart116.xml" ContentType="application/vnd.openxmlformats-officedocument.drawingml.chart+xml"/>
  <Override PartName="/word/theme/themeOverride27.xml" ContentType="application/vnd.openxmlformats-officedocument.themeOverride+xml"/>
  <Override PartName="/word/charts/chart117.xml" ContentType="application/vnd.openxmlformats-officedocument.drawingml.chart+xml"/>
  <Override PartName="/word/theme/themeOverride28.xml" ContentType="application/vnd.openxmlformats-officedocument.themeOverride+xml"/>
  <Override PartName="/word/charts/chart118.xml" ContentType="application/vnd.openxmlformats-officedocument.drawingml.chart+xml"/>
  <Override PartName="/word/theme/themeOverride29.xml" ContentType="application/vnd.openxmlformats-officedocument.themeOverride+xml"/>
  <Override PartName="/word/charts/chart119.xml" ContentType="application/vnd.openxmlformats-officedocument.drawingml.chart+xml"/>
  <Override PartName="/word/theme/themeOverride30.xml" ContentType="application/vnd.openxmlformats-officedocument.themeOverride+xml"/>
  <Override PartName="/word/charts/chart120.xml" ContentType="application/vnd.openxmlformats-officedocument.drawingml.chart+xml"/>
  <Override PartName="/word/theme/themeOverride31.xml" ContentType="application/vnd.openxmlformats-officedocument.themeOverride+xml"/>
  <Override PartName="/word/charts/chart121.xml" ContentType="application/vnd.openxmlformats-officedocument.drawingml.chart+xml"/>
  <Override PartName="/word/theme/themeOverride32.xml" ContentType="application/vnd.openxmlformats-officedocument.themeOverride+xml"/>
  <Override PartName="/word/charts/chart122.xml" ContentType="application/vnd.openxmlformats-officedocument.drawingml.chart+xml"/>
  <Override PartName="/word/theme/themeOverride33.xml" ContentType="application/vnd.openxmlformats-officedocument.themeOverride+xml"/>
  <Override PartName="/word/charts/chart123.xml" ContentType="application/vnd.openxmlformats-officedocument.drawingml.chart+xml"/>
  <Override PartName="/word/theme/themeOverride34.xml" ContentType="application/vnd.openxmlformats-officedocument.themeOverride+xml"/>
  <Override PartName="/word/charts/chart124.xml" ContentType="application/vnd.openxmlformats-officedocument.drawingml.chart+xml"/>
  <Override PartName="/word/theme/themeOverride35.xml" ContentType="application/vnd.openxmlformats-officedocument.themeOverride+xml"/>
  <Override PartName="/word/charts/chart125.xml" ContentType="application/vnd.openxmlformats-officedocument.drawingml.chart+xml"/>
  <Override PartName="/word/theme/themeOverride36.xml" ContentType="application/vnd.openxmlformats-officedocument.themeOverride+xml"/>
  <Override PartName="/word/charts/chart126.xml" ContentType="application/vnd.openxmlformats-officedocument.drawingml.chart+xml"/>
  <Override PartName="/word/theme/themeOverride37.xml" ContentType="application/vnd.openxmlformats-officedocument.themeOverride+xml"/>
  <Override PartName="/word/charts/chart127.xml" ContentType="application/vnd.openxmlformats-officedocument.drawingml.chart+xml"/>
  <Override PartName="/word/theme/themeOverride38.xml" ContentType="application/vnd.openxmlformats-officedocument.themeOverride+xml"/>
  <Override PartName="/word/charts/chart128.xml" ContentType="application/vnd.openxmlformats-officedocument.drawingml.chart+xml"/>
  <Override PartName="/word/theme/themeOverride39.xml" ContentType="application/vnd.openxmlformats-officedocument.themeOverride+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422" w:rsidRPr="00315335" w:rsidRDefault="00083422" w:rsidP="00953D47">
      <w:pPr>
        <w:spacing w:after="0" w:line="240" w:lineRule="auto"/>
        <w:jc w:val="center"/>
        <w:rPr>
          <w:rFonts w:ascii="Arial" w:hAnsi="Arial" w:cs="Arial"/>
          <w:b/>
          <w:sz w:val="40"/>
          <w:szCs w:val="40"/>
        </w:rPr>
      </w:pPr>
    </w:p>
    <w:p w:rsidR="00083422" w:rsidRPr="00315335" w:rsidRDefault="00083422" w:rsidP="00953D47">
      <w:pPr>
        <w:spacing w:after="0" w:line="240" w:lineRule="auto"/>
        <w:jc w:val="center"/>
        <w:rPr>
          <w:rFonts w:ascii="Arial" w:hAnsi="Arial" w:cs="Arial"/>
          <w:b/>
          <w:sz w:val="40"/>
          <w:szCs w:val="40"/>
        </w:rPr>
      </w:pPr>
    </w:p>
    <w:p w:rsidR="00953D47" w:rsidRPr="00315335" w:rsidRDefault="00953D47" w:rsidP="00953D47">
      <w:pPr>
        <w:spacing w:after="0" w:line="240" w:lineRule="auto"/>
        <w:jc w:val="center"/>
        <w:rPr>
          <w:rFonts w:ascii="Arial" w:hAnsi="Arial" w:cs="Arial"/>
          <w:b/>
          <w:sz w:val="40"/>
          <w:szCs w:val="40"/>
        </w:rPr>
      </w:pPr>
      <w:r w:rsidRPr="00315335">
        <w:rPr>
          <w:rFonts w:ascii="Arial" w:hAnsi="Arial" w:cs="Arial"/>
          <w:b/>
          <w:sz w:val="40"/>
          <w:szCs w:val="40"/>
        </w:rPr>
        <w:t>APM  BRĂILA</w:t>
      </w:r>
    </w:p>
    <w:p w:rsidR="00953D47" w:rsidRPr="00315335" w:rsidRDefault="00953D47" w:rsidP="00953D47">
      <w:pPr>
        <w:spacing w:after="0" w:line="240" w:lineRule="auto"/>
        <w:rPr>
          <w:rFonts w:ascii="Arial" w:hAnsi="Arial" w:cs="Arial"/>
          <w:sz w:val="24"/>
          <w:szCs w:val="24"/>
        </w:rPr>
      </w:pPr>
    </w:p>
    <w:p w:rsidR="00953D47" w:rsidRPr="00315335" w:rsidRDefault="00953D47" w:rsidP="00953D47">
      <w:pPr>
        <w:spacing w:after="0" w:line="240" w:lineRule="auto"/>
        <w:rPr>
          <w:rFonts w:ascii="Arial" w:hAnsi="Arial" w:cs="Arial"/>
          <w:sz w:val="24"/>
          <w:szCs w:val="24"/>
        </w:rPr>
      </w:pPr>
    </w:p>
    <w:p w:rsidR="00953D47" w:rsidRPr="00315335" w:rsidRDefault="00953D47" w:rsidP="00953D47">
      <w:pPr>
        <w:spacing w:after="0" w:line="240" w:lineRule="auto"/>
        <w:rPr>
          <w:rFonts w:ascii="Arial" w:hAnsi="Arial" w:cs="Arial"/>
          <w:sz w:val="24"/>
          <w:szCs w:val="24"/>
        </w:rPr>
      </w:pPr>
    </w:p>
    <w:p w:rsidR="00953D47" w:rsidRPr="00315335" w:rsidRDefault="00953D47" w:rsidP="00953D47">
      <w:pPr>
        <w:spacing w:after="0" w:line="240" w:lineRule="auto"/>
        <w:rPr>
          <w:rFonts w:ascii="Arial" w:hAnsi="Arial" w:cs="Arial"/>
          <w:sz w:val="24"/>
          <w:szCs w:val="24"/>
        </w:rPr>
      </w:pPr>
    </w:p>
    <w:p w:rsidR="00953D47" w:rsidRPr="00315335" w:rsidRDefault="00953D47" w:rsidP="00953D47">
      <w:pPr>
        <w:spacing w:after="0" w:line="240" w:lineRule="auto"/>
        <w:rPr>
          <w:rFonts w:ascii="Arial" w:hAnsi="Arial" w:cs="Arial"/>
          <w:sz w:val="24"/>
          <w:szCs w:val="24"/>
        </w:rPr>
      </w:pPr>
    </w:p>
    <w:p w:rsidR="00953D47" w:rsidRPr="00315335" w:rsidRDefault="00953D47" w:rsidP="00953D47">
      <w:pPr>
        <w:spacing w:after="0" w:line="240" w:lineRule="auto"/>
        <w:rPr>
          <w:rFonts w:ascii="Arial" w:hAnsi="Arial" w:cs="Arial"/>
          <w:sz w:val="24"/>
          <w:szCs w:val="24"/>
        </w:rPr>
      </w:pPr>
    </w:p>
    <w:p w:rsidR="00953D47" w:rsidRPr="00315335" w:rsidRDefault="00953D47" w:rsidP="00953D47">
      <w:pPr>
        <w:spacing w:after="0" w:line="240" w:lineRule="auto"/>
        <w:rPr>
          <w:rFonts w:ascii="Arial" w:hAnsi="Arial" w:cs="Arial"/>
          <w:sz w:val="24"/>
          <w:szCs w:val="24"/>
        </w:rPr>
      </w:pPr>
    </w:p>
    <w:p w:rsidR="00953D47" w:rsidRPr="00315335" w:rsidRDefault="00953D47" w:rsidP="00953D47">
      <w:pPr>
        <w:spacing w:after="0" w:line="240" w:lineRule="auto"/>
        <w:rPr>
          <w:rFonts w:ascii="Arial" w:hAnsi="Arial" w:cs="Arial"/>
          <w:sz w:val="24"/>
          <w:szCs w:val="24"/>
        </w:rPr>
      </w:pPr>
    </w:p>
    <w:p w:rsidR="00953D47" w:rsidRPr="00315335" w:rsidRDefault="00953D47" w:rsidP="00953D47">
      <w:pPr>
        <w:spacing w:after="0" w:line="240" w:lineRule="auto"/>
        <w:rPr>
          <w:rFonts w:ascii="Arial" w:hAnsi="Arial" w:cs="Arial"/>
          <w:sz w:val="24"/>
          <w:szCs w:val="24"/>
        </w:rPr>
      </w:pPr>
    </w:p>
    <w:p w:rsidR="00953D47" w:rsidRPr="00315335" w:rsidRDefault="00953D47" w:rsidP="00953D47">
      <w:pPr>
        <w:spacing w:after="0" w:line="240" w:lineRule="auto"/>
        <w:jc w:val="center"/>
        <w:rPr>
          <w:rFonts w:ascii="Arial" w:hAnsi="Arial" w:cs="Arial"/>
          <w:b/>
          <w:sz w:val="36"/>
          <w:szCs w:val="36"/>
        </w:rPr>
      </w:pPr>
      <w:r w:rsidRPr="00315335">
        <w:rPr>
          <w:rFonts w:ascii="Arial" w:hAnsi="Arial" w:cs="Arial"/>
          <w:b/>
          <w:sz w:val="36"/>
          <w:szCs w:val="36"/>
        </w:rPr>
        <w:t xml:space="preserve">RAPORTUL ANUAL </w:t>
      </w:r>
    </w:p>
    <w:p w:rsidR="00083422" w:rsidRPr="00315335" w:rsidRDefault="00083422"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r w:rsidRPr="00315335">
        <w:rPr>
          <w:rFonts w:ascii="Arial" w:hAnsi="Arial" w:cs="Arial"/>
          <w:b/>
          <w:sz w:val="36"/>
          <w:szCs w:val="36"/>
        </w:rPr>
        <w:t>PRIVIND STAREA MEDIULUI PENTRU JUDEȚUL BRĂILA</w:t>
      </w: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083422" w:rsidRPr="00315335" w:rsidRDefault="00953D47" w:rsidP="00953D47">
      <w:pPr>
        <w:spacing w:after="0" w:line="240" w:lineRule="auto"/>
        <w:jc w:val="center"/>
        <w:rPr>
          <w:rFonts w:ascii="Arial" w:hAnsi="Arial" w:cs="Arial"/>
          <w:b/>
          <w:sz w:val="36"/>
          <w:szCs w:val="36"/>
        </w:rPr>
      </w:pPr>
      <w:r w:rsidRPr="00315335">
        <w:rPr>
          <w:rFonts w:ascii="Arial" w:hAnsi="Arial" w:cs="Arial"/>
          <w:b/>
          <w:sz w:val="36"/>
          <w:szCs w:val="36"/>
        </w:rPr>
        <w:t xml:space="preserve"> </w:t>
      </w:r>
    </w:p>
    <w:p w:rsidR="00083422" w:rsidRPr="00315335" w:rsidRDefault="00083422" w:rsidP="00953D47">
      <w:pPr>
        <w:spacing w:after="0" w:line="240" w:lineRule="auto"/>
        <w:jc w:val="center"/>
        <w:rPr>
          <w:rFonts w:ascii="Arial" w:hAnsi="Arial" w:cs="Arial"/>
          <w:b/>
          <w:sz w:val="36"/>
          <w:szCs w:val="36"/>
        </w:rPr>
      </w:pPr>
    </w:p>
    <w:p w:rsidR="00953D47" w:rsidRPr="00315335" w:rsidRDefault="003F7191" w:rsidP="00953D47">
      <w:pPr>
        <w:spacing w:after="0" w:line="240" w:lineRule="auto"/>
        <w:jc w:val="center"/>
        <w:rPr>
          <w:rFonts w:ascii="Arial" w:hAnsi="Arial" w:cs="Arial"/>
          <w:b/>
          <w:sz w:val="36"/>
          <w:szCs w:val="36"/>
        </w:rPr>
      </w:pPr>
      <w:r w:rsidRPr="00315335">
        <w:rPr>
          <w:rFonts w:ascii="Arial" w:hAnsi="Arial" w:cs="Arial"/>
          <w:b/>
          <w:sz w:val="36"/>
          <w:szCs w:val="36"/>
        </w:rPr>
        <w:t xml:space="preserve"> ANUL 2018</w:t>
      </w: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36"/>
          <w:szCs w:val="36"/>
        </w:rPr>
      </w:pPr>
    </w:p>
    <w:p w:rsidR="00953D47" w:rsidRPr="00315335" w:rsidRDefault="00953D47" w:rsidP="00953D47">
      <w:pPr>
        <w:spacing w:after="0" w:line="240" w:lineRule="auto"/>
        <w:jc w:val="center"/>
        <w:rPr>
          <w:rFonts w:ascii="Arial" w:hAnsi="Arial" w:cs="Arial"/>
          <w:b/>
          <w:sz w:val="24"/>
          <w:szCs w:val="24"/>
        </w:rPr>
      </w:pPr>
    </w:p>
    <w:p w:rsidR="00953D47" w:rsidRPr="00315335" w:rsidRDefault="00953D47" w:rsidP="00953D47">
      <w:pPr>
        <w:spacing w:after="0" w:line="240" w:lineRule="auto"/>
        <w:jc w:val="center"/>
        <w:rPr>
          <w:rFonts w:ascii="Arial" w:hAnsi="Arial" w:cs="Arial"/>
          <w:b/>
          <w:sz w:val="28"/>
          <w:szCs w:val="28"/>
        </w:rPr>
      </w:pPr>
    </w:p>
    <w:p w:rsidR="00953D47" w:rsidRPr="00315335" w:rsidRDefault="00953D47" w:rsidP="00953D47">
      <w:pPr>
        <w:spacing w:after="0" w:line="240" w:lineRule="auto"/>
        <w:jc w:val="center"/>
        <w:rPr>
          <w:rFonts w:ascii="Arial" w:hAnsi="Arial" w:cs="Arial"/>
          <w:b/>
          <w:sz w:val="28"/>
          <w:szCs w:val="28"/>
        </w:rPr>
      </w:pPr>
    </w:p>
    <w:p w:rsidR="00953D47" w:rsidRPr="00315335" w:rsidRDefault="00953D47" w:rsidP="00953D47">
      <w:pPr>
        <w:spacing w:after="0" w:line="240" w:lineRule="auto"/>
        <w:jc w:val="center"/>
        <w:rPr>
          <w:rFonts w:ascii="Arial" w:hAnsi="Arial" w:cs="Arial"/>
          <w:b/>
          <w:sz w:val="28"/>
          <w:szCs w:val="28"/>
        </w:rPr>
      </w:pPr>
    </w:p>
    <w:p w:rsidR="00953D47" w:rsidRPr="00315335" w:rsidRDefault="00953D47" w:rsidP="00953D47">
      <w:pPr>
        <w:spacing w:after="0" w:line="240" w:lineRule="auto"/>
        <w:jc w:val="center"/>
        <w:rPr>
          <w:rFonts w:ascii="Arial" w:hAnsi="Arial" w:cs="Arial"/>
          <w:b/>
          <w:sz w:val="28"/>
          <w:szCs w:val="28"/>
        </w:rPr>
      </w:pPr>
    </w:p>
    <w:p w:rsidR="00953D47" w:rsidRPr="00315335" w:rsidRDefault="00953D47" w:rsidP="00953D47">
      <w:pPr>
        <w:spacing w:after="0" w:line="240" w:lineRule="auto"/>
        <w:jc w:val="center"/>
        <w:rPr>
          <w:rFonts w:ascii="Arial" w:hAnsi="Arial" w:cs="Arial"/>
          <w:b/>
          <w:sz w:val="28"/>
          <w:szCs w:val="28"/>
        </w:rPr>
      </w:pPr>
    </w:p>
    <w:p w:rsidR="00A82794" w:rsidRPr="00315335" w:rsidRDefault="00A82794" w:rsidP="00A82794">
      <w:pPr>
        <w:spacing w:after="0" w:line="240" w:lineRule="auto"/>
        <w:jc w:val="center"/>
        <w:rPr>
          <w:rFonts w:ascii="Arial" w:hAnsi="Arial" w:cs="Arial"/>
          <w:b/>
          <w:sz w:val="28"/>
          <w:szCs w:val="28"/>
        </w:rPr>
      </w:pPr>
    </w:p>
    <w:p w:rsidR="005D400E" w:rsidRPr="00315335" w:rsidRDefault="005D400E" w:rsidP="00A82794">
      <w:pPr>
        <w:spacing w:after="0" w:line="240" w:lineRule="auto"/>
        <w:jc w:val="center"/>
        <w:rPr>
          <w:rFonts w:ascii="Arial" w:hAnsi="Arial" w:cs="Arial"/>
          <w:b/>
          <w:sz w:val="28"/>
          <w:szCs w:val="28"/>
        </w:rPr>
      </w:pPr>
    </w:p>
    <w:p w:rsidR="005D400E" w:rsidRPr="00315335" w:rsidRDefault="005D400E" w:rsidP="00A82794">
      <w:pPr>
        <w:spacing w:after="0" w:line="240" w:lineRule="auto"/>
        <w:jc w:val="center"/>
        <w:rPr>
          <w:rFonts w:ascii="Arial" w:hAnsi="Arial" w:cs="Arial"/>
          <w:b/>
          <w:sz w:val="28"/>
          <w:szCs w:val="28"/>
        </w:rPr>
      </w:pPr>
    </w:p>
    <w:p w:rsidR="00A82794" w:rsidRPr="00315335" w:rsidRDefault="00A82794" w:rsidP="00A82794">
      <w:pPr>
        <w:spacing w:after="0" w:line="240" w:lineRule="auto"/>
        <w:jc w:val="center"/>
        <w:rPr>
          <w:rFonts w:ascii="Arial" w:hAnsi="Arial" w:cs="Arial"/>
          <w:b/>
          <w:sz w:val="28"/>
          <w:szCs w:val="28"/>
        </w:rPr>
      </w:pPr>
      <w:r w:rsidRPr="00315335">
        <w:rPr>
          <w:rFonts w:ascii="Arial" w:hAnsi="Arial" w:cs="Arial"/>
          <w:b/>
          <w:sz w:val="28"/>
          <w:szCs w:val="28"/>
        </w:rPr>
        <w:lastRenderedPageBreak/>
        <w:t xml:space="preserve">CUPRINS </w:t>
      </w:r>
    </w:p>
    <w:p w:rsidR="00A82794" w:rsidRPr="00315335" w:rsidRDefault="00A82794" w:rsidP="00A82794">
      <w:pPr>
        <w:spacing w:after="0" w:line="240" w:lineRule="auto"/>
        <w:ind w:left="720"/>
        <w:rPr>
          <w:rFonts w:ascii="Arial" w:hAnsi="Arial" w:cs="Arial"/>
          <w:b/>
          <w:sz w:val="20"/>
          <w:szCs w:val="20"/>
        </w:rPr>
      </w:pPr>
    </w:p>
    <w:p w:rsidR="00A82794" w:rsidRPr="00315335" w:rsidRDefault="00A82794" w:rsidP="00A82794">
      <w:pPr>
        <w:tabs>
          <w:tab w:val="left" w:pos="540"/>
          <w:tab w:val="left" w:leader="dot" w:pos="9639"/>
        </w:tabs>
        <w:spacing w:after="0" w:line="240" w:lineRule="auto"/>
        <w:rPr>
          <w:rFonts w:ascii="Arial" w:hAnsi="Arial" w:cs="Arial"/>
          <w:b/>
          <w:sz w:val="20"/>
          <w:szCs w:val="20"/>
        </w:rPr>
      </w:pPr>
      <w:r w:rsidRPr="00315335">
        <w:rPr>
          <w:rFonts w:ascii="Arial" w:hAnsi="Arial" w:cs="Arial"/>
          <w:b/>
          <w:sz w:val="20"/>
          <w:szCs w:val="20"/>
        </w:rPr>
        <w:t>I.CALITATEA ŞI POLUAREA AERULUI ÎNCONJURĂTOR ........................................................................</w:t>
      </w:r>
      <w:r w:rsidR="008035FE">
        <w:rPr>
          <w:rFonts w:ascii="Arial" w:hAnsi="Arial" w:cs="Arial"/>
          <w:b/>
          <w:sz w:val="20"/>
          <w:szCs w:val="20"/>
        </w:rPr>
        <w:t>..</w:t>
      </w:r>
      <w:r w:rsidR="00617B28" w:rsidRPr="00315335">
        <w:rPr>
          <w:rFonts w:ascii="Arial" w:hAnsi="Arial" w:cs="Arial"/>
          <w:b/>
          <w:sz w:val="20"/>
          <w:szCs w:val="20"/>
        </w:rPr>
        <w:t>4</w:t>
      </w:r>
      <w:r w:rsidRPr="00315335">
        <w:rPr>
          <w:rFonts w:ascii="Arial" w:hAnsi="Arial" w:cs="Arial"/>
          <w:b/>
          <w:sz w:val="20"/>
          <w:szCs w:val="20"/>
        </w:rPr>
        <w:t xml:space="preserve">             </w:t>
      </w:r>
    </w:p>
    <w:p w:rsidR="00A82794" w:rsidRPr="00315335" w:rsidRDefault="00A82794" w:rsidP="00A82794">
      <w:pPr>
        <w:tabs>
          <w:tab w:val="left" w:leader="dot" w:pos="9923"/>
        </w:tabs>
        <w:spacing w:after="0" w:line="240" w:lineRule="auto"/>
        <w:rPr>
          <w:rFonts w:ascii="Arial" w:hAnsi="Arial" w:cs="Arial"/>
          <w:b/>
          <w:sz w:val="20"/>
          <w:szCs w:val="20"/>
        </w:rPr>
      </w:pPr>
      <w:r w:rsidRPr="00315335">
        <w:rPr>
          <w:rFonts w:ascii="Arial" w:hAnsi="Arial" w:cs="Arial"/>
          <w:b/>
          <w:sz w:val="20"/>
          <w:szCs w:val="20"/>
        </w:rPr>
        <w:t xml:space="preserve">   I.1.Calitatea aerului înconjurător: stare şi consecinţe ..........................................................................</w:t>
      </w:r>
      <w:r w:rsidR="008035FE">
        <w:rPr>
          <w:rFonts w:ascii="Arial" w:hAnsi="Arial" w:cs="Arial"/>
          <w:b/>
          <w:sz w:val="20"/>
          <w:szCs w:val="20"/>
        </w:rPr>
        <w:t>.</w:t>
      </w:r>
      <w:r w:rsidRPr="00315335">
        <w:rPr>
          <w:rFonts w:ascii="Arial" w:hAnsi="Arial" w:cs="Arial"/>
          <w:b/>
          <w:sz w:val="20"/>
          <w:szCs w:val="20"/>
        </w:rPr>
        <w:t xml:space="preserve"> </w:t>
      </w:r>
      <w:r w:rsidR="008035FE">
        <w:rPr>
          <w:rFonts w:ascii="Arial" w:hAnsi="Arial" w:cs="Arial"/>
          <w:b/>
          <w:sz w:val="20"/>
          <w:szCs w:val="20"/>
        </w:rPr>
        <w:t>.</w:t>
      </w:r>
      <w:r w:rsidR="00617B28" w:rsidRPr="00315335">
        <w:rPr>
          <w:rFonts w:ascii="Arial" w:hAnsi="Arial" w:cs="Arial"/>
          <w:b/>
          <w:sz w:val="20"/>
          <w:szCs w:val="20"/>
        </w:rPr>
        <w:t>4</w:t>
      </w:r>
      <w:r w:rsidRPr="00315335">
        <w:rPr>
          <w:rFonts w:ascii="Arial" w:hAnsi="Arial" w:cs="Arial"/>
          <w:b/>
          <w:sz w:val="20"/>
          <w:szCs w:val="20"/>
        </w:rPr>
        <w:t xml:space="preserve">   </w:t>
      </w:r>
    </w:p>
    <w:p w:rsidR="00A82794" w:rsidRPr="00315335" w:rsidRDefault="00A82794" w:rsidP="00A82794">
      <w:pPr>
        <w:tabs>
          <w:tab w:val="left" w:pos="1134"/>
          <w:tab w:val="left" w:leader="dot" w:pos="9356"/>
        </w:tabs>
        <w:spacing w:after="0" w:line="240" w:lineRule="auto"/>
        <w:ind w:left="170"/>
        <w:rPr>
          <w:rFonts w:ascii="Arial" w:hAnsi="Arial" w:cs="Arial"/>
          <w:sz w:val="20"/>
          <w:szCs w:val="20"/>
        </w:rPr>
      </w:pPr>
      <w:r w:rsidRPr="00315335">
        <w:rPr>
          <w:rFonts w:ascii="Arial" w:hAnsi="Arial" w:cs="Arial"/>
          <w:b/>
          <w:i/>
          <w:sz w:val="20"/>
          <w:szCs w:val="20"/>
        </w:rPr>
        <w:t xml:space="preserve">    I.1.1.</w:t>
      </w:r>
      <w:r w:rsidRPr="00315335">
        <w:rPr>
          <w:rFonts w:ascii="Arial" w:hAnsi="Arial" w:cs="Arial"/>
          <w:i/>
          <w:sz w:val="20"/>
          <w:szCs w:val="20"/>
        </w:rPr>
        <w:t>Starea de calitate a aerului înconjurător..........................................................................................</w:t>
      </w:r>
      <w:r w:rsidR="008035FE">
        <w:rPr>
          <w:rFonts w:ascii="Arial" w:hAnsi="Arial" w:cs="Arial"/>
          <w:i/>
          <w:sz w:val="20"/>
          <w:szCs w:val="20"/>
        </w:rPr>
        <w:t>..</w:t>
      </w:r>
      <w:r w:rsidR="00617B28" w:rsidRPr="00315335">
        <w:rPr>
          <w:rFonts w:ascii="Arial" w:hAnsi="Arial" w:cs="Arial"/>
          <w:sz w:val="20"/>
          <w:szCs w:val="20"/>
        </w:rPr>
        <w:t>4</w:t>
      </w:r>
    </w:p>
    <w:p w:rsidR="00A82794" w:rsidRPr="00315335" w:rsidRDefault="00A82794" w:rsidP="00A82794">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315335">
        <w:rPr>
          <w:rFonts w:ascii="Arial" w:hAnsi="Arial" w:cs="Arial"/>
          <w:sz w:val="20"/>
          <w:szCs w:val="20"/>
        </w:rPr>
        <w:t xml:space="preserve">Nivelul concentraţiilor medii anuale ale poluanţilor atmosferici în aerul înconjurător </w:t>
      </w:r>
      <w:r w:rsidRPr="00315335">
        <w:rPr>
          <w:rFonts w:ascii="Arial" w:hAnsi="Arial" w:cs="Arial"/>
          <w:sz w:val="20"/>
          <w:szCs w:val="20"/>
        </w:rPr>
        <w:tab/>
      </w:r>
      <w:r w:rsidR="008035FE">
        <w:rPr>
          <w:rFonts w:ascii="Arial" w:hAnsi="Arial" w:cs="Arial"/>
          <w:sz w:val="20"/>
          <w:szCs w:val="20"/>
        </w:rPr>
        <w:t>.</w:t>
      </w:r>
      <w:r w:rsidRPr="00315335">
        <w:rPr>
          <w:rFonts w:ascii="Arial" w:hAnsi="Arial" w:cs="Arial"/>
          <w:sz w:val="20"/>
          <w:szCs w:val="20"/>
        </w:rPr>
        <w:t xml:space="preserve"> </w:t>
      </w:r>
      <w:r w:rsidR="00617B28" w:rsidRPr="00315335">
        <w:rPr>
          <w:rFonts w:ascii="Arial" w:hAnsi="Arial" w:cs="Arial"/>
          <w:sz w:val="20"/>
          <w:szCs w:val="20"/>
        </w:rPr>
        <w:t>6</w:t>
      </w:r>
      <w:r w:rsidRPr="00315335">
        <w:rPr>
          <w:rFonts w:ascii="Arial" w:hAnsi="Arial" w:cs="Arial"/>
          <w:sz w:val="20"/>
          <w:szCs w:val="20"/>
        </w:rPr>
        <w:t xml:space="preserve"> </w:t>
      </w:r>
    </w:p>
    <w:p w:rsidR="00A82794" w:rsidRPr="00315335" w:rsidRDefault="00A82794" w:rsidP="00A82794">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315335">
        <w:rPr>
          <w:rFonts w:ascii="Arial" w:hAnsi="Arial" w:cs="Arial"/>
          <w:sz w:val="20"/>
          <w:szCs w:val="20"/>
        </w:rPr>
        <w:t xml:space="preserve">Tendinţe privind concentraţiile medii anuale ale anumitor poluanţi atmosferici </w:t>
      </w:r>
      <w:r w:rsidRPr="00315335">
        <w:rPr>
          <w:rFonts w:ascii="Arial" w:hAnsi="Arial" w:cs="Arial"/>
          <w:sz w:val="20"/>
          <w:szCs w:val="20"/>
        </w:rPr>
        <w:tab/>
      </w:r>
      <w:r w:rsidR="008035FE">
        <w:rPr>
          <w:rFonts w:ascii="Arial" w:hAnsi="Arial" w:cs="Arial"/>
          <w:sz w:val="20"/>
          <w:szCs w:val="20"/>
        </w:rPr>
        <w:t>.</w:t>
      </w:r>
      <w:r w:rsidR="00EE382F">
        <w:rPr>
          <w:rFonts w:ascii="Arial" w:hAnsi="Arial" w:cs="Arial"/>
          <w:sz w:val="20"/>
          <w:szCs w:val="20"/>
        </w:rPr>
        <w:t>1</w:t>
      </w:r>
      <w:r w:rsidR="00617B28" w:rsidRPr="00315335">
        <w:rPr>
          <w:rFonts w:ascii="Arial" w:hAnsi="Arial" w:cs="Arial"/>
          <w:sz w:val="20"/>
          <w:szCs w:val="20"/>
        </w:rPr>
        <w:t>4</w:t>
      </w:r>
    </w:p>
    <w:p w:rsidR="00EF7A62" w:rsidRPr="00315335" w:rsidRDefault="00EF7A62" w:rsidP="00EF7A62">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315335">
        <w:rPr>
          <w:rFonts w:ascii="Arial" w:hAnsi="Arial" w:cs="Arial"/>
          <w:sz w:val="20"/>
          <w:szCs w:val="20"/>
        </w:rPr>
        <w:t>Depășiri ale valorilor limită și valorilor țintă privind calitatea aerului înconjurător în zonele</w:t>
      </w:r>
    </w:p>
    <w:p w:rsidR="00EF7A62" w:rsidRPr="00315335" w:rsidRDefault="00EF7A62" w:rsidP="00EF7A62">
      <w:pPr>
        <w:tabs>
          <w:tab w:val="left" w:leader="dot" w:pos="9356"/>
        </w:tabs>
        <w:spacing w:after="0" w:line="240" w:lineRule="auto"/>
        <w:ind w:left="1418"/>
        <w:rPr>
          <w:rFonts w:ascii="Arial" w:hAnsi="Arial" w:cs="Arial"/>
          <w:sz w:val="20"/>
          <w:szCs w:val="20"/>
        </w:rPr>
      </w:pPr>
      <w:r w:rsidRPr="00315335">
        <w:rPr>
          <w:rFonts w:ascii="Arial" w:hAnsi="Arial" w:cs="Arial"/>
          <w:sz w:val="20"/>
          <w:szCs w:val="20"/>
        </w:rPr>
        <w:t>Urbane..................................................................................................................................</w:t>
      </w:r>
      <w:r w:rsidR="008035FE">
        <w:rPr>
          <w:rFonts w:ascii="Arial" w:hAnsi="Arial" w:cs="Arial"/>
          <w:sz w:val="20"/>
          <w:szCs w:val="20"/>
        </w:rPr>
        <w:t>..</w:t>
      </w:r>
      <w:r w:rsidR="00DE63DB">
        <w:rPr>
          <w:rFonts w:ascii="Arial" w:hAnsi="Arial" w:cs="Arial"/>
          <w:sz w:val="20"/>
          <w:szCs w:val="20"/>
        </w:rPr>
        <w:t>20</w:t>
      </w:r>
    </w:p>
    <w:p w:rsidR="00A82794" w:rsidRPr="00DE63DB" w:rsidRDefault="00A82794" w:rsidP="00A82794">
      <w:pPr>
        <w:tabs>
          <w:tab w:val="left" w:leader="dot" w:pos="9356"/>
        </w:tabs>
        <w:spacing w:after="0" w:line="240" w:lineRule="auto"/>
        <w:rPr>
          <w:rFonts w:ascii="Arial" w:hAnsi="Arial" w:cs="Arial"/>
          <w:sz w:val="20"/>
          <w:szCs w:val="20"/>
        </w:rPr>
      </w:pPr>
      <w:r w:rsidRPr="00315335">
        <w:rPr>
          <w:rFonts w:ascii="Arial" w:hAnsi="Arial" w:cs="Arial"/>
          <w:b/>
          <w:i/>
          <w:sz w:val="20"/>
          <w:szCs w:val="20"/>
        </w:rPr>
        <w:t xml:space="preserve">        I.1.2.  E</w:t>
      </w:r>
      <w:r w:rsidRPr="00315335">
        <w:rPr>
          <w:rFonts w:ascii="Arial" w:hAnsi="Arial" w:cs="Arial"/>
          <w:i/>
          <w:sz w:val="20"/>
          <w:szCs w:val="20"/>
        </w:rPr>
        <w:t>fectele poluării aerului înconjurător............................................................................................</w:t>
      </w:r>
      <w:r w:rsidR="008035FE">
        <w:rPr>
          <w:rFonts w:ascii="Arial" w:hAnsi="Arial" w:cs="Arial"/>
          <w:i/>
          <w:sz w:val="20"/>
          <w:szCs w:val="20"/>
        </w:rPr>
        <w:t>..</w:t>
      </w:r>
      <w:r w:rsidR="00DE63DB" w:rsidRPr="00DE63DB">
        <w:rPr>
          <w:rFonts w:ascii="Arial" w:hAnsi="Arial" w:cs="Arial"/>
          <w:sz w:val="20"/>
          <w:szCs w:val="20"/>
        </w:rPr>
        <w:t>20</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i/>
          <w:sz w:val="20"/>
          <w:szCs w:val="20"/>
        </w:rPr>
        <w:t xml:space="preserve">             </w:t>
      </w:r>
      <w:r w:rsidRPr="00315335">
        <w:rPr>
          <w:rFonts w:ascii="Arial" w:hAnsi="Arial" w:cs="Arial"/>
          <w:sz w:val="20"/>
          <w:szCs w:val="20"/>
        </w:rPr>
        <w:t xml:space="preserve"> I.1.2.1. Efectele poluării aerului înconjurător asupra sănătății......................................................... </w:t>
      </w:r>
      <w:r w:rsidR="008035FE">
        <w:rPr>
          <w:rFonts w:ascii="Arial" w:hAnsi="Arial" w:cs="Arial"/>
          <w:sz w:val="20"/>
          <w:szCs w:val="20"/>
        </w:rPr>
        <w:t>.</w:t>
      </w:r>
      <w:r w:rsidR="00DE63DB">
        <w:rPr>
          <w:rFonts w:ascii="Arial" w:hAnsi="Arial" w:cs="Arial"/>
          <w:sz w:val="20"/>
          <w:szCs w:val="20"/>
        </w:rPr>
        <w:t>20</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I.1.2.2. Efectele poluării aerului înconjurător asupra ecosistemelor.................................................</w:t>
      </w:r>
      <w:r w:rsidR="00617B28" w:rsidRPr="00315335">
        <w:rPr>
          <w:rFonts w:ascii="Arial" w:hAnsi="Arial" w:cs="Arial"/>
          <w:sz w:val="20"/>
          <w:szCs w:val="20"/>
        </w:rPr>
        <w:t>.2</w:t>
      </w:r>
      <w:r w:rsidR="00DE63DB">
        <w:rPr>
          <w:rFonts w:ascii="Arial" w:hAnsi="Arial" w:cs="Arial"/>
          <w:sz w:val="20"/>
          <w:szCs w:val="20"/>
        </w:rPr>
        <w:t>1</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I.1.2.3. Efectele poluării aerului înconjurător asupra solului și vegetației........................................</w:t>
      </w:r>
      <w:r w:rsidR="00617B28" w:rsidRPr="00315335">
        <w:rPr>
          <w:rFonts w:ascii="Arial" w:hAnsi="Arial" w:cs="Arial"/>
          <w:sz w:val="20"/>
          <w:szCs w:val="20"/>
        </w:rPr>
        <w:t>.</w:t>
      </w:r>
      <w:r w:rsidRPr="00315335">
        <w:rPr>
          <w:rFonts w:ascii="Arial" w:hAnsi="Arial" w:cs="Arial"/>
          <w:sz w:val="20"/>
          <w:szCs w:val="20"/>
        </w:rPr>
        <w:t>.</w:t>
      </w:r>
      <w:r w:rsidR="00617B28" w:rsidRPr="00315335">
        <w:rPr>
          <w:rFonts w:ascii="Arial" w:hAnsi="Arial" w:cs="Arial"/>
          <w:sz w:val="20"/>
          <w:szCs w:val="20"/>
        </w:rPr>
        <w:t>2</w:t>
      </w:r>
      <w:r w:rsidR="00DE63DB">
        <w:rPr>
          <w:rFonts w:ascii="Arial" w:hAnsi="Arial" w:cs="Arial"/>
          <w:sz w:val="20"/>
          <w:szCs w:val="20"/>
        </w:rPr>
        <w:t>1</w:t>
      </w:r>
    </w:p>
    <w:p w:rsidR="00A82794" w:rsidRPr="00315335" w:rsidRDefault="00A82794" w:rsidP="00A82794">
      <w:pPr>
        <w:tabs>
          <w:tab w:val="left" w:leader="dot" w:pos="9356"/>
        </w:tabs>
        <w:spacing w:after="0" w:line="240" w:lineRule="auto"/>
        <w:rPr>
          <w:rFonts w:ascii="Arial" w:hAnsi="Arial" w:cs="Arial"/>
          <w:b/>
          <w:sz w:val="20"/>
          <w:szCs w:val="20"/>
        </w:rPr>
      </w:pPr>
      <w:r w:rsidRPr="00315335">
        <w:rPr>
          <w:rFonts w:ascii="Arial" w:hAnsi="Arial" w:cs="Arial"/>
          <w:b/>
          <w:sz w:val="20"/>
          <w:szCs w:val="20"/>
        </w:rPr>
        <w:t xml:space="preserve">   I.2.Factorii determinanţi şi presiunile care afectează starea de </w:t>
      </w:r>
      <w:r w:rsidR="00617B28" w:rsidRPr="00315335">
        <w:rPr>
          <w:rFonts w:ascii="Arial" w:hAnsi="Arial" w:cs="Arial"/>
          <w:b/>
          <w:sz w:val="20"/>
          <w:szCs w:val="20"/>
        </w:rPr>
        <w:t>calitate a aerului înconjurător..........2</w:t>
      </w:r>
      <w:r w:rsidR="00DE63DB">
        <w:rPr>
          <w:rFonts w:ascii="Arial" w:hAnsi="Arial" w:cs="Arial"/>
          <w:b/>
          <w:sz w:val="20"/>
          <w:szCs w:val="20"/>
        </w:rPr>
        <w:t>1</w:t>
      </w:r>
    </w:p>
    <w:p w:rsidR="00A82794" w:rsidRPr="00315335" w:rsidRDefault="00A82794" w:rsidP="00A82794">
      <w:pPr>
        <w:tabs>
          <w:tab w:val="left" w:pos="1134"/>
          <w:tab w:val="left" w:leader="dot" w:pos="9356"/>
        </w:tabs>
        <w:spacing w:after="0" w:line="240" w:lineRule="auto"/>
        <w:rPr>
          <w:rFonts w:ascii="Arial" w:hAnsi="Arial" w:cs="Arial"/>
          <w:sz w:val="20"/>
          <w:szCs w:val="20"/>
        </w:rPr>
      </w:pPr>
      <w:r w:rsidRPr="00315335">
        <w:rPr>
          <w:rFonts w:ascii="Arial" w:hAnsi="Arial" w:cs="Arial"/>
          <w:b/>
          <w:sz w:val="20"/>
          <w:szCs w:val="20"/>
        </w:rPr>
        <w:t xml:space="preserve">       I.2.1. </w:t>
      </w:r>
      <w:r w:rsidRPr="00315335">
        <w:rPr>
          <w:rFonts w:ascii="Arial" w:hAnsi="Arial" w:cs="Arial"/>
          <w:i/>
          <w:sz w:val="20"/>
          <w:szCs w:val="20"/>
        </w:rPr>
        <w:t xml:space="preserve">Emisiile de poluanţi atmosferici şi principale surse de emisie ........................................... ......      </w:t>
      </w:r>
      <w:r w:rsidR="00617B28" w:rsidRPr="00315335">
        <w:rPr>
          <w:rFonts w:ascii="Arial" w:hAnsi="Arial" w:cs="Arial"/>
          <w:sz w:val="20"/>
          <w:szCs w:val="20"/>
        </w:rPr>
        <w:t>2</w:t>
      </w:r>
      <w:r w:rsidR="00DE63DB">
        <w:rPr>
          <w:rFonts w:ascii="Arial" w:hAnsi="Arial" w:cs="Arial"/>
          <w:sz w:val="20"/>
          <w:szCs w:val="20"/>
        </w:rPr>
        <w:t>1</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I.2.1.1.Energia  ...............................................................................................................................  </w:t>
      </w:r>
      <w:r w:rsidR="00617B28" w:rsidRPr="00315335">
        <w:rPr>
          <w:rFonts w:ascii="Arial" w:hAnsi="Arial" w:cs="Arial"/>
          <w:sz w:val="20"/>
          <w:szCs w:val="20"/>
        </w:rPr>
        <w:t>2</w:t>
      </w:r>
      <w:r w:rsidR="00DE63DB">
        <w:rPr>
          <w:rFonts w:ascii="Arial" w:hAnsi="Arial" w:cs="Arial"/>
          <w:sz w:val="20"/>
          <w:szCs w:val="20"/>
        </w:rPr>
        <w:t>1</w:t>
      </w:r>
      <w:r w:rsidRPr="00315335">
        <w:rPr>
          <w:rFonts w:ascii="Arial" w:hAnsi="Arial" w:cs="Arial"/>
          <w:sz w:val="20"/>
          <w:szCs w:val="20"/>
        </w:rPr>
        <w:t xml:space="preserve">   </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I.2.1.2.Industria ...........................................................................................................................      </w:t>
      </w:r>
      <w:r w:rsidR="00617B28" w:rsidRPr="00315335">
        <w:rPr>
          <w:rFonts w:ascii="Arial" w:hAnsi="Arial" w:cs="Arial"/>
          <w:sz w:val="20"/>
          <w:szCs w:val="20"/>
        </w:rPr>
        <w:t>23</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I.2.1.3.Transportul ........................................................................................................................... 2</w:t>
      </w:r>
      <w:r w:rsidR="00617B28" w:rsidRPr="00315335">
        <w:rPr>
          <w:rFonts w:ascii="Arial" w:hAnsi="Arial" w:cs="Arial"/>
          <w:sz w:val="20"/>
          <w:szCs w:val="20"/>
        </w:rPr>
        <w:t>5</w:t>
      </w:r>
      <w:r w:rsidRPr="00315335">
        <w:rPr>
          <w:rFonts w:ascii="Arial" w:hAnsi="Arial" w:cs="Arial"/>
          <w:sz w:val="20"/>
          <w:szCs w:val="20"/>
        </w:rPr>
        <w:t xml:space="preserve">                  </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I.2.1.4.Agricultura </w:t>
      </w:r>
      <w:r w:rsidRPr="00315335">
        <w:rPr>
          <w:rFonts w:ascii="Arial" w:hAnsi="Arial" w:cs="Arial"/>
          <w:sz w:val="20"/>
          <w:szCs w:val="20"/>
        </w:rPr>
        <w:tab/>
        <w:t>2</w:t>
      </w:r>
      <w:r w:rsidR="00DE63DB">
        <w:rPr>
          <w:rFonts w:ascii="Arial" w:hAnsi="Arial" w:cs="Arial"/>
          <w:sz w:val="20"/>
          <w:szCs w:val="20"/>
        </w:rPr>
        <w:t>7</w:t>
      </w:r>
      <w:r w:rsidRPr="00315335">
        <w:rPr>
          <w:rFonts w:ascii="Arial" w:hAnsi="Arial" w:cs="Arial"/>
          <w:sz w:val="20"/>
          <w:szCs w:val="20"/>
        </w:rPr>
        <w:t xml:space="preserve">  </w:t>
      </w:r>
    </w:p>
    <w:p w:rsidR="00A82794" w:rsidRPr="00315335" w:rsidRDefault="00A82794" w:rsidP="00A82794">
      <w:pPr>
        <w:tabs>
          <w:tab w:val="left" w:leader="dot" w:pos="9356"/>
        </w:tabs>
        <w:spacing w:after="0" w:line="240" w:lineRule="auto"/>
        <w:ind w:firstLine="360"/>
        <w:rPr>
          <w:rFonts w:ascii="Arial" w:hAnsi="Arial" w:cs="Arial"/>
          <w:b/>
          <w:sz w:val="20"/>
          <w:szCs w:val="20"/>
        </w:rPr>
      </w:pPr>
      <w:r w:rsidRPr="00315335">
        <w:rPr>
          <w:rFonts w:ascii="Arial" w:hAnsi="Arial" w:cs="Arial"/>
          <w:b/>
          <w:sz w:val="20"/>
          <w:szCs w:val="20"/>
        </w:rPr>
        <w:t>I.3. Tendinţe şi prognoze privind poluarea aerului înconjurător   ...................................................  2</w:t>
      </w:r>
      <w:r w:rsidR="00617B28" w:rsidRPr="00315335">
        <w:rPr>
          <w:rFonts w:ascii="Arial" w:hAnsi="Arial" w:cs="Arial"/>
          <w:b/>
          <w:sz w:val="20"/>
          <w:szCs w:val="20"/>
        </w:rPr>
        <w:t>7</w:t>
      </w:r>
    </w:p>
    <w:p w:rsidR="00A82794" w:rsidRPr="00315335" w:rsidRDefault="00A82794" w:rsidP="00A82794">
      <w:pPr>
        <w:numPr>
          <w:ilvl w:val="0"/>
          <w:numId w:val="1"/>
        </w:numPr>
        <w:tabs>
          <w:tab w:val="left" w:pos="540"/>
          <w:tab w:val="left" w:leader="dot" w:pos="9356"/>
        </w:tabs>
        <w:spacing w:after="0" w:line="240" w:lineRule="auto"/>
        <w:rPr>
          <w:rFonts w:ascii="Arial" w:hAnsi="Arial" w:cs="Arial"/>
          <w:b/>
          <w:sz w:val="20"/>
          <w:szCs w:val="20"/>
        </w:rPr>
      </w:pPr>
      <w:r w:rsidRPr="00315335">
        <w:rPr>
          <w:rFonts w:ascii="Arial" w:hAnsi="Arial" w:cs="Arial"/>
          <w:b/>
          <w:sz w:val="20"/>
          <w:szCs w:val="20"/>
        </w:rPr>
        <w:t xml:space="preserve">APA   </w:t>
      </w:r>
      <w:r w:rsidRPr="00315335">
        <w:rPr>
          <w:rFonts w:ascii="Arial" w:hAnsi="Arial" w:cs="Arial"/>
          <w:b/>
          <w:sz w:val="20"/>
          <w:szCs w:val="20"/>
        </w:rPr>
        <w:tab/>
      </w:r>
      <w:r w:rsidR="00617B28" w:rsidRPr="00315335">
        <w:rPr>
          <w:rFonts w:ascii="Arial" w:hAnsi="Arial" w:cs="Arial"/>
          <w:b/>
          <w:sz w:val="20"/>
          <w:szCs w:val="20"/>
        </w:rPr>
        <w:t xml:space="preserve"> 3</w:t>
      </w:r>
      <w:r w:rsidR="00DE63DB">
        <w:rPr>
          <w:rFonts w:ascii="Arial" w:hAnsi="Arial" w:cs="Arial"/>
          <w:b/>
          <w:sz w:val="20"/>
          <w:szCs w:val="20"/>
        </w:rPr>
        <w:t>3</w:t>
      </w:r>
      <w:r w:rsidRPr="00315335">
        <w:rPr>
          <w:rFonts w:ascii="Arial" w:hAnsi="Arial" w:cs="Arial"/>
          <w:b/>
          <w:sz w:val="20"/>
          <w:szCs w:val="20"/>
        </w:rPr>
        <w:t xml:space="preserve">  </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Resursele de apă, Cantităţi şi debite </w:t>
      </w:r>
      <w:r w:rsidRPr="00315335">
        <w:rPr>
          <w:rFonts w:ascii="Arial" w:hAnsi="Arial" w:cs="Arial"/>
          <w:b/>
          <w:sz w:val="20"/>
          <w:szCs w:val="20"/>
        </w:rPr>
        <w:tab/>
      </w:r>
      <w:r w:rsidRPr="00315335">
        <w:rPr>
          <w:rFonts w:ascii="Arial" w:hAnsi="Arial" w:cs="Arial"/>
          <w:sz w:val="20"/>
          <w:szCs w:val="20"/>
        </w:rPr>
        <w:t xml:space="preserve"> </w:t>
      </w:r>
      <w:r w:rsidR="00617B28" w:rsidRPr="00315335">
        <w:rPr>
          <w:rFonts w:ascii="Arial" w:hAnsi="Arial" w:cs="Arial"/>
          <w:sz w:val="20"/>
          <w:szCs w:val="20"/>
        </w:rPr>
        <w:t>3</w:t>
      </w:r>
      <w:r w:rsidR="00DE63DB">
        <w:rPr>
          <w:rFonts w:ascii="Arial" w:hAnsi="Arial" w:cs="Arial"/>
          <w:sz w:val="20"/>
          <w:szCs w:val="20"/>
        </w:rPr>
        <w:t>3</w:t>
      </w:r>
      <w:r w:rsidRPr="00315335">
        <w:rPr>
          <w:rFonts w:ascii="Arial" w:hAnsi="Arial" w:cs="Arial"/>
          <w:sz w:val="20"/>
          <w:szCs w:val="20"/>
        </w:rPr>
        <w:t xml:space="preserve"> </w:t>
      </w:r>
    </w:p>
    <w:p w:rsidR="00A82794" w:rsidRPr="00315335"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Stare, presiuni şi consecinţe </w:t>
      </w:r>
      <w:r w:rsidRPr="00315335">
        <w:rPr>
          <w:rFonts w:ascii="Arial" w:hAnsi="Arial" w:cs="Arial"/>
          <w:i/>
          <w:sz w:val="20"/>
          <w:szCs w:val="20"/>
        </w:rPr>
        <w:tab/>
        <w:t xml:space="preserve"> </w:t>
      </w:r>
      <w:r w:rsidR="00617B28" w:rsidRPr="00315335">
        <w:rPr>
          <w:rFonts w:ascii="Arial" w:hAnsi="Arial" w:cs="Arial"/>
          <w:i/>
          <w:sz w:val="20"/>
          <w:szCs w:val="20"/>
        </w:rPr>
        <w:t>32</w:t>
      </w:r>
      <w:r w:rsidRPr="00315335">
        <w:rPr>
          <w:rFonts w:ascii="Arial" w:hAnsi="Arial" w:cs="Arial"/>
          <w:i/>
          <w:sz w:val="20"/>
          <w:szCs w:val="20"/>
        </w:rPr>
        <w:t xml:space="preserve"> </w:t>
      </w:r>
    </w:p>
    <w:p w:rsidR="00A82794" w:rsidRPr="00315335" w:rsidRDefault="00A82794" w:rsidP="00A82794">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Resurse de apă potenţiale şi tehnic utilizabile </w:t>
      </w:r>
      <w:r w:rsidRPr="00315335">
        <w:rPr>
          <w:rFonts w:ascii="Arial" w:hAnsi="Arial" w:cs="Arial"/>
          <w:sz w:val="20"/>
          <w:szCs w:val="20"/>
        </w:rPr>
        <w:tab/>
        <w:t xml:space="preserve"> </w:t>
      </w:r>
      <w:r w:rsidR="00617B28" w:rsidRPr="00315335">
        <w:rPr>
          <w:rFonts w:ascii="Arial" w:hAnsi="Arial" w:cs="Arial"/>
          <w:sz w:val="20"/>
          <w:szCs w:val="20"/>
        </w:rPr>
        <w:t>3</w:t>
      </w:r>
      <w:r w:rsidR="00DE63DB">
        <w:rPr>
          <w:rFonts w:ascii="Arial" w:hAnsi="Arial" w:cs="Arial"/>
          <w:sz w:val="20"/>
          <w:szCs w:val="20"/>
        </w:rPr>
        <w:t>3</w:t>
      </w:r>
      <w:r w:rsidRPr="00315335">
        <w:rPr>
          <w:rFonts w:ascii="Arial" w:hAnsi="Arial" w:cs="Arial"/>
          <w:sz w:val="20"/>
          <w:szCs w:val="20"/>
        </w:rPr>
        <w:t xml:space="preserve">  </w:t>
      </w:r>
    </w:p>
    <w:p w:rsidR="00A82794" w:rsidRPr="00315335" w:rsidRDefault="00A82794" w:rsidP="00A82794">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Utilizarea resurselor de apă </w:t>
      </w:r>
      <w:r w:rsidRPr="00315335">
        <w:rPr>
          <w:rFonts w:ascii="Arial" w:hAnsi="Arial" w:cs="Arial"/>
          <w:sz w:val="20"/>
          <w:szCs w:val="20"/>
        </w:rPr>
        <w:tab/>
        <w:t xml:space="preserve"> </w:t>
      </w:r>
      <w:r w:rsidR="001A5CA3" w:rsidRPr="00315335">
        <w:rPr>
          <w:rFonts w:ascii="Arial" w:hAnsi="Arial" w:cs="Arial"/>
          <w:sz w:val="20"/>
          <w:szCs w:val="20"/>
        </w:rPr>
        <w:t>3</w:t>
      </w:r>
      <w:r w:rsidR="00DE63DB">
        <w:rPr>
          <w:rFonts w:ascii="Arial" w:hAnsi="Arial" w:cs="Arial"/>
          <w:sz w:val="20"/>
          <w:szCs w:val="20"/>
        </w:rPr>
        <w:t>9</w:t>
      </w:r>
    </w:p>
    <w:p w:rsidR="00A82794" w:rsidRPr="00315335" w:rsidRDefault="00A82794" w:rsidP="00A82794">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Evenimente extreme produse d</w:t>
      </w:r>
      <w:r w:rsidR="00617B28" w:rsidRPr="00315335">
        <w:rPr>
          <w:rFonts w:ascii="Arial" w:hAnsi="Arial" w:cs="Arial"/>
          <w:sz w:val="20"/>
          <w:szCs w:val="20"/>
        </w:rPr>
        <w:t xml:space="preserve">e debitele cursurilor de apă </w:t>
      </w:r>
      <w:r w:rsidR="00617B28" w:rsidRPr="00315335">
        <w:rPr>
          <w:rFonts w:ascii="Arial" w:hAnsi="Arial" w:cs="Arial"/>
          <w:sz w:val="20"/>
          <w:szCs w:val="20"/>
        </w:rPr>
        <w:tab/>
        <w:t xml:space="preserve"> 4</w:t>
      </w:r>
      <w:r w:rsidR="00DE63DB">
        <w:rPr>
          <w:rFonts w:ascii="Arial" w:hAnsi="Arial" w:cs="Arial"/>
          <w:sz w:val="20"/>
          <w:szCs w:val="20"/>
        </w:rPr>
        <w:t>1</w:t>
      </w:r>
    </w:p>
    <w:p w:rsidR="00A82794" w:rsidRPr="00315335" w:rsidRDefault="000529C6" w:rsidP="000529C6">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Schimbări hidromorfologice ale cursurilor de apă...............................................................</w:t>
      </w:r>
      <w:r w:rsidR="001A5CA3" w:rsidRPr="00315335">
        <w:rPr>
          <w:rFonts w:ascii="Arial" w:hAnsi="Arial" w:cs="Arial"/>
          <w:sz w:val="20"/>
          <w:szCs w:val="20"/>
        </w:rPr>
        <w:t xml:space="preserve">  4</w:t>
      </w:r>
      <w:r w:rsidR="00DE63DB">
        <w:rPr>
          <w:rFonts w:ascii="Arial" w:hAnsi="Arial" w:cs="Arial"/>
          <w:sz w:val="20"/>
          <w:szCs w:val="20"/>
        </w:rPr>
        <w:t>6</w:t>
      </w:r>
    </w:p>
    <w:p w:rsidR="00A82794" w:rsidRPr="00315335"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Prognoze  </w:t>
      </w:r>
      <w:r w:rsidRPr="00315335">
        <w:rPr>
          <w:rFonts w:ascii="Arial" w:hAnsi="Arial" w:cs="Arial"/>
          <w:i/>
          <w:sz w:val="20"/>
          <w:szCs w:val="20"/>
        </w:rPr>
        <w:tab/>
        <w:t xml:space="preserve"> </w:t>
      </w:r>
      <w:r w:rsidR="001A5CA3" w:rsidRPr="00315335">
        <w:rPr>
          <w:rFonts w:ascii="Arial" w:hAnsi="Arial" w:cs="Arial"/>
          <w:sz w:val="20"/>
          <w:szCs w:val="20"/>
        </w:rPr>
        <w:t>4</w:t>
      </w:r>
      <w:r w:rsidR="00DE63DB">
        <w:rPr>
          <w:rFonts w:ascii="Arial" w:hAnsi="Arial" w:cs="Arial"/>
          <w:sz w:val="20"/>
          <w:szCs w:val="20"/>
        </w:rPr>
        <w:t>7</w:t>
      </w:r>
      <w:r w:rsidRPr="00315335">
        <w:rPr>
          <w:rFonts w:ascii="Arial" w:hAnsi="Arial" w:cs="Arial"/>
          <w:i/>
          <w:sz w:val="20"/>
          <w:szCs w:val="20"/>
        </w:rPr>
        <w:t xml:space="preserve"> </w:t>
      </w:r>
    </w:p>
    <w:p w:rsidR="00A82794" w:rsidRPr="00315335"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Disponibilitatea, cererea şi deficitul de apă </w:t>
      </w:r>
      <w:r w:rsidRPr="00315335">
        <w:rPr>
          <w:rFonts w:ascii="Arial" w:hAnsi="Arial" w:cs="Arial"/>
          <w:sz w:val="20"/>
          <w:szCs w:val="20"/>
        </w:rPr>
        <w:tab/>
        <w:t xml:space="preserve"> </w:t>
      </w:r>
      <w:r w:rsidR="001A5CA3" w:rsidRPr="00315335">
        <w:rPr>
          <w:rFonts w:ascii="Arial" w:hAnsi="Arial" w:cs="Arial"/>
          <w:sz w:val="20"/>
          <w:szCs w:val="20"/>
        </w:rPr>
        <w:t>4</w:t>
      </w:r>
      <w:r w:rsidR="00DE63DB">
        <w:rPr>
          <w:rFonts w:ascii="Arial" w:hAnsi="Arial" w:cs="Arial"/>
          <w:sz w:val="20"/>
          <w:szCs w:val="20"/>
        </w:rPr>
        <w:t>7</w:t>
      </w:r>
      <w:r w:rsidRPr="00315335">
        <w:rPr>
          <w:rFonts w:ascii="Arial" w:hAnsi="Arial" w:cs="Arial"/>
          <w:sz w:val="20"/>
          <w:szCs w:val="20"/>
        </w:rPr>
        <w:t xml:space="preserve">  </w:t>
      </w:r>
    </w:p>
    <w:p w:rsidR="00A82794" w:rsidRPr="00315335"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Riscurile şi presiunile inundaţiilor </w:t>
      </w:r>
      <w:r w:rsidRPr="00315335">
        <w:rPr>
          <w:rFonts w:ascii="Arial" w:hAnsi="Arial" w:cs="Arial"/>
          <w:sz w:val="20"/>
          <w:szCs w:val="20"/>
        </w:rPr>
        <w:tab/>
        <w:t xml:space="preserve"> 4</w:t>
      </w:r>
      <w:r w:rsidR="00DE63DB">
        <w:rPr>
          <w:rFonts w:ascii="Arial" w:hAnsi="Arial" w:cs="Arial"/>
          <w:sz w:val="20"/>
          <w:szCs w:val="20"/>
        </w:rPr>
        <w:t>9</w:t>
      </w:r>
      <w:r w:rsidRPr="00315335">
        <w:rPr>
          <w:rFonts w:ascii="Arial" w:hAnsi="Arial" w:cs="Arial"/>
          <w:sz w:val="20"/>
          <w:szCs w:val="20"/>
        </w:rPr>
        <w:t xml:space="preserve"> </w:t>
      </w:r>
    </w:p>
    <w:p w:rsidR="00A82794" w:rsidRPr="00315335"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315335">
        <w:rPr>
          <w:rFonts w:ascii="Arial" w:hAnsi="Arial" w:cs="Arial"/>
          <w:i/>
          <w:sz w:val="20"/>
          <w:szCs w:val="20"/>
        </w:rPr>
        <w:t>Utilizarea şi gestionarea eficientă a resurselor de apă</w:t>
      </w:r>
      <w:r w:rsidRPr="00315335">
        <w:rPr>
          <w:rFonts w:ascii="Arial" w:hAnsi="Arial" w:cs="Arial"/>
          <w:i/>
          <w:sz w:val="20"/>
          <w:szCs w:val="20"/>
        </w:rPr>
        <w:tab/>
      </w:r>
      <w:r w:rsidR="00DE63DB">
        <w:rPr>
          <w:rFonts w:ascii="Arial" w:hAnsi="Arial" w:cs="Arial"/>
          <w:sz w:val="20"/>
          <w:szCs w:val="20"/>
        </w:rPr>
        <w:t xml:space="preserve"> 50</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Calitatea apei </w:t>
      </w:r>
      <w:r w:rsidRPr="00315335">
        <w:rPr>
          <w:rFonts w:ascii="Arial" w:hAnsi="Arial" w:cs="Arial"/>
          <w:b/>
          <w:sz w:val="20"/>
          <w:szCs w:val="20"/>
        </w:rPr>
        <w:tab/>
      </w:r>
      <w:r w:rsidRPr="00315335">
        <w:rPr>
          <w:rFonts w:ascii="Arial" w:hAnsi="Arial" w:cs="Arial"/>
          <w:sz w:val="20"/>
          <w:szCs w:val="20"/>
        </w:rPr>
        <w:t xml:space="preserve"> </w:t>
      </w:r>
      <w:r w:rsidR="00DE63DB">
        <w:rPr>
          <w:rFonts w:ascii="Arial" w:hAnsi="Arial" w:cs="Arial"/>
          <w:sz w:val="20"/>
          <w:szCs w:val="20"/>
        </w:rPr>
        <w:t>53</w:t>
      </w:r>
      <w:r w:rsidRPr="00315335">
        <w:rPr>
          <w:rFonts w:ascii="Arial" w:hAnsi="Arial" w:cs="Arial"/>
          <w:sz w:val="20"/>
          <w:szCs w:val="20"/>
        </w:rPr>
        <w:t xml:space="preserve"> </w:t>
      </w:r>
    </w:p>
    <w:p w:rsidR="00A82794" w:rsidRPr="00315335"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Calitatea apei: stare şi consecinţe </w:t>
      </w:r>
      <w:r w:rsidRPr="00315335">
        <w:rPr>
          <w:rFonts w:ascii="Arial" w:hAnsi="Arial" w:cs="Arial"/>
          <w:i/>
          <w:sz w:val="20"/>
          <w:szCs w:val="20"/>
        </w:rPr>
        <w:tab/>
      </w:r>
      <w:r w:rsidRPr="00315335">
        <w:rPr>
          <w:rFonts w:ascii="Arial" w:hAnsi="Arial" w:cs="Arial"/>
          <w:sz w:val="20"/>
          <w:szCs w:val="20"/>
        </w:rPr>
        <w:t xml:space="preserve"> </w:t>
      </w:r>
      <w:r w:rsidR="00DE63DB">
        <w:rPr>
          <w:rFonts w:ascii="Arial" w:hAnsi="Arial" w:cs="Arial"/>
          <w:sz w:val="20"/>
          <w:szCs w:val="20"/>
        </w:rPr>
        <w:t>53</w:t>
      </w:r>
      <w:r w:rsidRPr="00315335">
        <w:rPr>
          <w:rFonts w:ascii="Arial" w:hAnsi="Arial" w:cs="Arial"/>
          <w:sz w:val="20"/>
          <w:szCs w:val="20"/>
        </w:rPr>
        <w:t xml:space="preserve"> </w:t>
      </w:r>
    </w:p>
    <w:p w:rsidR="00A82794" w:rsidRPr="00315335"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Calitatea apei cursurilor de apă </w:t>
      </w:r>
      <w:r w:rsidRPr="00315335">
        <w:rPr>
          <w:rFonts w:ascii="Arial" w:hAnsi="Arial" w:cs="Arial"/>
          <w:sz w:val="20"/>
          <w:szCs w:val="20"/>
        </w:rPr>
        <w:tab/>
        <w:t xml:space="preserve"> </w:t>
      </w:r>
      <w:r w:rsidR="00DE63DB">
        <w:rPr>
          <w:rFonts w:ascii="Arial" w:hAnsi="Arial" w:cs="Arial"/>
          <w:sz w:val="20"/>
          <w:szCs w:val="20"/>
        </w:rPr>
        <w:t>53</w:t>
      </w:r>
      <w:r w:rsidRPr="00315335">
        <w:rPr>
          <w:rFonts w:ascii="Arial" w:hAnsi="Arial" w:cs="Arial"/>
          <w:sz w:val="20"/>
          <w:szCs w:val="20"/>
        </w:rPr>
        <w:t xml:space="preserve"> </w:t>
      </w:r>
    </w:p>
    <w:p w:rsidR="00A82794" w:rsidRPr="00315335"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Calitatea apei lacurilor </w:t>
      </w:r>
      <w:r w:rsidRPr="00315335">
        <w:rPr>
          <w:rFonts w:ascii="Arial" w:hAnsi="Arial" w:cs="Arial"/>
          <w:sz w:val="20"/>
          <w:szCs w:val="20"/>
        </w:rPr>
        <w:tab/>
        <w:t xml:space="preserve"> </w:t>
      </w:r>
      <w:r w:rsidR="00DE63DB">
        <w:rPr>
          <w:rFonts w:ascii="Arial" w:hAnsi="Arial" w:cs="Arial"/>
          <w:sz w:val="20"/>
          <w:szCs w:val="20"/>
        </w:rPr>
        <w:t>55</w:t>
      </w:r>
      <w:r w:rsidRPr="00315335">
        <w:rPr>
          <w:rFonts w:ascii="Arial" w:hAnsi="Arial" w:cs="Arial"/>
          <w:sz w:val="20"/>
          <w:szCs w:val="20"/>
        </w:rPr>
        <w:t xml:space="preserve"> </w:t>
      </w:r>
    </w:p>
    <w:p w:rsidR="00A82794" w:rsidRPr="00315335"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Calitatea apelor subterane </w:t>
      </w:r>
      <w:r w:rsidRPr="00315335">
        <w:rPr>
          <w:rFonts w:ascii="Arial" w:hAnsi="Arial" w:cs="Arial"/>
          <w:sz w:val="20"/>
          <w:szCs w:val="20"/>
        </w:rPr>
        <w:tab/>
        <w:t xml:space="preserve"> </w:t>
      </w:r>
      <w:r w:rsidR="00C62F50" w:rsidRPr="00315335">
        <w:rPr>
          <w:rFonts w:ascii="Arial" w:hAnsi="Arial" w:cs="Arial"/>
          <w:sz w:val="20"/>
          <w:szCs w:val="20"/>
        </w:rPr>
        <w:t>5</w:t>
      </w:r>
      <w:r w:rsidR="00DE63DB">
        <w:rPr>
          <w:rFonts w:ascii="Arial" w:hAnsi="Arial" w:cs="Arial"/>
          <w:sz w:val="20"/>
          <w:szCs w:val="20"/>
        </w:rPr>
        <w:t>7</w:t>
      </w:r>
      <w:r w:rsidRPr="00315335">
        <w:rPr>
          <w:rFonts w:ascii="Arial" w:hAnsi="Arial" w:cs="Arial"/>
          <w:sz w:val="20"/>
          <w:szCs w:val="20"/>
        </w:rPr>
        <w:t xml:space="preserve"> </w:t>
      </w:r>
    </w:p>
    <w:p w:rsidR="00A82794" w:rsidRPr="00315335"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Calitatea apelor de îmbăiere    </w:t>
      </w:r>
      <w:r w:rsidRPr="00315335">
        <w:rPr>
          <w:rFonts w:ascii="Arial" w:hAnsi="Arial" w:cs="Arial"/>
          <w:sz w:val="20"/>
          <w:szCs w:val="20"/>
        </w:rPr>
        <w:tab/>
        <w:t xml:space="preserve"> </w:t>
      </w:r>
      <w:r w:rsidR="00C62F50" w:rsidRPr="00315335">
        <w:rPr>
          <w:rFonts w:ascii="Arial" w:hAnsi="Arial" w:cs="Arial"/>
          <w:sz w:val="20"/>
          <w:szCs w:val="20"/>
        </w:rPr>
        <w:t>5</w:t>
      </w:r>
      <w:r w:rsidR="00DE63DB">
        <w:rPr>
          <w:rFonts w:ascii="Arial" w:hAnsi="Arial" w:cs="Arial"/>
          <w:sz w:val="20"/>
          <w:szCs w:val="20"/>
        </w:rPr>
        <w:t>9</w:t>
      </w:r>
      <w:r w:rsidRPr="00315335">
        <w:rPr>
          <w:rFonts w:ascii="Arial" w:hAnsi="Arial" w:cs="Arial"/>
          <w:sz w:val="20"/>
          <w:szCs w:val="20"/>
        </w:rPr>
        <w:t xml:space="preserve"> </w:t>
      </w:r>
    </w:p>
    <w:p w:rsidR="00A82794" w:rsidRPr="00315335"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Factorii determinanţi şi presiunile care afectează starea de calitate a apelor </w:t>
      </w:r>
      <w:r w:rsidRPr="00315335">
        <w:rPr>
          <w:rFonts w:ascii="Arial" w:hAnsi="Arial" w:cs="Arial"/>
          <w:i/>
          <w:sz w:val="20"/>
          <w:szCs w:val="20"/>
        </w:rPr>
        <w:tab/>
      </w:r>
      <w:r w:rsidRPr="00315335">
        <w:rPr>
          <w:rFonts w:ascii="Arial" w:hAnsi="Arial" w:cs="Arial"/>
          <w:sz w:val="20"/>
          <w:szCs w:val="20"/>
        </w:rPr>
        <w:t xml:space="preserve"> </w:t>
      </w:r>
      <w:r w:rsidR="00C62F50" w:rsidRPr="00315335">
        <w:rPr>
          <w:rFonts w:ascii="Arial" w:hAnsi="Arial" w:cs="Arial"/>
          <w:sz w:val="20"/>
          <w:szCs w:val="20"/>
        </w:rPr>
        <w:t>5</w:t>
      </w:r>
      <w:r w:rsidR="00DE63DB">
        <w:rPr>
          <w:rFonts w:ascii="Arial" w:hAnsi="Arial" w:cs="Arial"/>
          <w:sz w:val="20"/>
          <w:szCs w:val="20"/>
        </w:rPr>
        <w:t>9</w:t>
      </w:r>
    </w:p>
    <w:p w:rsidR="00A82794" w:rsidRPr="00315335"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Presiuni semnificative asupra resurselor de apă din judet </w:t>
      </w:r>
      <w:r w:rsidRPr="00315335">
        <w:rPr>
          <w:rFonts w:ascii="Arial" w:hAnsi="Arial" w:cs="Arial"/>
          <w:sz w:val="20"/>
          <w:szCs w:val="20"/>
        </w:rPr>
        <w:tab/>
        <w:t xml:space="preserve"> </w:t>
      </w:r>
      <w:r w:rsidR="00C62F50" w:rsidRPr="00315335">
        <w:rPr>
          <w:rFonts w:ascii="Arial" w:hAnsi="Arial" w:cs="Arial"/>
          <w:sz w:val="20"/>
          <w:szCs w:val="20"/>
        </w:rPr>
        <w:t>5</w:t>
      </w:r>
      <w:r w:rsidR="00DE63DB">
        <w:rPr>
          <w:rFonts w:ascii="Arial" w:hAnsi="Arial" w:cs="Arial"/>
          <w:sz w:val="20"/>
          <w:szCs w:val="20"/>
        </w:rPr>
        <w:t>9</w:t>
      </w:r>
      <w:r w:rsidRPr="00315335">
        <w:rPr>
          <w:rFonts w:ascii="Arial" w:hAnsi="Arial" w:cs="Arial"/>
          <w:sz w:val="20"/>
          <w:szCs w:val="20"/>
        </w:rPr>
        <w:t xml:space="preserve"> </w:t>
      </w:r>
    </w:p>
    <w:p w:rsidR="00A82794" w:rsidRPr="00315335"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Apele uzate şi reţelele de canalizare </w:t>
      </w:r>
      <w:r w:rsidRPr="00315335">
        <w:rPr>
          <w:rFonts w:ascii="Arial" w:hAnsi="Arial" w:cs="Arial"/>
          <w:sz w:val="20"/>
          <w:szCs w:val="20"/>
        </w:rPr>
        <w:tab/>
        <w:t xml:space="preserve"> </w:t>
      </w:r>
      <w:r w:rsidR="00DE63DB">
        <w:rPr>
          <w:rFonts w:ascii="Arial" w:hAnsi="Arial" w:cs="Arial"/>
          <w:sz w:val="20"/>
          <w:szCs w:val="20"/>
        </w:rPr>
        <w:t>61</w:t>
      </w:r>
      <w:r w:rsidRPr="00315335">
        <w:rPr>
          <w:rFonts w:ascii="Arial" w:hAnsi="Arial" w:cs="Arial"/>
          <w:sz w:val="20"/>
          <w:szCs w:val="20"/>
        </w:rPr>
        <w:t xml:space="preserve">  </w:t>
      </w:r>
    </w:p>
    <w:p w:rsidR="00A82794" w:rsidRPr="00315335"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Tendinţe şi prognoze privind calitatea apei </w:t>
      </w:r>
      <w:r w:rsidRPr="00315335">
        <w:rPr>
          <w:rFonts w:ascii="Arial" w:hAnsi="Arial" w:cs="Arial"/>
          <w:i/>
          <w:sz w:val="20"/>
          <w:szCs w:val="20"/>
        </w:rPr>
        <w:tab/>
      </w:r>
      <w:r w:rsidRPr="00315335">
        <w:rPr>
          <w:rFonts w:ascii="Arial" w:hAnsi="Arial" w:cs="Arial"/>
          <w:sz w:val="20"/>
          <w:szCs w:val="20"/>
        </w:rPr>
        <w:t xml:space="preserve"> </w:t>
      </w:r>
      <w:r w:rsidR="00DE63DB">
        <w:rPr>
          <w:rFonts w:ascii="Arial" w:hAnsi="Arial" w:cs="Arial"/>
          <w:sz w:val="20"/>
          <w:szCs w:val="20"/>
        </w:rPr>
        <w:t>62</w:t>
      </w:r>
    </w:p>
    <w:p w:rsidR="00A82794" w:rsidRPr="00315335"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Politici, acţiuni şi măsuri privind îmbunătăţirea stării de calitate a apelor </w:t>
      </w:r>
      <w:r w:rsidRPr="00315335">
        <w:rPr>
          <w:rFonts w:ascii="Arial" w:hAnsi="Arial" w:cs="Arial"/>
          <w:i/>
          <w:sz w:val="20"/>
          <w:szCs w:val="20"/>
        </w:rPr>
        <w:tab/>
      </w:r>
      <w:r w:rsidR="00C62F50" w:rsidRPr="00315335">
        <w:rPr>
          <w:rFonts w:ascii="Arial" w:hAnsi="Arial" w:cs="Arial"/>
          <w:sz w:val="20"/>
          <w:szCs w:val="20"/>
        </w:rPr>
        <w:t xml:space="preserve"> 6</w:t>
      </w:r>
      <w:r w:rsidR="00DE63DB">
        <w:rPr>
          <w:rFonts w:ascii="Arial" w:hAnsi="Arial" w:cs="Arial"/>
          <w:sz w:val="20"/>
          <w:szCs w:val="20"/>
        </w:rPr>
        <w:t>8</w:t>
      </w:r>
    </w:p>
    <w:p w:rsidR="00A82794" w:rsidRPr="00315335" w:rsidRDefault="00A82794" w:rsidP="00A82794">
      <w:pPr>
        <w:numPr>
          <w:ilvl w:val="0"/>
          <w:numId w:val="1"/>
        </w:numPr>
        <w:tabs>
          <w:tab w:val="left" w:pos="540"/>
          <w:tab w:val="left" w:leader="dot" w:pos="9356"/>
        </w:tabs>
        <w:spacing w:after="0" w:line="240" w:lineRule="auto"/>
        <w:ind w:left="784" w:hanging="784"/>
        <w:rPr>
          <w:rFonts w:ascii="Arial" w:hAnsi="Arial" w:cs="Arial"/>
          <w:b/>
          <w:sz w:val="20"/>
          <w:szCs w:val="20"/>
        </w:rPr>
      </w:pPr>
      <w:r w:rsidRPr="00315335">
        <w:rPr>
          <w:rFonts w:ascii="Arial" w:hAnsi="Arial" w:cs="Arial"/>
          <w:b/>
          <w:sz w:val="20"/>
          <w:szCs w:val="20"/>
        </w:rPr>
        <w:t xml:space="preserve">SOLUL  </w:t>
      </w:r>
      <w:r w:rsidRPr="00315335">
        <w:rPr>
          <w:rFonts w:ascii="Arial" w:hAnsi="Arial" w:cs="Arial"/>
          <w:b/>
          <w:sz w:val="20"/>
          <w:szCs w:val="20"/>
        </w:rPr>
        <w:tab/>
        <w:t xml:space="preserve"> </w:t>
      </w:r>
      <w:r w:rsidR="00DE63DB">
        <w:rPr>
          <w:rFonts w:ascii="Arial" w:hAnsi="Arial" w:cs="Arial"/>
          <w:b/>
          <w:sz w:val="20"/>
          <w:szCs w:val="20"/>
        </w:rPr>
        <w:t>71</w:t>
      </w:r>
      <w:r w:rsidRPr="00315335">
        <w:rPr>
          <w:rFonts w:ascii="Arial" w:hAnsi="Arial" w:cs="Arial"/>
          <w:b/>
          <w:sz w:val="20"/>
          <w:szCs w:val="20"/>
        </w:rPr>
        <w:t xml:space="preserve"> </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Calitatea solurilor: stare şi tendinţe  </w:t>
      </w:r>
      <w:r w:rsidRPr="00315335">
        <w:rPr>
          <w:rFonts w:ascii="Arial" w:hAnsi="Arial" w:cs="Arial"/>
          <w:b/>
          <w:sz w:val="20"/>
          <w:szCs w:val="20"/>
        </w:rPr>
        <w:tab/>
        <w:t xml:space="preserve"> </w:t>
      </w:r>
      <w:r w:rsidR="00DE63DB">
        <w:rPr>
          <w:rFonts w:ascii="Arial" w:hAnsi="Arial" w:cs="Arial"/>
          <w:b/>
          <w:sz w:val="20"/>
          <w:szCs w:val="20"/>
        </w:rPr>
        <w:t>71</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Repartiţia terenurilor pe clase de calitate </w:t>
      </w:r>
      <w:r w:rsidRPr="00315335">
        <w:rPr>
          <w:rFonts w:ascii="Arial" w:hAnsi="Arial" w:cs="Arial"/>
          <w:i/>
          <w:sz w:val="20"/>
          <w:szCs w:val="20"/>
        </w:rPr>
        <w:tab/>
      </w:r>
      <w:r w:rsidRPr="00315335">
        <w:rPr>
          <w:rFonts w:ascii="Arial" w:hAnsi="Arial" w:cs="Arial"/>
          <w:sz w:val="20"/>
          <w:szCs w:val="20"/>
        </w:rPr>
        <w:t xml:space="preserve"> </w:t>
      </w:r>
      <w:r w:rsidR="00DE63DB">
        <w:rPr>
          <w:rFonts w:ascii="Arial" w:hAnsi="Arial" w:cs="Arial"/>
          <w:sz w:val="20"/>
          <w:szCs w:val="20"/>
        </w:rPr>
        <w:t>71</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Terenuri afectate de diverşi factori limitativi </w:t>
      </w:r>
      <w:r w:rsidRPr="00315335">
        <w:rPr>
          <w:rFonts w:ascii="Arial" w:hAnsi="Arial" w:cs="Arial"/>
          <w:i/>
          <w:sz w:val="20"/>
          <w:szCs w:val="20"/>
        </w:rPr>
        <w:tab/>
      </w:r>
      <w:r w:rsidRPr="00315335">
        <w:rPr>
          <w:rFonts w:ascii="Arial" w:hAnsi="Arial" w:cs="Arial"/>
          <w:sz w:val="20"/>
          <w:szCs w:val="20"/>
        </w:rPr>
        <w:t xml:space="preserve"> </w:t>
      </w:r>
      <w:r w:rsidR="00DE63DB">
        <w:rPr>
          <w:rFonts w:ascii="Arial" w:hAnsi="Arial" w:cs="Arial"/>
          <w:sz w:val="20"/>
          <w:szCs w:val="20"/>
        </w:rPr>
        <w:t>72</w:t>
      </w:r>
      <w:r w:rsidRPr="00315335">
        <w:rPr>
          <w:rFonts w:ascii="Arial" w:hAnsi="Arial" w:cs="Arial"/>
          <w:sz w:val="20"/>
          <w:szCs w:val="20"/>
        </w:rPr>
        <w:t xml:space="preserve"> </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Zone critice sub aspectul deteriorării solurilor   </w:t>
      </w:r>
      <w:r w:rsidRPr="00315335">
        <w:rPr>
          <w:rFonts w:ascii="Arial" w:hAnsi="Arial" w:cs="Arial"/>
          <w:b/>
          <w:sz w:val="20"/>
          <w:szCs w:val="20"/>
        </w:rPr>
        <w:tab/>
        <w:t xml:space="preserve"> </w:t>
      </w:r>
      <w:r w:rsidR="00DE63DB">
        <w:rPr>
          <w:rFonts w:ascii="Arial" w:hAnsi="Arial" w:cs="Arial"/>
          <w:b/>
          <w:sz w:val="20"/>
          <w:szCs w:val="20"/>
        </w:rPr>
        <w:t>74</w:t>
      </w:r>
      <w:r w:rsidRPr="00315335">
        <w:rPr>
          <w:rFonts w:ascii="Arial" w:hAnsi="Arial" w:cs="Arial"/>
          <w:b/>
          <w:sz w:val="20"/>
          <w:szCs w:val="20"/>
        </w:rPr>
        <w:t xml:space="preserve"> </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Zone afectate de procese naturale  ........................................................................................</w:t>
      </w:r>
      <w:r w:rsidRPr="00315335">
        <w:rPr>
          <w:rFonts w:ascii="Arial" w:hAnsi="Arial" w:cs="Arial"/>
          <w:sz w:val="20"/>
          <w:szCs w:val="20"/>
        </w:rPr>
        <w:t xml:space="preserve"> </w:t>
      </w:r>
      <w:r w:rsidR="00DE63DB">
        <w:rPr>
          <w:rFonts w:ascii="Arial" w:hAnsi="Arial" w:cs="Arial"/>
          <w:sz w:val="20"/>
          <w:szCs w:val="20"/>
        </w:rPr>
        <w:t xml:space="preserve"> 74</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Presiuni asupra stării de calitate a  solurilor   </w:t>
      </w:r>
      <w:r w:rsidRPr="00315335">
        <w:rPr>
          <w:rFonts w:ascii="Arial" w:hAnsi="Arial" w:cs="Arial"/>
          <w:b/>
          <w:sz w:val="20"/>
          <w:szCs w:val="20"/>
        </w:rPr>
        <w:tab/>
      </w:r>
      <w:r w:rsidRPr="00315335">
        <w:rPr>
          <w:rFonts w:ascii="Arial" w:hAnsi="Arial" w:cs="Arial"/>
          <w:sz w:val="20"/>
          <w:szCs w:val="20"/>
        </w:rPr>
        <w:t xml:space="preserve"> </w:t>
      </w:r>
      <w:r w:rsidR="005950CB">
        <w:rPr>
          <w:rFonts w:ascii="Arial" w:hAnsi="Arial" w:cs="Arial"/>
          <w:sz w:val="20"/>
          <w:szCs w:val="20"/>
        </w:rPr>
        <w:t>74</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Utilizare şi consumul de îngrăşăminte </w:t>
      </w:r>
      <w:r w:rsidRPr="00315335">
        <w:rPr>
          <w:rFonts w:ascii="Arial" w:hAnsi="Arial" w:cs="Arial"/>
          <w:i/>
          <w:sz w:val="20"/>
          <w:szCs w:val="20"/>
        </w:rPr>
        <w:tab/>
      </w:r>
      <w:r w:rsidRPr="00315335">
        <w:rPr>
          <w:rFonts w:ascii="Arial" w:hAnsi="Arial" w:cs="Arial"/>
          <w:sz w:val="20"/>
          <w:szCs w:val="20"/>
        </w:rPr>
        <w:t xml:space="preserve"> </w:t>
      </w:r>
      <w:r w:rsidR="005950CB">
        <w:rPr>
          <w:rFonts w:ascii="Arial" w:hAnsi="Arial" w:cs="Arial"/>
          <w:sz w:val="20"/>
          <w:szCs w:val="20"/>
        </w:rPr>
        <w:t>74</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Consumul de produse de protecţia plantelor  </w:t>
      </w:r>
      <w:r w:rsidRPr="00315335">
        <w:rPr>
          <w:rFonts w:ascii="Arial" w:hAnsi="Arial" w:cs="Arial"/>
          <w:i/>
          <w:sz w:val="20"/>
          <w:szCs w:val="20"/>
        </w:rPr>
        <w:tab/>
      </w:r>
      <w:r w:rsidRPr="00315335">
        <w:rPr>
          <w:rFonts w:ascii="Arial" w:hAnsi="Arial" w:cs="Arial"/>
          <w:sz w:val="20"/>
          <w:szCs w:val="20"/>
        </w:rPr>
        <w:t xml:space="preserve"> </w:t>
      </w:r>
      <w:r w:rsidR="00C62F50" w:rsidRPr="00315335">
        <w:rPr>
          <w:rFonts w:ascii="Arial" w:hAnsi="Arial" w:cs="Arial"/>
          <w:sz w:val="20"/>
          <w:szCs w:val="20"/>
        </w:rPr>
        <w:t>7</w:t>
      </w:r>
      <w:r w:rsidR="005950CB">
        <w:rPr>
          <w:rFonts w:ascii="Arial" w:hAnsi="Arial" w:cs="Arial"/>
          <w:sz w:val="20"/>
          <w:szCs w:val="20"/>
        </w:rPr>
        <w:t>6</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Evoluţia suprafeţelor de îmbunătățiri funciare </w:t>
      </w:r>
      <w:r w:rsidRPr="00315335">
        <w:rPr>
          <w:rFonts w:ascii="Arial" w:hAnsi="Arial" w:cs="Arial"/>
          <w:i/>
          <w:sz w:val="20"/>
          <w:szCs w:val="20"/>
        </w:rPr>
        <w:tab/>
      </w:r>
      <w:r w:rsidRPr="00315335">
        <w:rPr>
          <w:rFonts w:ascii="Arial" w:hAnsi="Arial" w:cs="Arial"/>
          <w:sz w:val="20"/>
          <w:szCs w:val="20"/>
        </w:rPr>
        <w:t xml:space="preserve"> </w:t>
      </w:r>
      <w:r w:rsidR="00C62F50" w:rsidRPr="00315335">
        <w:rPr>
          <w:rFonts w:ascii="Arial" w:hAnsi="Arial" w:cs="Arial"/>
          <w:sz w:val="20"/>
          <w:szCs w:val="20"/>
        </w:rPr>
        <w:t>7</w:t>
      </w:r>
      <w:r w:rsidR="005950CB">
        <w:rPr>
          <w:rFonts w:ascii="Arial" w:hAnsi="Arial" w:cs="Arial"/>
          <w:sz w:val="20"/>
          <w:szCs w:val="20"/>
        </w:rPr>
        <w:t>7</w:t>
      </w:r>
      <w:r w:rsidRPr="00315335">
        <w:rPr>
          <w:rFonts w:ascii="Arial" w:hAnsi="Arial" w:cs="Arial"/>
          <w:i/>
          <w:sz w:val="20"/>
          <w:szCs w:val="20"/>
        </w:rPr>
        <w:t xml:space="preserve"> </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Prognoze și acțiuni întreprinse pentru ameliorarea stării de calitate a solurilor </w:t>
      </w:r>
      <w:r w:rsidRPr="00315335">
        <w:rPr>
          <w:rFonts w:ascii="Arial" w:hAnsi="Arial" w:cs="Arial"/>
          <w:b/>
          <w:sz w:val="20"/>
          <w:szCs w:val="20"/>
        </w:rPr>
        <w:tab/>
        <w:t xml:space="preserve"> </w:t>
      </w:r>
      <w:r w:rsidR="00C62F50" w:rsidRPr="00315335">
        <w:rPr>
          <w:rFonts w:ascii="Arial" w:hAnsi="Arial" w:cs="Arial"/>
          <w:b/>
          <w:sz w:val="20"/>
          <w:szCs w:val="20"/>
        </w:rPr>
        <w:t>7</w:t>
      </w:r>
      <w:r w:rsidR="005950CB">
        <w:rPr>
          <w:rFonts w:ascii="Arial" w:hAnsi="Arial" w:cs="Arial"/>
          <w:b/>
          <w:sz w:val="20"/>
          <w:szCs w:val="20"/>
        </w:rPr>
        <w:t>7</w:t>
      </w:r>
    </w:p>
    <w:p w:rsidR="00A82794" w:rsidRPr="00315335" w:rsidRDefault="00A82794" w:rsidP="00A82794">
      <w:pPr>
        <w:numPr>
          <w:ilvl w:val="0"/>
          <w:numId w:val="1"/>
        </w:numPr>
        <w:tabs>
          <w:tab w:val="left" w:pos="540"/>
          <w:tab w:val="left" w:leader="dot" w:pos="9356"/>
        </w:tabs>
        <w:spacing w:after="0" w:line="240" w:lineRule="auto"/>
        <w:ind w:left="784" w:hanging="784"/>
        <w:rPr>
          <w:rFonts w:ascii="Arial" w:hAnsi="Arial" w:cs="Arial"/>
          <w:b/>
          <w:sz w:val="20"/>
          <w:szCs w:val="20"/>
        </w:rPr>
      </w:pPr>
      <w:r w:rsidRPr="00315335">
        <w:rPr>
          <w:rFonts w:ascii="Arial" w:hAnsi="Arial" w:cs="Arial"/>
          <w:b/>
          <w:sz w:val="20"/>
          <w:szCs w:val="20"/>
        </w:rPr>
        <w:t xml:space="preserve">UTILIZAREA TERENURILOR </w:t>
      </w:r>
      <w:r w:rsidRPr="00315335">
        <w:rPr>
          <w:rFonts w:ascii="Arial" w:hAnsi="Arial" w:cs="Arial"/>
          <w:b/>
          <w:sz w:val="20"/>
          <w:szCs w:val="20"/>
        </w:rPr>
        <w:tab/>
        <w:t>.</w:t>
      </w:r>
      <w:r w:rsidR="00D05713" w:rsidRPr="00315335">
        <w:rPr>
          <w:rFonts w:ascii="Arial" w:hAnsi="Arial" w:cs="Arial"/>
          <w:b/>
          <w:sz w:val="20"/>
          <w:szCs w:val="20"/>
        </w:rPr>
        <w:t>7</w:t>
      </w:r>
      <w:r w:rsidR="00631723">
        <w:rPr>
          <w:rFonts w:ascii="Arial" w:hAnsi="Arial" w:cs="Arial"/>
          <w:b/>
          <w:sz w:val="20"/>
          <w:szCs w:val="20"/>
        </w:rPr>
        <w:t>9</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Stare şi tendinţe </w:t>
      </w:r>
      <w:r w:rsidRPr="00315335">
        <w:rPr>
          <w:rFonts w:ascii="Arial" w:hAnsi="Arial" w:cs="Arial"/>
          <w:b/>
          <w:sz w:val="20"/>
          <w:szCs w:val="20"/>
        </w:rPr>
        <w:tab/>
        <w:t xml:space="preserve"> </w:t>
      </w:r>
      <w:r w:rsidR="00D05713" w:rsidRPr="00315335">
        <w:rPr>
          <w:rFonts w:ascii="Arial" w:hAnsi="Arial" w:cs="Arial"/>
          <w:b/>
          <w:sz w:val="20"/>
          <w:szCs w:val="20"/>
        </w:rPr>
        <w:t>7</w:t>
      </w:r>
      <w:r w:rsidR="00631723">
        <w:rPr>
          <w:rFonts w:ascii="Arial" w:hAnsi="Arial" w:cs="Arial"/>
          <w:b/>
          <w:sz w:val="20"/>
          <w:szCs w:val="20"/>
        </w:rPr>
        <w:t>9</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Repartiţia terenurilor pe categorii de acoperire/utilizare </w:t>
      </w:r>
      <w:r w:rsidRPr="00315335">
        <w:rPr>
          <w:rFonts w:ascii="Arial" w:hAnsi="Arial" w:cs="Arial"/>
          <w:i/>
          <w:sz w:val="20"/>
          <w:szCs w:val="20"/>
        </w:rPr>
        <w:tab/>
        <w:t xml:space="preserve"> </w:t>
      </w:r>
      <w:r w:rsidR="00D05713" w:rsidRPr="00315335">
        <w:rPr>
          <w:rFonts w:ascii="Arial" w:hAnsi="Arial" w:cs="Arial"/>
          <w:sz w:val="20"/>
          <w:szCs w:val="20"/>
        </w:rPr>
        <w:t>7</w:t>
      </w:r>
      <w:r w:rsidR="00631723">
        <w:rPr>
          <w:rFonts w:ascii="Arial" w:hAnsi="Arial" w:cs="Arial"/>
          <w:sz w:val="20"/>
          <w:szCs w:val="20"/>
        </w:rPr>
        <w:t>9</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Tendinţe privind schimbarea destinaţiei utilizării terenurilor </w:t>
      </w:r>
      <w:r w:rsidRPr="00315335">
        <w:rPr>
          <w:rFonts w:ascii="Arial" w:hAnsi="Arial" w:cs="Arial"/>
          <w:i/>
          <w:sz w:val="20"/>
          <w:szCs w:val="20"/>
        </w:rPr>
        <w:tab/>
        <w:t xml:space="preserve"> </w:t>
      </w:r>
      <w:r w:rsidR="00631723" w:rsidRPr="00631723">
        <w:rPr>
          <w:rFonts w:ascii="Arial" w:hAnsi="Arial" w:cs="Arial"/>
          <w:sz w:val="20"/>
          <w:szCs w:val="20"/>
        </w:rPr>
        <w:t>81</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Impactul schimbării utilizării terenurilor asupra mediului   </w:t>
      </w:r>
      <w:r w:rsidRPr="00315335">
        <w:rPr>
          <w:rFonts w:ascii="Arial" w:hAnsi="Arial" w:cs="Arial"/>
          <w:b/>
          <w:sz w:val="20"/>
          <w:szCs w:val="20"/>
        </w:rPr>
        <w:tab/>
      </w:r>
      <w:r w:rsidR="00D05713" w:rsidRPr="00315335">
        <w:rPr>
          <w:rFonts w:ascii="Arial" w:hAnsi="Arial" w:cs="Arial"/>
          <w:b/>
          <w:sz w:val="20"/>
          <w:szCs w:val="20"/>
        </w:rPr>
        <w:t xml:space="preserve"> </w:t>
      </w:r>
      <w:r w:rsidR="00631723">
        <w:rPr>
          <w:rFonts w:ascii="Arial" w:hAnsi="Arial" w:cs="Arial"/>
          <w:b/>
          <w:sz w:val="20"/>
          <w:szCs w:val="20"/>
        </w:rPr>
        <w:t>84</w:t>
      </w:r>
      <w:r w:rsidRPr="00315335">
        <w:rPr>
          <w:rFonts w:ascii="Arial" w:hAnsi="Arial" w:cs="Arial"/>
          <w:b/>
          <w:sz w:val="20"/>
          <w:szCs w:val="20"/>
        </w:rPr>
        <w:t xml:space="preserve"> </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Impactul schimbării utilizării terenuril</w:t>
      </w:r>
      <w:r w:rsidR="00631723">
        <w:rPr>
          <w:rFonts w:ascii="Arial" w:hAnsi="Arial" w:cs="Arial"/>
          <w:i/>
          <w:sz w:val="20"/>
          <w:szCs w:val="20"/>
        </w:rPr>
        <w:t>or asupra terenurilor agricole ........................................</w:t>
      </w:r>
      <w:r w:rsidR="00631723">
        <w:rPr>
          <w:rFonts w:ascii="Arial" w:hAnsi="Arial" w:cs="Arial"/>
          <w:sz w:val="20"/>
          <w:szCs w:val="20"/>
        </w:rPr>
        <w:t xml:space="preserve">  84</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Impactul schimbării utilizării terenurilor asupra habitatelor </w:t>
      </w:r>
      <w:r w:rsidRPr="00315335">
        <w:rPr>
          <w:rFonts w:ascii="Arial" w:hAnsi="Arial" w:cs="Arial"/>
          <w:i/>
          <w:sz w:val="20"/>
          <w:szCs w:val="20"/>
        </w:rPr>
        <w:tab/>
      </w:r>
      <w:r w:rsidR="00631723">
        <w:rPr>
          <w:rFonts w:ascii="Arial" w:hAnsi="Arial" w:cs="Arial"/>
          <w:i/>
          <w:sz w:val="20"/>
          <w:szCs w:val="20"/>
        </w:rPr>
        <w:t xml:space="preserve"> </w:t>
      </w:r>
      <w:r w:rsidR="00D05713" w:rsidRPr="00315335">
        <w:rPr>
          <w:rFonts w:ascii="Arial" w:hAnsi="Arial" w:cs="Arial"/>
          <w:sz w:val="20"/>
          <w:szCs w:val="20"/>
        </w:rPr>
        <w:t>8</w:t>
      </w:r>
      <w:r w:rsidR="00631723">
        <w:rPr>
          <w:rFonts w:ascii="Arial" w:hAnsi="Arial" w:cs="Arial"/>
          <w:sz w:val="20"/>
          <w:szCs w:val="20"/>
        </w:rPr>
        <w:t>5</w:t>
      </w:r>
      <w:r w:rsidRPr="00315335">
        <w:rPr>
          <w:rFonts w:ascii="Arial" w:hAnsi="Arial" w:cs="Arial"/>
          <w:i/>
          <w:sz w:val="20"/>
          <w:szCs w:val="20"/>
        </w:rPr>
        <w:t xml:space="preserve"> </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Factorii determinanţi ai schimbării utilizării terenurilor </w:t>
      </w:r>
      <w:r w:rsidRPr="00315335">
        <w:rPr>
          <w:rFonts w:ascii="Arial" w:hAnsi="Arial" w:cs="Arial"/>
          <w:b/>
          <w:sz w:val="20"/>
          <w:szCs w:val="20"/>
        </w:rPr>
        <w:tab/>
      </w:r>
      <w:r w:rsidR="00631723">
        <w:rPr>
          <w:rFonts w:ascii="Arial" w:hAnsi="Arial" w:cs="Arial"/>
          <w:b/>
          <w:sz w:val="20"/>
          <w:szCs w:val="20"/>
        </w:rPr>
        <w:t xml:space="preserve"> </w:t>
      </w:r>
      <w:r w:rsidR="00D05713" w:rsidRPr="00315335">
        <w:rPr>
          <w:rFonts w:ascii="Arial" w:hAnsi="Arial" w:cs="Arial"/>
          <w:b/>
          <w:sz w:val="20"/>
          <w:szCs w:val="20"/>
        </w:rPr>
        <w:t>8</w:t>
      </w:r>
      <w:r w:rsidR="00631723">
        <w:rPr>
          <w:rFonts w:ascii="Arial" w:hAnsi="Arial" w:cs="Arial"/>
          <w:b/>
          <w:sz w:val="20"/>
          <w:szCs w:val="20"/>
        </w:rPr>
        <w:t>6</w:t>
      </w:r>
      <w:r w:rsidRPr="00315335">
        <w:rPr>
          <w:rFonts w:ascii="Arial" w:hAnsi="Arial" w:cs="Arial"/>
          <w:b/>
          <w:sz w:val="20"/>
          <w:szCs w:val="20"/>
        </w:rPr>
        <w:t xml:space="preserve"> </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sz w:val="20"/>
          <w:szCs w:val="20"/>
        </w:rPr>
      </w:pPr>
      <w:r w:rsidRPr="00315335">
        <w:rPr>
          <w:rFonts w:ascii="Arial" w:hAnsi="Arial" w:cs="Arial"/>
          <w:i/>
          <w:sz w:val="20"/>
          <w:szCs w:val="20"/>
        </w:rPr>
        <w:t xml:space="preserve">Modificarea densităţii populaţiei </w:t>
      </w:r>
      <w:r w:rsidRPr="00315335">
        <w:rPr>
          <w:rFonts w:ascii="Arial" w:hAnsi="Arial" w:cs="Arial"/>
          <w:i/>
          <w:sz w:val="20"/>
          <w:szCs w:val="20"/>
        </w:rPr>
        <w:tab/>
      </w:r>
      <w:r w:rsidR="00631723">
        <w:rPr>
          <w:rFonts w:ascii="Arial" w:hAnsi="Arial" w:cs="Arial"/>
          <w:i/>
          <w:sz w:val="20"/>
          <w:szCs w:val="20"/>
        </w:rPr>
        <w:t xml:space="preserve"> </w:t>
      </w:r>
      <w:r w:rsidR="00D05713" w:rsidRPr="00315335">
        <w:rPr>
          <w:rFonts w:ascii="Arial" w:hAnsi="Arial" w:cs="Arial"/>
          <w:sz w:val="20"/>
          <w:szCs w:val="20"/>
        </w:rPr>
        <w:t>8</w:t>
      </w:r>
      <w:r w:rsidR="00631723">
        <w:rPr>
          <w:rFonts w:ascii="Arial" w:hAnsi="Arial" w:cs="Arial"/>
          <w:sz w:val="20"/>
          <w:szCs w:val="20"/>
        </w:rPr>
        <w:t>6</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Expansiunea urbană </w:t>
      </w:r>
      <w:r w:rsidRPr="00315335">
        <w:rPr>
          <w:rFonts w:ascii="Arial" w:hAnsi="Arial" w:cs="Arial"/>
          <w:i/>
          <w:sz w:val="20"/>
          <w:szCs w:val="20"/>
        </w:rPr>
        <w:tab/>
      </w:r>
      <w:r w:rsidR="00631723">
        <w:rPr>
          <w:rFonts w:ascii="Arial" w:hAnsi="Arial" w:cs="Arial"/>
          <w:i/>
          <w:sz w:val="20"/>
          <w:szCs w:val="20"/>
        </w:rPr>
        <w:t xml:space="preserve"> </w:t>
      </w:r>
      <w:r w:rsidR="00D05713" w:rsidRPr="00631723">
        <w:rPr>
          <w:rFonts w:ascii="Arial" w:hAnsi="Arial" w:cs="Arial"/>
          <w:sz w:val="20"/>
          <w:szCs w:val="20"/>
        </w:rPr>
        <w:t>8</w:t>
      </w:r>
      <w:r w:rsidR="00631723">
        <w:rPr>
          <w:rFonts w:ascii="Arial" w:hAnsi="Arial" w:cs="Arial"/>
          <w:sz w:val="20"/>
          <w:szCs w:val="20"/>
        </w:rPr>
        <w:t>7</w:t>
      </w:r>
      <w:r w:rsidRPr="00315335">
        <w:rPr>
          <w:rFonts w:ascii="Arial" w:hAnsi="Arial" w:cs="Arial"/>
          <w:i/>
          <w:sz w:val="20"/>
          <w:szCs w:val="20"/>
        </w:rPr>
        <w:t xml:space="preserve"> </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 Prognoze și acțiuni întreprinse privind utilizarea terenurilor </w:t>
      </w:r>
      <w:r w:rsidRPr="00315335">
        <w:rPr>
          <w:rFonts w:ascii="Arial" w:hAnsi="Arial" w:cs="Arial"/>
          <w:b/>
          <w:sz w:val="20"/>
          <w:szCs w:val="20"/>
        </w:rPr>
        <w:tab/>
      </w:r>
      <w:r w:rsidR="00631723">
        <w:rPr>
          <w:rFonts w:ascii="Arial" w:hAnsi="Arial" w:cs="Arial"/>
          <w:b/>
          <w:sz w:val="20"/>
          <w:szCs w:val="20"/>
        </w:rPr>
        <w:t xml:space="preserve"> </w:t>
      </w:r>
      <w:r w:rsidR="00D05713" w:rsidRPr="00315335">
        <w:rPr>
          <w:rFonts w:ascii="Arial" w:hAnsi="Arial" w:cs="Arial"/>
          <w:b/>
          <w:sz w:val="20"/>
          <w:szCs w:val="20"/>
        </w:rPr>
        <w:t>8</w:t>
      </w:r>
      <w:r w:rsidR="00631723">
        <w:rPr>
          <w:rFonts w:ascii="Arial" w:hAnsi="Arial" w:cs="Arial"/>
          <w:b/>
          <w:sz w:val="20"/>
          <w:szCs w:val="20"/>
        </w:rPr>
        <w:t>8</w:t>
      </w:r>
      <w:r w:rsidRPr="00315335">
        <w:rPr>
          <w:rFonts w:ascii="Arial" w:hAnsi="Arial" w:cs="Arial"/>
          <w:b/>
          <w:sz w:val="20"/>
          <w:szCs w:val="20"/>
        </w:rPr>
        <w:t xml:space="preserve"> </w:t>
      </w:r>
    </w:p>
    <w:p w:rsidR="00A82794" w:rsidRPr="00315335" w:rsidRDefault="00A82794" w:rsidP="00A82794">
      <w:pPr>
        <w:numPr>
          <w:ilvl w:val="0"/>
          <w:numId w:val="1"/>
        </w:numPr>
        <w:tabs>
          <w:tab w:val="left" w:pos="540"/>
          <w:tab w:val="left" w:pos="9356"/>
        </w:tabs>
        <w:spacing w:after="0" w:line="240" w:lineRule="auto"/>
        <w:rPr>
          <w:rFonts w:ascii="Arial" w:hAnsi="Arial" w:cs="Arial"/>
          <w:b/>
          <w:sz w:val="20"/>
          <w:szCs w:val="20"/>
        </w:rPr>
      </w:pPr>
      <w:r w:rsidRPr="00315335">
        <w:rPr>
          <w:rFonts w:ascii="Arial" w:hAnsi="Arial" w:cs="Arial"/>
          <w:b/>
          <w:sz w:val="20"/>
          <w:szCs w:val="20"/>
        </w:rPr>
        <w:t xml:space="preserve">PROTECŢIA NATURII ŞI BIODIVERSITATEA .................................................................................. </w:t>
      </w:r>
      <w:r w:rsidR="00631723">
        <w:rPr>
          <w:rFonts w:ascii="Arial" w:hAnsi="Arial" w:cs="Arial"/>
          <w:b/>
          <w:sz w:val="20"/>
          <w:szCs w:val="20"/>
        </w:rPr>
        <w:t xml:space="preserve"> </w:t>
      </w:r>
      <w:r w:rsidR="00D05713" w:rsidRPr="00315335">
        <w:rPr>
          <w:rFonts w:ascii="Arial" w:hAnsi="Arial" w:cs="Arial"/>
          <w:b/>
          <w:sz w:val="20"/>
          <w:szCs w:val="20"/>
        </w:rPr>
        <w:t>8</w:t>
      </w:r>
      <w:r w:rsidR="00631723">
        <w:rPr>
          <w:rFonts w:ascii="Arial" w:hAnsi="Arial" w:cs="Arial"/>
          <w:b/>
          <w:sz w:val="20"/>
          <w:szCs w:val="20"/>
        </w:rPr>
        <w:t>9</w:t>
      </w:r>
      <w:r w:rsidRPr="00315335">
        <w:rPr>
          <w:rFonts w:ascii="Arial" w:hAnsi="Arial" w:cs="Arial"/>
          <w:b/>
          <w:sz w:val="20"/>
          <w:szCs w:val="20"/>
        </w:rPr>
        <w:t xml:space="preserve">  </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Ameninţări pentru biodiversitate şi presiuni exercitate asupra biodiversităţii </w:t>
      </w:r>
      <w:r w:rsidRPr="00315335">
        <w:rPr>
          <w:rFonts w:ascii="Arial" w:hAnsi="Arial" w:cs="Arial"/>
          <w:b/>
          <w:sz w:val="20"/>
          <w:szCs w:val="20"/>
        </w:rPr>
        <w:tab/>
        <w:t xml:space="preserve"> </w:t>
      </w:r>
      <w:r w:rsidR="00D05713" w:rsidRPr="00315335">
        <w:rPr>
          <w:rFonts w:ascii="Arial" w:hAnsi="Arial" w:cs="Arial"/>
          <w:b/>
          <w:sz w:val="20"/>
          <w:szCs w:val="20"/>
        </w:rPr>
        <w:t>9</w:t>
      </w:r>
      <w:r w:rsidR="00631723">
        <w:rPr>
          <w:rFonts w:ascii="Arial" w:hAnsi="Arial" w:cs="Arial"/>
          <w:b/>
          <w:sz w:val="20"/>
          <w:szCs w:val="20"/>
        </w:rPr>
        <w:t>5</w:t>
      </w:r>
    </w:p>
    <w:p w:rsidR="00A82794" w:rsidRPr="00315335"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315335">
        <w:rPr>
          <w:rFonts w:ascii="Arial" w:hAnsi="Arial" w:cs="Arial"/>
          <w:i/>
          <w:sz w:val="20"/>
          <w:szCs w:val="20"/>
        </w:rPr>
        <w:lastRenderedPageBreak/>
        <w:t xml:space="preserve">Speciile invazive </w:t>
      </w:r>
      <w:r w:rsidRPr="00315335">
        <w:rPr>
          <w:rFonts w:ascii="Arial" w:hAnsi="Arial" w:cs="Arial"/>
          <w:i/>
          <w:sz w:val="20"/>
          <w:szCs w:val="20"/>
        </w:rPr>
        <w:tab/>
        <w:t xml:space="preserve"> </w:t>
      </w:r>
      <w:r w:rsidR="007636E0" w:rsidRPr="00315335">
        <w:rPr>
          <w:rFonts w:ascii="Arial" w:hAnsi="Arial" w:cs="Arial"/>
          <w:sz w:val="20"/>
          <w:szCs w:val="20"/>
        </w:rPr>
        <w:t>9</w:t>
      </w:r>
      <w:r w:rsidR="00631723">
        <w:rPr>
          <w:rFonts w:ascii="Arial" w:hAnsi="Arial" w:cs="Arial"/>
          <w:sz w:val="20"/>
          <w:szCs w:val="20"/>
        </w:rPr>
        <w:t>5</w:t>
      </w:r>
    </w:p>
    <w:p w:rsidR="00A82794" w:rsidRPr="00315335"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Poluarea şi încărcarea cu nutrienţi </w:t>
      </w:r>
      <w:r w:rsidRPr="00315335">
        <w:rPr>
          <w:rFonts w:ascii="Arial" w:hAnsi="Arial" w:cs="Arial"/>
          <w:i/>
          <w:sz w:val="20"/>
          <w:szCs w:val="20"/>
        </w:rPr>
        <w:tab/>
      </w:r>
      <w:r w:rsidRPr="00315335">
        <w:rPr>
          <w:rFonts w:ascii="Arial" w:hAnsi="Arial" w:cs="Arial"/>
          <w:sz w:val="20"/>
          <w:szCs w:val="20"/>
        </w:rPr>
        <w:t xml:space="preserve"> </w:t>
      </w:r>
      <w:r w:rsidR="007636E0" w:rsidRPr="00315335">
        <w:rPr>
          <w:rFonts w:ascii="Arial" w:hAnsi="Arial" w:cs="Arial"/>
          <w:sz w:val="20"/>
          <w:szCs w:val="20"/>
        </w:rPr>
        <w:t>9</w:t>
      </w:r>
      <w:r w:rsidR="00631723">
        <w:rPr>
          <w:rFonts w:ascii="Arial" w:hAnsi="Arial" w:cs="Arial"/>
          <w:sz w:val="20"/>
          <w:szCs w:val="20"/>
        </w:rPr>
        <w:t>6</w:t>
      </w:r>
    </w:p>
    <w:p w:rsidR="00A82794" w:rsidRPr="00315335"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Schimbările climatice </w:t>
      </w:r>
      <w:r w:rsidRPr="00315335">
        <w:rPr>
          <w:rFonts w:ascii="Arial" w:hAnsi="Arial" w:cs="Arial"/>
          <w:i/>
          <w:sz w:val="20"/>
          <w:szCs w:val="20"/>
        </w:rPr>
        <w:tab/>
      </w:r>
      <w:r w:rsidRPr="00315335">
        <w:rPr>
          <w:rFonts w:ascii="Arial" w:hAnsi="Arial" w:cs="Arial"/>
          <w:sz w:val="20"/>
          <w:szCs w:val="20"/>
        </w:rPr>
        <w:t xml:space="preserve"> </w:t>
      </w:r>
      <w:r w:rsidR="007636E0" w:rsidRPr="00315335">
        <w:rPr>
          <w:rFonts w:ascii="Arial" w:hAnsi="Arial" w:cs="Arial"/>
          <w:sz w:val="20"/>
          <w:szCs w:val="20"/>
        </w:rPr>
        <w:t>9</w:t>
      </w:r>
      <w:r w:rsidR="00631723">
        <w:rPr>
          <w:rFonts w:ascii="Arial" w:hAnsi="Arial" w:cs="Arial"/>
          <w:sz w:val="20"/>
          <w:szCs w:val="20"/>
        </w:rPr>
        <w:t>6</w:t>
      </w:r>
      <w:r w:rsidRPr="00315335">
        <w:rPr>
          <w:rFonts w:ascii="Arial" w:hAnsi="Arial" w:cs="Arial"/>
          <w:i/>
          <w:sz w:val="20"/>
          <w:szCs w:val="20"/>
        </w:rPr>
        <w:t xml:space="preserve"> </w:t>
      </w:r>
    </w:p>
    <w:p w:rsidR="00A82794" w:rsidRPr="00315335" w:rsidRDefault="00A82794" w:rsidP="00A82794">
      <w:pPr>
        <w:numPr>
          <w:ilvl w:val="2"/>
          <w:numId w:val="1"/>
        </w:numPr>
        <w:tabs>
          <w:tab w:val="clear" w:pos="0"/>
          <w:tab w:val="left" w:pos="1176"/>
          <w:tab w:val="left" w:leader="dot" w:pos="9356"/>
        </w:tabs>
        <w:spacing w:after="0" w:line="240" w:lineRule="auto"/>
        <w:ind w:left="993"/>
        <w:rPr>
          <w:rFonts w:ascii="Arial" w:hAnsi="Arial" w:cs="Arial"/>
          <w:sz w:val="20"/>
          <w:szCs w:val="20"/>
        </w:rPr>
      </w:pPr>
      <w:r w:rsidRPr="00315335">
        <w:rPr>
          <w:rFonts w:ascii="Arial" w:hAnsi="Arial" w:cs="Arial"/>
          <w:i/>
          <w:sz w:val="20"/>
          <w:szCs w:val="20"/>
        </w:rPr>
        <w:t xml:space="preserve">Modificarea habitatelor </w:t>
      </w:r>
      <w:r w:rsidRPr="00315335">
        <w:rPr>
          <w:rFonts w:ascii="Arial" w:hAnsi="Arial" w:cs="Arial"/>
          <w:i/>
          <w:sz w:val="20"/>
          <w:szCs w:val="20"/>
        </w:rPr>
        <w:tab/>
      </w:r>
      <w:r w:rsidRPr="00315335">
        <w:rPr>
          <w:rFonts w:ascii="Arial" w:hAnsi="Arial" w:cs="Arial"/>
          <w:sz w:val="20"/>
          <w:szCs w:val="20"/>
        </w:rPr>
        <w:t xml:space="preserve"> </w:t>
      </w:r>
      <w:r w:rsidR="007636E0" w:rsidRPr="00315335">
        <w:rPr>
          <w:rFonts w:ascii="Arial" w:hAnsi="Arial" w:cs="Arial"/>
          <w:sz w:val="20"/>
          <w:szCs w:val="20"/>
        </w:rPr>
        <w:t>9</w:t>
      </w:r>
      <w:r w:rsidR="00631723">
        <w:rPr>
          <w:rFonts w:ascii="Arial" w:hAnsi="Arial" w:cs="Arial"/>
          <w:sz w:val="20"/>
          <w:szCs w:val="20"/>
        </w:rPr>
        <w:t>6</w:t>
      </w:r>
    </w:p>
    <w:p w:rsidR="00D30F36" w:rsidRPr="00315335" w:rsidRDefault="00D30F36"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Fragmentarea ecosistemelor</w:t>
      </w:r>
      <w:r w:rsidR="00A82794" w:rsidRPr="00315335">
        <w:rPr>
          <w:rFonts w:ascii="Arial" w:hAnsi="Arial" w:cs="Arial"/>
          <w:sz w:val="20"/>
          <w:szCs w:val="20"/>
        </w:rPr>
        <w:tab/>
      </w:r>
      <w:r w:rsidR="007636E0" w:rsidRPr="00315335">
        <w:rPr>
          <w:rFonts w:ascii="Arial" w:hAnsi="Arial" w:cs="Arial"/>
          <w:sz w:val="20"/>
          <w:szCs w:val="20"/>
        </w:rPr>
        <w:t xml:space="preserve"> 9</w:t>
      </w:r>
      <w:r w:rsidR="00631723">
        <w:rPr>
          <w:rFonts w:ascii="Arial" w:hAnsi="Arial" w:cs="Arial"/>
          <w:sz w:val="20"/>
          <w:szCs w:val="20"/>
        </w:rPr>
        <w:t>6</w:t>
      </w:r>
    </w:p>
    <w:p w:rsidR="00A82794" w:rsidRPr="00315335" w:rsidRDefault="00D30F36"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Reducerea habitatelor naturale şi semi-naturale</w:t>
      </w:r>
      <w:r w:rsidR="00A82794" w:rsidRPr="00315335">
        <w:rPr>
          <w:rFonts w:ascii="Arial" w:hAnsi="Arial" w:cs="Arial"/>
          <w:sz w:val="20"/>
          <w:szCs w:val="20"/>
        </w:rPr>
        <w:t xml:space="preserve"> </w:t>
      </w:r>
      <w:r w:rsidRPr="00315335">
        <w:rPr>
          <w:rFonts w:ascii="Arial" w:hAnsi="Arial" w:cs="Arial"/>
          <w:sz w:val="20"/>
          <w:szCs w:val="20"/>
        </w:rPr>
        <w:t>..............................................................</w:t>
      </w:r>
      <w:r w:rsidR="007636E0" w:rsidRPr="00315335">
        <w:rPr>
          <w:rFonts w:ascii="Arial" w:hAnsi="Arial" w:cs="Arial"/>
          <w:sz w:val="20"/>
          <w:szCs w:val="20"/>
        </w:rPr>
        <w:t xml:space="preserve"> . </w:t>
      </w:r>
      <w:r w:rsidR="00631723">
        <w:rPr>
          <w:rFonts w:ascii="Arial" w:hAnsi="Arial" w:cs="Arial"/>
          <w:sz w:val="20"/>
          <w:szCs w:val="20"/>
        </w:rPr>
        <w:t xml:space="preserve"> </w:t>
      </w:r>
      <w:r w:rsidR="007636E0" w:rsidRPr="00315335">
        <w:rPr>
          <w:rFonts w:ascii="Arial" w:hAnsi="Arial" w:cs="Arial"/>
          <w:sz w:val="20"/>
          <w:szCs w:val="20"/>
        </w:rPr>
        <w:t>9</w:t>
      </w:r>
      <w:r w:rsidR="00631723">
        <w:rPr>
          <w:rFonts w:ascii="Arial" w:hAnsi="Arial" w:cs="Arial"/>
          <w:sz w:val="20"/>
          <w:szCs w:val="20"/>
        </w:rPr>
        <w:t>7</w:t>
      </w:r>
    </w:p>
    <w:p w:rsidR="00A82794" w:rsidRPr="00315335"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Exploatarea excesivă a resurselor naturale </w:t>
      </w:r>
      <w:r w:rsidRPr="00315335">
        <w:rPr>
          <w:rFonts w:ascii="Arial" w:hAnsi="Arial" w:cs="Arial"/>
          <w:i/>
          <w:sz w:val="20"/>
          <w:szCs w:val="20"/>
        </w:rPr>
        <w:tab/>
        <w:t xml:space="preserve"> </w:t>
      </w:r>
      <w:r w:rsidR="007636E0" w:rsidRPr="00315335">
        <w:rPr>
          <w:rFonts w:ascii="Arial" w:hAnsi="Arial" w:cs="Arial"/>
          <w:sz w:val="20"/>
          <w:szCs w:val="20"/>
        </w:rPr>
        <w:t>9</w:t>
      </w:r>
      <w:r w:rsidR="00631723">
        <w:rPr>
          <w:rFonts w:ascii="Arial" w:hAnsi="Arial" w:cs="Arial"/>
          <w:sz w:val="20"/>
          <w:szCs w:val="20"/>
        </w:rPr>
        <w:t>8</w:t>
      </w:r>
    </w:p>
    <w:p w:rsidR="00A82794" w:rsidRPr="00315335" w:rsidRDefault="00A82794" w:rsidP="00A82794">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315335">
        <w:rPr>
          <w:rFonts w:ascii="Arial" w:hAnsi="Arial" w:cs="Arial"/>
          <w:sz w:val="20"/>
          <w:szCs w:val="20"/>
        </w:rPr>
        <w:t xml:space="preserve">Exploatarea forestieră </w:t>
      </w:r>
      <w:r w:rsidRPr="00315335">
        <w:rPr>
          <w:rFonts w:ascii="Arial" w:hAnsi="Arial" w:cs="Arial"/>
          <w:sz w:val="20"/>
          <w:szCs w:val="20"/>
        </w:rPr>
        <w:tab/>
        <w:t xml:space="preserve"> </w:t>
      </w:r>
      <w:r w:rsidR="007636E0" w:rsidRPr="00315335">
        <w:rPr>
          <w:rFonts w:ascii="Arial" w:hAnsi="Arial" w:cs="Arial"/>
          <w:sz w:val="20"/>
          <w:szCs w:val="20"/>
        </w:rPr>
        <w:t>9</w:t>
      </w:r>
      <w:r w:rsidR="00631723">
        <w:rPr>
          <w:rFonts w:ascii="Arial" w:hAnsi="Arial" w:cs="Arial"/>
          <w:sz w:val="20"/>
          <w:szCs w:val="20"/>
        </w:rPr>
        <w:t>8</w:t>
      </w:r>
      <w:r w:rsidRPr="00315335">
        <w:rPr>
          <w:rFonts w:ascii="Arial" w:hAnsi="Arial" w:cs="Arial"/>
          <w:sz w:val="20"/>
          <w:szCs w:val="20"/>
        </w:rPr>
        <w:t xml:space="preserve"> </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Protecţia naturii şi biodiversitatea: prognoze şi acţiuni întreprinse </w:t>
      </w:r>
      <w:r w:rsidRPr="00315335">
        <w:rPr>
          <w:rFonts w:ascii="Arial" w:hAnsi="Arial" w:cs="Arial"/>
          <w:b/>
          <w:sz w:val="20"/>
          <w:szCs w:val="20"/>
        </w:rPr>
        <w:tab/>
      </w:r>
      <w:r w:rsidR="007636E0" w:rsidRPr="00315335">
        <w:rPr>
          <w:rFonts w:ascii="Arial" w:hAnsi="Arial" w:cs="Arial"/>
          <w:b/>
          <w:sz w:val="20"/>
          <w:szCs w:val="20"/>
        </w:rPr>
        <w:t xml:space="preserve"> </w:t>
      </w:r>
      <w:r w:rsidR="00631723">
        <w:rPr>
          <w:rFonts w:ascii="Arial" w:hAnsi="Arial" w:cs="Arial"/>
          <w:b/>
          <w:sz w:val="20"/>
          <w:szCs w:val="20"/>
        </w:rPr>
        <w:t>100</w:t>
      </w:r>
    </w:p>
    <w:p w:rsidR="00A82794" w:rsidRPr="00315335" w:rsidRDefault="00A82794" w:rsidP="00A82794">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Reţeaua de arii protejate </w:t>
      </w:r>
      <w:r w:rsidRPr="00315335">
        <w:rPr>
          <w:rFonts w:ascii="Arial" w:hAnsi="Arial" w:cs="Arial"/>
          <w:i/>
          <w:sz w:val="20"/>
          <w:szCs w:val="20"/>
        </w:rPr>
        <w:tab/>
        <w:t xml:space="preserve"> </w:t>
      </w:r>
      <w:r w:rsidR="00631723">
        <w:rPr>
          <w:rFonts w:ascii="Arial" w:hAnsi="Arial" w:cs="Arial"/>
          <w:sz w:val="20"/>
          <w:szCs w:val="20"/>
        </w:rPr>
        <w:t>100</w:t>
      </w:r>
    </w:p>
    <w:p w:rsidR="00A82794" w:rsidRPr="00315335" w:rsidRDefault="00A82794" w:rsidP="00A82794">
      <w:pPr>
        <w:numPr>
          <w:ilvl w:val="0"/>
          <w:numId w:val="1"/>
        </w:numPr>
        <w:tabs>
          <w:tab w:val="left" w:pos="540"/>
          <w:tab w:val="left" w:leader="dot" w:pos="9356"/>
        </w:tabs>
        <w:spacing w:after="0" w:line="240" w:lineRule="auto"/>
        <w:rPr>
          <w:rFonts w:ascii="Arial" w:hAnsi="Arial" w:cs="Arial"/>
          <w:b/>
          <w:sz w:val="20"/>
          <w:szCs w:val="20"/>
        </w:rPr>
      </w:pPr>
      <w:r w:rsidRPr="00315335">
        <w:rPr>
          <w:rFonts w:ascii="Arial" w:hAnsi="Arial" w:cs="Arial"/>
          <w:b/>
          <w:sz w:val="20"/>
          <w:szCs w:val="20"/>
        </w:rPr>
        <w:t xml:space="preserve">PĂDURILE </w:t>
      </w:r>
      <w:r w:rsidRPr="00315335">
        <w:rPr>
          <w:rFonts w:ascii="Arial" w:hAnsi="Arial" w:cs="Arial"/>
          <w:b/>
          <w:sz w:val="20"/>
          <w:szCs w:val="20"/>
        </w:rPr>
        <w:tab/>
        <w:t xml:space="preserve"> 1</w:t>
      </w:r>
      <w:r w:rsidR="00631723">
        <w:rPr>
          <w:rFonts w:ascii="Arial" w:hAnsi="Arial" w:cs="Arial"/>
          <w:b/>
          <w:sz w:val="20"/>
          <w:szCs w:val="20"/>
        </w:rPr>
        <w:t>10</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 xml:space="preserve">Fondul forestier naţional: stare şi consecinţe  </w:t>
      </w:r>
      <w:r w:rsidRPr="00315335">
        <w:rPr>
          <w:rFonts w:ascii="Arial" w:hAnsi="Arial" w:cs="Arial"/>
          <w:b/>
          <w:sz w:val="20"/>
          <w:szCs w:val="20"/>
        </w:rPr>
        <w:tab/>
        <w:t xml:space="preserve"> 1</w:t>
      </w:r>
      <w:r w:rsidR="00631723">
        <w:rPr>
          <w:rFonts w:ascii="Arial" w:hAnsi="Arial" w:cs="Arial"/>
          <w:b/>
          <w:sz w:val="20"/>
          <w:szCs w:val="20"/>
        </w:rPr>
        <w:t>10</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Evoluţia suprafeţei fondului forestier </w:t>
      </w:r>
      <w:r w:rsidRPr="00315335">
        <w:rPr>
          <w:rFonts w:ascii="Arial" w:hAnsi="Arial" w:cs="Arial"/>
          <w:i/>
          <w:sz w:val="20"/>
          <w:szCs w:val="20"/>
        </w:rPr>
        <w:tab/>
        <w:t xml:space="preserve"> </w:t>
      </w:r>
      <w:r w:rsidRPr="00315335">
        <w:rPr>
          <w:rFonts w:ascii="Arial" w:hAnsi="Arial" w:cs="Arial"/>
          <w:sz w:val="20"/>
          <w:szCs w:val="20"/>
        </w:rPr>
        <w:t>1</w:t>
      </w:r>
      <w:r w:rsidR="00631723">
        <w:rPr>
          <w:rFonts w:ascii="Arial" w:hAnsi="Arial" w:cs="Arial"/>
          <w:sz w:val="20"/>
          <w:szCs w:val="20"/>
        </w:rPr>
        <w:t>10</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Distribuţia pădurilor după principalele forme de relief  </w:t>
      </w:r>
      <w:r w:rsidRPr="00315335">
        <w:rPr>
          <w:rFonts w:ascii="Arial" w:hAnsi="Arial" w:cs="Arial"/>
          <w:i/>
          <w:sz w:val="20"/>
          <w:szCs w:val="20"/>
        </w:rPr>
        <w:tab/>
      </w:r>
      <w:r w:rsidRPr="00315335">
        <w:rPr>
          <w:rFonts w:ascii="Arial" w:hAnsi="Arial" w:cs="Arial"/>
          <w:sz w:val="20"/>
          <w:szCs w:val="20"/>
        </w:rPr>
        <w:t xml:space="preserve"> 1</w:t>
      </w:r>
      <w:r w:rsidR="00631723">
        <w:rPr>
          <w:rFonts w:ascii="Arial" w:hAnsi="Arial" w:cs="Arial"/>
          <w:sz w:val="20"/>
          <w:szCs w:val="20"/>
        </w:rPr>
        <w:t>14</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Starea de sănătate a pădurilor  ...............................................................................................</w:t>
      </w:r>
      <w:r w:rsidR="00631723">
        <w:rPr>
          <w:rFonts w:ascii="Arial" w:hAnsi="Arial" w:cs="Arial"/>
          <w:i/>
          <w:sz w:val="20"/>
          <w:szCs w:val="20"/>
        </w:rPr>
        <w:t xml:space="preserve"> </w:t>
      </w:r>
      <w:r w:rsidR="00130CCB" w:rsidRPr="00315335">
        <w:rPr>
          <w:rFonts w:ascii="Arial" w:hAnsi="Arial" w:cs="Arial"/>
          <w:sz w:val="20"/>
          <w:szCs w:val="20"/>
        </w:rPr>
        <w:t>11</w:t>
      </w:r>
      <w:r w:rsidR="00631723">
        <w:rPr>
          <w:rFonts w:ascii="Arial" w:hAnsi="Arial" w:cs="Arial"/>
          <w:sz w:val="20"/>
          <w:szCs w:val="20"/>
        </w:rPr>
        <w:t>5</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Suprafeţe de păduri regenerate  .............................................................................................</w:t>
      </w:r>
      <w:r w:rsidR="00631723">
        <w:rPr>
          <w:rFonts w:ascii="Arial" w:hAnsi="Arial" w:cs="Arial"/>
          <w:i/>
          <w:sz w:val="20"/>
          <w:szCs w:val="20"/>
        </w:rPr>
        <w:t xml:space="preserve"> </w:t>
      </w:r>
      <w:r w:rsidRPr="00315335">
        <w:rPr>
          <w:rFonts w:ascii="Arial" w:hAnsi="Arial" w:cs="Arial"/>
          <w:sz w:val="20"/>
          <w:szCs w:val="20"/>
        </w:rPr>
        <w:t>1</w:t>
      </w:r>
      <w:r w:rsidR="00130CCB" w:rsidRPr="00315335">
        <w:rPr>
          <w:rFonts w:ascii="Arial" w:hAnsi="Arial" w:cs="Arial"/>
          <w:sz w:val="20"/>
          <w:szCs w:val="20"/>
        </w:rPr>
        <w:t>1</w:t>
      </w:r>
      <w:r w:rsidR="00631723">
        <w:rPr>
          <w:rFonts w:ascii="Arial" w:hAnsi="Arial" w:cs="Arial"/>
          <w:sz w:val="20"/>
          <w:szCs w:val="20"/>
        </w:rPr>
        <w:t>6</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Zone cu deficit de vegetaţie forestieră şi disponibilităţi de împădurire  .................................  </w:t>
      </w:r>
      <w:r w:rsidR="00631723">
        <w:rPr>
          <w:rFonts w:ascii="Arial" w:hAnsi="Arial" w:cs="Arial"/>
          <w:i/>
          <w:sz w:val="20"/>
          <w:szCs w:val="20"/>
        </w:rPr>
        <w:t xml:space="preserve"> </w:t>
      </w:r>
      <w:r w:rsidRPr="00315335">
        <w:rPr>
          <w:rFonts w:ascii="Arial" w:hAnsi="Arial" w:cs="Arial"/>
          <w:sz w:val="20"/>
          <w:szCs w:val="20"/>
        </w:rPr>
        <w:t>1</w:t>
      </w:r>
      <w:r w:rsidR="00130CCB" w:rsidRPr="00315335">
        <w:rPr>
          <w:rFonts w:ascii="Arial" w:hAnsi="Arial" w:cs="Arial"/>
          <w:sz w:val="20"/>
          <w:szCs w:val="20"/>
        </w:rPr>
        <w:t>1</w:t>
      </w:r>
      <w:r w:rsidR="00631723">
        <w:rPr>
          <w:rFonts w:ascii="Arial" w:hAnsi="Arial" w:cs="Arial"/>
          <w:sz w:val="20"/>
          <w:szCs w:val="20"/>
        </w:rPr>
        <w:t>6</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Ameninţări şi presiuni exercitate asupra pădurilor .................................................................  1</w:t>
      </w:r>
      <w:r w:rsidR="00130CCB" w:rsidRPr="00315335">
        <w:rPr>
          <w:rFonts w:ascii="Arial" w:hAnsi="Arial" w:cs="Arial"/>
          <w:b/>
          <w:sz w:val="20"/>
          <w:szCs w:val="20"/>
        </w:rPr>
        <w:t>1</w:t>
      </w:r>
      <w:r w:rsidR="00631723">
        <w:rPr>
          <w:rFonts w:ascii="Arial" w:hAnsi="Arial" w:cs="Arial"/>
          <w:b/>
          <w:sz w:val="20"/>
          <w:szCs w:val="20"/>
        </w:rPr>
        <w:t>7</w:t>
      </w:r>
      <w:r w:rsidRPr="00315335">
        <w:rPr>
          <w:rFonts w:ascii="Arial" w:hAnsi="Arial" w:cs="Arial"/>
          <w:b/>
          <w:sz w:val="20"/>
          <w:szCs w:val="20"/>
        </w:rPr>
        <w:t xml:space="preserve">  </w:t>
      </w:r>
    </w:p>
    <w:p w:rsidR="00A82794" w:rsidRPr="00315335" w:rsidRDefault="00A82794" w:rsidP="00A82794">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Suprafeţe de pădure parcurse cu tăieri ...................................................................................  </w:t>
      </w:r>
      <w:r w:rsidRPr="00315335">
        <w:rPr>
          <w:rFonts w:ascii="Arial" w:hAnsi="Arial" w:cs="Arial"/>
          <w:sz w:val="20"/>
          <w:szCs w:val="20"/>
        </w:rPr>
        <w:t>1</w:t>
      </w:r>
      <w:r w:rsidR="00130CCB" w:rsidRPr="00315335">
        <w:rPr>
          <w:rFonts w:ascii="Arial" w:hAnsi="Arial" w:cs="Arial"/>
          <w:sz w:val="20"/>
          <w:szCs w:val="20"/>
        </w:rPr>
        <w:t>1</w:t>
      </w:r>
      <w:r w:rsidR="00631723">
        <w:rPr>
          <w:rFonts w:ascii="Arial" w:hAnsi="Arial" w:cs="Arial"/>
          <w:sz w:val="20"/>
          <w:szCs w:val="20"/>
        </w:rPr>
        <w:t>7</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Schimbarea utilizării terenurilor .............................................................................................  </w:t>
      </w:r>
      <w:r w:rsidRPr="00315335">
        <w:rPr>
          <w:rFonts w:ascii="Arial" w:hAnsi="Arial" w:cs="Arial"/>
          <w:sz w:val="20"/>
          <w:szCs w:val="20"/>
        </w:rPr>
        <w:t>11</w:t>
      </w:r>
      <w:r w:rsidR="00631723">
        <w:rPr>
          <w:rFonts w:ascii="Arial" w:hAnsi="Arial" w:cs="Arial"/>
          <w:sz w:val="20"/>
          <w:szCs w:val="20"/>
        </w:rPr>
        <w:t>7</w:t>
      </w:r>
    </w:p>
    <w:p w:rsidR="00A82794" w:rsidRPr="00315335" w:rsidRDefault="00A82794" w:rsidP="00A82794">
      <w:pPr>
        <w:numPr>
          <w:ilvl w:val="3"/>
          <w:numId w:val="1"/>
        </w:numPr>
        <w:tabs>
          <w:tab w:val="clear" w:pos="2215"/>
          <w:tab w:val="num" w:pos="1701"/>
          <w:tab w:val="left" w:leader="dot" w:pos="9356"/>
        </w:tabs>
        <w:spacing w:after="0" w:line="240" w:lineRule="auto"/>
        <w:ind w:left="1560" w:hanging="780"/>
        <w:rPr>
          <w:rFonts w:ascii="Arial" w:hAnsi="Arial" w:cs="Arial"/>
          <w:sz w:val="20"/>
          <w:szCs w:val="20"/>
        </w:rPr>
      </w:pPr>
      <w:r w:rsidRPr="00315335">
        <w:rPr>
          <w:rFonts w:ascii="Arial" w:hAnsi="Arial" w:cs="Arial"/>
          <w:sz w:val="20"/>
          <w:szCs w:val="20"/>
        </w:rPr>
        <w:t>Fragmentarea ecosistemelor .........................................................................................     11</w:t>
      </w:r>
      <w:r w:rsidR="00631723">
        <w:rPr>
          <w:rFonts w:ascii="Arial" w:hAnsi="Arial" w:cs="Arial"/>
          <w:sz w:val="20"/>
          <w:szCs w:val="20"/>
        </w:rPr>
        <w:t>7</w:t>
      </w:r>
    </w:p>
    <w:p w:rsidR="00A82794" w:rsidRPr="00315335" w:rsidRDefault="00A82794" w:rsidP="00A82794">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Schimbările climatice..............................................................................................................  </w:t>
      </w:r>
      <w:r w:rsidRPr="00315335">
        <w:rPr>
          <w:rFonts w:ascii="Arial" w:hAnsi="Arial" w:cs="Arial"/>
          <w:sz w:val="20"/>
          <w:szCs w:val="20"/>
        </w:rPr>
        <w:t>11</w:t>
      </w:r>
      <w:r w:rsidR="00631723">
        <w:rPr>
          <w:rFonts w:ascii="Arial" w:hAnsi="Arial" w:cs="Arial"/>
          <w:sz w:val="20"/>
          <w:szCs w:val="20"/>
        </w:rPr>
        <w:t>8</w:t>
      </w:r>
    </w:p>
    <w:p w:rsidR="00A82794" w:rsidRPr="00315335" w:rsidRDefault="00A82794" w:rsidP="00A82794">
      <w:pPr>
        <w:numPr>
          <w:ilvl w:val="0"/>
          <w:numId w:val="1"/>
        </w:numPr>
        <w:tabs>
          <w:tab w:val="left" w:pos="540"/>
          <w:tab w:val="left" w:leader="dot" w:pos="9356"/>
        </w:tabs>
        <w:spacing w:after="0" w:line="240" w:lineRule="auto"/>
        <w:rPr>
          <w:rFonts w:ascii="Arial" w:hAnsi="Arial" w:cs="Arial"/>
          <w:b/>
          <w:sz w:val="20"/>
          <w:szCs w:val="20"/>
        </w:rPr>
      </w:pPr>
      <w:r w:rsidRPr="00315335">
        <w:rPr>
          <w:rFonts w:ascii="Arial" w:hAnsi="Arial" w:cs="Arial"/>
          <w:b/>
          <w:sz w:val="20"/>
          <w:szCs w:val="20"/>
        </w:rPr>
        <w:t xml:space="preserve">RESURSELE MATERIALE ŞI DEŞEURILE </w:t>
      </w:r>
      <w:r w:rsidRPr="00315335">
        <w:rPr>
          <w:rFonts w:ascii="Arial" w:hAnsi="Arial" w:cs="Arial"/>
          <w:b/>
          <w:sz w:val="20"/>
          <w:szCs w:val="20"/>
        </w:rPr>
        <w:tab/>
        <w:t xml:space="preserve"> 11</w:t>
      </w:r>
      <w:r w:rsidR="00631723">
        <w:rPr>
          <w:rFonts w:ascii="Arial" w:hAnsi="Arial" w:cs="Arial"/>
          <w:b/>
          <w:sz w:val="20"/>
          <w:szCs w:val="20"/>
        </w:rPr>
        <w:t>8</w:t>
      </w:r>
    </w:p>
    <w:p w:rsidR="00A82794" w:rsidRPr="00315335" w:rsidRDefault="00A82794" w:rsidP="00A82794">
      <w:pPr>
        <w:numPr>
          <w:ilvl w:val="1"/>
          <w:numId w:val="1"/>
        </w:numPr>
        <w:tabs>
          <w:tab w:val="left" w:leader="dot" w:pos="9356"/>
        </w:tabs>
        <w:spacing w:after="0" w:line="240" w:lineRule="auto"/>
        <w:ind w:left="851" w:hanging="482"/>
        <w:rPr>
          <w:rFonts w:ascii="Arial" w:hAnsi="Arial" w:cs="Arial"/>
          <w:b/>
          <w:sz w:val="20"/>
          <w:szCs w:val="20"/>
        </w:rPr>
      </w:pPr>
      <w:r w:rsidRPr="00315335">
        <w:rPr>
          <w:rFonts w:ascii="Arial" w:hAnsi="Arial" w:cs="Arial"/>
          <w:b/>
          <w:sz w:val="20"/>
          <w:szCs w:val="20"/>
        </w:rPr>
        <w:t>Generarea şi gestionarea deşeurilor: tendinţe, impacturi şi prognoze ...............................   11</w:t>
      </w:r>
      <w:r w:rsidR="0052760D">
        <w:rPr>
          <w:rFonts w:ascii="Arial" w:hAnsi="Arial" w:cs="Arial"/>
          <w:b/>
          <w:sz w:val="20"/>
          <w:szCs w:val="20"/>
        </w:rPr>
        <w:t>8</w:t>
      </w:r>
    </w:p>
    <w:p w:rsidR="00A82794" w:rsidRPr="00315335" w:rsidRDefault="00A82794" w:rsidP="00A82794">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315335">
        <w:rPr>
          <w:rFonts w:ascii="Arial" w:hAnsi="Arial" w:cs="Arial"/>
          <w:i/>
          <w:sz w:val="20"/>
          <w:szCs w:val="20"/>
        </w:rPr>
        <w:t>Generarea şi gestionarea deşeurilor municipale...................................................................</w:t>
      </w:r>
      <w:r w:rsidRPr="00315335">
        <w:rPr>
          <w:rFonts w:ascii="Arial" w:hAnsi="Arial" w:cs="Arial"/>
          <w:sz w:val="20"/>
          <w:szCs w:val="20"/>
        </w:rPr>
        <w:t xml:space="preserve">  11</w:t>
      </w:r>
      <w:r w:rsidR="0052760D">
        <w:rPr>
          <w:rFonts w:ascii="Arial" w:hAnsi="Arial" w:cs="Arial"/>
          <w:sz w:val="20"/>
          <w:szCs w:val="20"/>
        </w:rPr>
        <w:t>9</w:t>
      </w:r>
    </w:p>
    <w:p w:rsidR="00A82794" w:rsidRPr="00315335" w:rsidRDefault="00A82794" w:rsidP="00A82794">
      <w:pPr>
        <w:numPr>
          <w:ilvl w:val="2"/>
          <w:numId w:val="1"/>
        </w:numPr>
        <w:tabs>
          <w:tab w:val="clear" w:pos="0"/>
          <w:tab w:val="left" w:pos="1358"/>
          <w:tab w:val="left" w:leader="dot" w:pos="9356"/>
        </w:tabs>
        <w:spacing w:after="0" w:line="240" w:lineRule="auto"/>
        <w:ind w:left="993"/>
        <w:rPr>
          <w:rFonts w:ascii="Arial" w:hAnsi="Arial" w:cs="Arial"/>
          <w:sz w:val="20"/>
          <w:szCs w:val="20"/>
        </w:rPr>
      </w:pPr>
      <w:r w:rsidRPr="00315335">
        <w:rPr>
          <w:rFonts w:ascii="Arial" w:hAnsi="Arial" w:cs="Arial"/>
          <w:i/>
          <w:sz w:val="20"/>
          <w:szCs w:val="20"/>
        </w:rPr>
        <w:t>Generarea şi gestionarea deşeurilor industriale</w:t>
      </w:r>
      <w:r w:rsidRPr="00315335">
        <w:rPr>
          <w:rFonts w:ascii="Arial" w:hAnsi="Arial" w:cs="Arial"/>
          <w:i/>
          <w:sz w:val="20"/>
          <w:szCs w:val="20"/>
        </w:rPr>
        <w:tab/>
      </w:r>
      <w:r w:rsidRPr="00315335">
        <w:rPr>
          <w:rFonts w:ascii="Arial" w:hAnsi="Arial" w:cs="Arial"/>
          <w:sz w:val="20"/>
          <w:szCs w:val="20"/>
        </w:rPr>
        <w:t xml:space="preserve"> 1</w:t>
      </w:r>
      <w:r w:rsidR="0052760D">
        <w:rPr>
          <w:rFonts w:ascii="Arial" w:hAnsi="Arial" w:cs="Arial"/>
          <w:sz w:val="20"/>
          <w:szCs w:val="20"/>
        </w:rPr>
        <w:t>32</w:t>
      </w:r>
    </w:p>
    <w:p w:rsidR="00A82794" w:rsidRPr="00315335" w:rsidRDefault="00A82794" w:rsidP="00A82794">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Fluxuri speciale de deşeuri.................................................................................................... </w:t>
      </w:r>
      <w:r w:rsidRPr="00315335">
        <w:rPr>
          <w:rFonts w:ascii="Arial" w:hAnsi="Arial" w:cs="Arial"/>
          <w:sz w:val="20"/>
          <w:szCs w:val="20"/>
        </w:rPr>
        <w:t xml:space="preserve"> 1</w:t>
      </w:r>
      <w:r w:rsidR="0052760D">
        <w:rPr>
          <w:rFonts w:ascii="Arial" w:hAnsi="Arial" w:cs="Arial"/>
          <w:sz w:val="20"/>
          <w:szCs w:val="20"/>
        </w:rPr>
        <w:t>34</w:t>
      </w:r>
    </w:p>
    <w:p w:rsidR="00A82794" w:rsidRPr="00315335" w:rsidRDefault="00A82794" w:rsidP="00A82794">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315335">
        <w:rPr>
          <w:rFonts w:ascii="Arial" w:hAnsi="Arial" w:cs="Arial"/>
          <w:sz w:val="20"/>
          <w:szCs w:val="20"/>
        </w:rPr>
        <w:t xml:space="preserve">Deşeuri de echipamente electrice şi electronice (DEEE) </w:t>
      </w:r>
      <w:r w:rsidRPr="00315335">
        <w:rPr>
          <w:rFonts w:ascii="Arial" w:hAnsi="Arial" w:cs="Arial"/>
          <w:sz w:val="20"/>
          <w:szCs w:val="20"/>
        </w:rPr>
        <w:tab/>
        <w:t xml:space="preserve"> </w:t>
      </w:r>
      <w:r w:rsidR="0052760D">
        <w:rPr>
          <w:rFonts w:ascii="Arial" w:hAnsi="Arial" w:cs="Arial"/>
          <w:sz w:val="20"/>
          <w:szCs w:val="20"/>
        </w:rPr>
        <w:t>134</w:t>
      </w:r>
    </w:p>
    <w:p w:rsidR="00A82794" w:rsidRPr="00315335" w:rsidRDefault="00A82794" w:rsidP="00A82794">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315335">
        <w:rPr>
          <w:rFonts w:ascii="Arial" w:hAnsi="Arial" w:cs="Arial"/>
          <w:sz w:val="20"/>
          <w:szCs w:val="20"/>
        </w:rPr>
        <w:t xml:space="preserve">Deşeuri de ambalaje </w:t>
      </w:r>
      <w:r w:rsidRPr="00315335">
        <w:rPr>
          <w:rFonts w:ascii="Arial" w:hAnsi="Arial" w:cs="Arial"/>
          <w:sz w:val="20"/>
          <w:szCs w:val="20"/>
        </w:rPr>
        <w:tab/>
        <w:t xml:space="preserve"> 1</w:t>
      </w:r>
      <w:r w:rsidR="00130CCB" w:rsidRPr="00315335">
        <w:rPr>
          <w:rFonts w:ascii="Arial" w:hAnsi="Arial" w:cs="Arial"/>
          <w:sz w:val="20"/>
          <w:szCs w:val="20"/>
        </w:rPr>
        <w:t>3</w:t>
      </w:r>
      <w:r w:rsidR="0052760D">
        <w:rPr>
          <w:rFonts w:ascii="Arial" w:hAnsi="Arial" w:cs="Arial"/>
          <w:sz w:val="20"/>
          <w:szCs w:val="20"/>
        </w:rPr>
        <w:t>5</w:t>
      </w:r>
    </w:p>
    <w:p w:rsidR="00A82794" w:rsidRPr="00315335" w:rsidRDefault="00A82794" w:rsidP="00A82794">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315335">
        <w:rPr>
          <w:rFonts w:ascii="Arial" w:hAnsi="Arial" w:cs="Arial"/>
          <w:sz w:val="20"/>
          <w:szCs w:val="20"/>
        </w:rPr>
        <w:t xml:space="preserve">Vehicule scoase din uz (VSU) </w:t>
      </w:r>
      <w:r w:rsidRPr="00315335">
        <w:rPr>
          <w:rFonts w:ascii="Arial" w:hAnsi="Arial" w:cs="Arial"/>
          <w:sz w:val="20"/>
          <w:szCs w:val="20"/>
        </w:rPr>
        <w:tab/>
        <w:t xml:space="preserve"> 13</w:t>
      </w:r>
      <w:r w:rsidR="0052760D">
        <w:rPr>
          <w:rFonts w:ascii="Arial" w:hAnsi="Arial" w:cs="Arial"/>
          <w:sz w:val="20"/>
          <w:szCs w:val="20"/>
        </w:rPr>
        <w:t>6</w:t>
      </w:r>
    </w:p>
    <w:p w:rsidR="00A82794" w:rsidRPr="00315335" w:rsidRDefault="00A82794" w:rsidP="00A82794">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315335">
        <w:rPr>
          <w:rFonts w:ascii="Arial" w:hAnsi="Arial" w:cs="Arial"/>
          <w:i/>
          <w:sz w:val="20"/>
          <w:szCs w:val="20"/>
        </w:rPr>
        <w:t>Impacturi şi presiuni privind deşeurile</w:t>
      </w:r>
      <w:r w:rsidRPr="00315335">
        <w:rPr>
          <w:rFonts w:ascii="Arial" w:hAnsi="Arial" w:cs="Arial"/>
          <w:i/>
          <w:sz w:val="20"/>
          <w:szCs w:val="20"/>
        </w:rPr>
        <w:tab/>
        <w:t xml:space="preserve"> </w:t>
      </w:r>
      <w:r w:rsidRPr="00315335">
        <w:rPr>
          <w:rFonts w:ascii="Arial" w:hAnsi="Arial" w:cs="Arial"/>
          <w:sz w:val="20"/>
          <w:szCs w:val="20"/>
        </w:rPr>
        <w:t>13</w:t>
      </w:r>
      <w:r w:rsidR="0052760D">
        <w:rPr>
          <w:rFonts w:ascii="Arial" w:hAnsi="Arial" w:cs="Arial"/>
          <w:sz w:val="20"/>
          <w:szCs w:val="20"/>
        </w:rPr>
        <w:t>8</w:t>
      </w:r>
    </w:p>
    <w:p w:rsidR="00A82794" w:rsidRPr="00315335" w:rsidRDefault="00A82794" w:rsidP="00A82794">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315335">
        <w:rPr>
          <w:rFonts w:ascii="Arial" w:hAnsi="Arial" w:cs="Arial"/>
          <w:i/>
          <w:sz w:val="20"/>
          <w:szCs w:val="20"/>
        </w:rPr>
        <w:t>Tendinţe şi prognoze privind generarea deşeurilor...............................................................</w:t>
      </w:r>
      <w:r w:rsidRPr="00315335">
        <w:rPr>
          <w:rFonts w:ascii="Arial" w:hAnsi="Arial" w:cs="Arial"/>
          <w:sz w:val="20"/>
          <w:szCs w:val="20"/>
        </w:rPr>
        <w:t xml:space="preserve">   1</w:t>
      </w:r>
      <w:r w:rsidR="0052760D">
        <w:rPr>
          <w:rFonts w:ascii="Arial" w:hAnsi="Arial" w:cs="Arial"/>
          <w:sz w:val="20"/>
          <w:szCs w:val="20"/>
        </w:rPr>
        <w:t>41</w:t>
      </w:r>
    </w:p>
    <w:p w:rsidR="00A82794" w:rsidRPr="00315335" w:rsidRDefault="00A82794" w:rsidP="00A82794">
      <w:pPr>
        <w:tabs>
          <w:tab w:val="left" w:pos="540"/>
          <w:tab w:val="left" w:leader="dot" w:pos="9356"/>
        </w:tabs>
        <w:spacing w:after="0" w:line="240" w:lineRule="auto"/>
        <w:rPr>
          <w:rFonts w:ascii="Arial" w:hAnsi="Arial" w:cs="Arial"/>
          <w:sz w:val="20"/>
          <w:szCs w:val="20"/>
        </w:rPr>
      </w:pPr>
      <w:r w:rsidRPr="00315335">
        <w:rPr>
          <w:rFonts w:ascii="Arial" w:hAnsi="Arial" w:cs="Arial"/>
          <w:b/>
          <w:sz w:val="20"/>
          <w:szCs w:val="20"/>
        </w:rPr>
        <w:t xml:space="preserve">VIII. MEDIUL URBAN, SĂNĂTATEA ŞI CALITATEA VIEŢII ......................................................................  </w:t>
      </w:r>
      <w:r w:rsidR="00130CCB" w:rsidRPr="00315335">
        <w:rPr>
          <w:rFonts w:ascii="Arial" w:hAnsi="Arial" w:cs="Arial"/>
          <w:b/>
          <w:sz w:val="20"/>
          <w:szCs w:val="20"/>
        </w:rPr>
        <w:t xml:space="preserve"> </w:t>
      </w:r>
      <w:r w:rsidRPr="00315335">
        <w:rPr>
          <w:rFonts w:ascii="Arial" w:hAnsi="Arial" w:cs="Arial"/>
          <w:b/>
          <w:sz w:val="20"/>
          <w:szCs w:val="20"/>
        </w:rPr>
        <w:t>1</w:t>
      </w:r>
      <w:r w:rsidR="0052760D">
        <w:rPr>
          <w:rFonts w:ascii="Arial" w:hAnsi="Arial" w:cs="Arial"/>
          <w:b/>
          <w:sz w:val="20"/>
          <w:szCs w:val="20"/>
        </w:rPr>
        <w:t>42</w:t>
      </w:r>
      <w:r w:rsidRPr="00315335">
        <w:rPr>
          <w:rFonts w:ascii="Arial" w:hAnsi="Arial" w:cs="Arial"/>
          <w:b/>
          <w:sz w:val="20"/>
          <w:szCs w:val="20"/>
        </w:rPr>
        <w:t xml:space="preserve">              </w:t>
      </w:r>
      <w:r w:rsidR="00DE32CE" w:rsidRPr="00315335">
        <w:rPr>
          <w:rFonts w:ascii="Arial" w:hAnsi="Arial" w:cs="Arial"/>
          <w:b/>
          <w:sz w:val="20"/>
          <w:szCs w:val="20"/>
        </w:rPr>
        <w:t xml:space="preserve">         </w:t>
      </w:r>
      <w:r w:rsidRPr="00315335">
        <w:rPr>
          <w:rFonts w:ascii="Arial" w:hAnsi="Arial" w:cs="Arial"/>
          <w:b/>
          <w:sz w:val="20"/>
          <w:szCs w:val="20"/>
        </w:rPr>
        <w:t>VIII.1. Mediul urban şi calitatea vieţii: stare şi consecinţe ................................................................</w:t>
      </w:r>
      <w:r w:rsidR="00DE32CE" w:rsidRPr="00315335">
        <w:rPr>
          <w:rFonts w:ascii="Arial" w:hAnsi="Arial" w:cs="Arial"/>
          <w:b/>
          <w:sz w:val="20"/>
          <w:szCs w:val="20"/>
        </w:rPr>
        <w:t>.....</w:t>
      </w:r>
      <w:r w:rsidRPr="00315335">
        <w:rPr>
          <w:rFonts w:ascii="Arial" w:hAnsi="Arial" w:cs="Arial"/>
          <w:b/>
          <w:sz w:val="20"/>
          <w:szCs w:val="20"/>
        </w:rPr>
        <w:t xml:space="preserve">   </w:t>
      </w:r>
      <w:r w:rsidR="00130CCB" w:rsidRPr="00315335">
        <w:rPr>
          <w:rFonts w:ascii="Arial" w:hAnsi="Arial" w:cs="Arial"/>
          <w:b/>
          <w:sz w:val="20"/>
          <w:szCs w:val="20"/>
        </w:rPr>
        <w:t xml:space="preserve"> </w:t>
      </w:r>
      <w:r w:rsidRPr="00315335">
        <w:rPr>
          <w:rFonts w:ascii="Arial" w:hAnsi="Arial" w:cs="Arial"/>
          <w:b/>
          <w:sz w:val="20"/>
          <w:szCs w:val="20"/>
        </w:rPr>
        <w:t>1</w:t>
      </w:r>
      <w:r w:rsidR="0052760D">
        <w:rPr>
          <w:rFonts w:ascii="Arial" w:hAnsi="Arial" w:cs="Arial"/>
          <w:b/>
          <w:sz w:val="20"/>
          <w:szCs w:val="20"/>
        </w:rPr>
        <w:t>42</w:t>
      </w:r>
    </w:p>
    <w:p w:rsidR="00A82794" w:rsidRPr="00315335" w:rsidRDefault="00A82794" w:rsidP="00A82794">
      <w:pPr>
        <w:tabs>
          <w:tab w:val="left" w:pos="1276"/>
          <w:tab w:val="left" w:leader="dot" w:pos="9356"/>
        </w:tabs>
        <w:spacing w:after="0" w:line="240" w:lineRule="auto"/>
        <w:rPr>
          <w:rFonts w:ascii="Arial" w:hAnsi="Arial" w:cs="Arial"/>
          <w:sz w:val="20"/>
          <w:szCs w:val="20"/>
        </w:rPr>
      </w:pPr>
      <w:r w:rsidRPr="00315335">
        <w:rPr>
          <w:rFonts w:ascii="Arial" w:hAnsi="Arial" w:cs="Arial"/>
          <w:i/>
          <w:sz w:val="20"/>
          <w:szCs w:val="20"/>
        </w:rPr>
        <w:t xml:space="preserve">         VIII.1.1.Calitatea aerului din aglomerările urbane şi efectele asupra sănătăţii....................................    </w:t>
      </w:r>
      <w:r w:rsidRPr="00315335">
        <w:rPr>
          <w:rFonts w:ascii="Arial" w:hAnsi="Arial" w:cs="Arial"/>
          <w:sz w:val="20"/>
          <w:szCs w:val="20"/>
        </w:rPr>
        <w:t>1</w:t>
      </w:r>
      <w:r w:rsidR="0052760D">
        <w:rPr>
          <w:rFonts w:ascii="Arial" w:hAnsi="Arial" w:cs="Arial"/>
          <w:sz w:val="20"/>
          <w:szCs w:val="20"/>
        </w:rPr>
        <w:t>42</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VIII.1.1.1.Depăşiri ale concentraţiei medii anuale de PM10, NO2, SO2 şi O3 în anumite aglomerări </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urbane .......................................................................................................................           1</w:t>
      </w:r>
      <w:r w:rsidR="0052760D">
        <w:rPr>
          <w:rFonts w:ascii="Arial" w:hAnsi="Arial" w:cs="Arial"/>
          <w:sz w:val="20"/>
          <w:szCs w:val="20"/>
        </w:rPr>
        <w:t>43</w:t>
      </w:r>
    </w:p>
    <w:p w:rsidR="00A82794" w:rsidRPr="00315335" w:rsidRDefault="00A82794" w:rsidP="00A82794">
      <w:pPr>
        <w:tabs>
          <w:tab w:val="left" w:pos="1276"/>
          <w:tab w:val="left" w:leader="dot" w:pos="9356"/>
        </w:tabs>
        <w:spacing w:after="0" w:line="240" w:lineRule="auto"/>
        <w:rPr>
          <w:rFonts w:ascii="Arial" w:hAnsi="Arial" w:cs="Arial"/>
          <w:sz w:val="20"/>
          <w:szCs w:val="20"/>
        </w:rPr>
      </w:pPr>
      <w:r w:rsidRPr="00315335">
        <w:rPr>
          <w:rFonts w:ascii="Arial" w:hAnsi="Arial" w:cs="Arial"/>
          <w:i/>
          <w:sz w:val="20"/>
          <w:szCs w:val="20"/>
        </w:rPr>
        <w:t xml:space="preserve">         VIII.1.2. Poluarea fonică şi efectele asupra sănătăţii şi calităţii vieţii.......................................... ....... </w:t>
      </w:r>
      <w:r w:rsidRPr="00315335">
        <w:rPr>
          <w:rFonts w:ascii="Arial" w:hAnsi="Arial" w:cs="Arial"/>
          <w:sz w:val="20"/>
          <w:szCs w:val="20"/>
        </w:rPr>
        <w:t xml:space="preserve">    14</w:t>
      </w:r>
      <w:r w:rsidR="0052760D">
        <w:rPr>
          <w:rFonts w:ascii="Arial" w:hAnsi="Arial" w:cs="Arial"/>
          <w:sz w:val="20"/>
          <w:szCs w:val="20"/>
        </w:rPr>
        <w:t>7</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i/>
          <w:sz w:val="20"/>
          <w:szCs w:val="20"/>
        </w:rPr>
        <w:t xml:space="preserve">               </w:t>
      </w:r>
      <w:r w:rsidRPr="00315335">
        <w:rPr>
          <w:rFonts w:ascii="Arial" w:hAnsi="Arial" w:cs="Arial"/>
          <w:sz w:val="20"/>
          <w:szCs w:val="20"/>
        </w:rPr>
        <w:t>VIII.1.2.1.Expunerea la poluarea sonoră a aglomerărilor urbane cu peste 250.000 locuitori</w:t>
      </w:r>
      <w:r w:rsidRPr="00315335">
        <w:rPr>
          <w:rFonts w:ascii="Arial" w:hAnsi="Arial" w:cs="Arial"/>
          <w:i/>
          <w:sz w:val="20"/>
          <w:szCs w:val="20"/>
        </w:rPr>
        <w:t xml:space="preserve"> ...... </w:t>
      </w:r>
      <w:r w:rsidRPr="00315335">
        <w:rPr>
          <w:rFonts w:ascii="Arial" w:hAnsi="Arial" w:cs="Arial"/>
          <w:sz w:val="20"/>
          <w:szCs w:val="20"/>
        </w:rPr>
        <w:t xml:space="preserve">     14</w:t>
      </w:r>
      <w:r w:rsidR="0052760D">
        <w:rPr>
          <w:rFonts w:ascii="Arial" w:hAnsi="Arial" w:cs="Arial"/>
          <w:sz w:val="20"/>
          <w:szCs w:val="20"/>
        </w:rPr>
        <w:t>8</w:t>
      </w:r>
    </w:p>
    <w:p w:rsidR="00A82794" w:rsidRPr="00315335" w:rsidRDefault="00A82794" w:rsidP="00A82794">
      <w:pPr>
        <w:tabs>
          <w:tab w:val="left" w:pos="1276"/>
          <w:tab w:val="left" w:leader="dot" w:pos="9356"/>
        </w:tabs>
        <w:spacing w:after="0" w:line="240" w:lineRule="auto"/>
        <w:ind w:left="170"/>
        <w:rPr>
          <w:rFonts w:ascii="Arial" w:hAnsi="Arial" w:cs="Arial"/>
          <w:sz w:val="20"/>
          <w:szCs w:val="20"/>
        </w:rPr>
      </w:pPr>
      <w:r w:rsidRPr="00315335">
        <w:rPr>
          <w:rFonts w:ascii="Arial" w:hAnsi="Arial" w:cs="Arial"/>
          <w:i/>
          <w:sz w:val="20"/>
          <w:szCs w:val="20"/>
        </w:rPr>
        <w:t xml:space="preserve">      VIII.1.3.Calitatea apei potabile şi efectele asupra sănătăţii..........................................................           </w:t>
      </w:r>
      <w:r w:rsidRPr="00315335">
        <w:rPr>
          <w:rFonts w:ascii="Arial" w:hAnsi="Arial" w:cs="Arial"/>
          <w:sz w:val="20"/>
          <w:szCs w:val="20"/>
        </w:rPr>
        <w:t xml:space="preserve"> 1</w:t>
      </w:r>
      <w:r w:rsidR="0052760D">
        <w:rPr>
          <w:rFonts w:ascii="Arial" w:hAnsi="Arial" w:cs="Arial"/>
          <w:sz w:val="20"/>
          <w:szCs w:val="20"/>
        </w:rPr>
        <w:t>53</w:t>
      </w:r>
    </w:p>
    <w:p w:rsidR="00A82794" w:rsidRPr="00315335" w:rsidRDefault="00A82794" w:rsidP="00A82794">
      <w:pPr>
        <w:tabs>
          <w:tab w:val="left" w:pos="1276"/>
          <w:tab w:val="left" w:leader="dot" w:pos="9356"/>
        </w:tabs>
        <w:spacing w:after="0" w:line="240" w:lineRule="auto"/>
        <w:ind w:left="170"/>
        <w:rPr>
          <w:rFonts w:ascii="Arial" w:hAnsi="Arial" w:cs="Arial"/>
          <w:sz w:val="20"/>
          <w:szCs w:val="20"/>
        </w:rPr>
      </w:pPr>
      <w:r w:rsidRPr="00315335">
        <w:rPr>
          <w:rFonts w:ascii="Arial" w:hAnsi="Arial" w:cs="Arial"/>
          <w:i/>
          <w:sz w:val="20"/>
          <w:szCs w:val="20"/>
        </w:rPr>
        <w:t xml:space="preserve">      VIII.1.4. Spaţiile verzi şi efectele asupra sănătăţii şi calităţii vieţii</w:t>
      </w:r>
      <w:r w:rsidRPr="00315335">
        <w:rPr>
          <w:rFonts w:ascii="Arial" w:hAnsi="Arial" w:cs="Arial"/>
          <w:i/>
          <w:sz w:val="20"/>
          <w:szCs w:val="20"/>
        </w:rPr>
        <w:tab/>
        <w:t xml:space="preserve">  </w:t>
      </w:r>
      <w:r w:rsidR="00323029" w:rsidRPr="00315335">
        <w:rPr>
          <w:rFonts w:ascii="Arial" w:hAnsi="Arial" w:cs="Arial"/>
          <w:sz w:val="20"/>
          <w:szCs w:val="20"/>
        </w:rPr>
        <w:t>15</w:t>
      </w:r>
      <w:r w:rsidR="0052760D">
        <w:rPr>
          <w:rFonts w:ascii="Arial" w:hAnsi="Arial" w:cs="Arial"/>
          <w:sz w:val="20"/>
          <w:szCs w:val="20"/>
        </w:rPr>
        <w:t>4</w:t>
      </w:r>
    </w:p>
    <w:p w:rsidR="00A82794" w:rsidRPr="00315335" w:rsidRDefault="00A82794" w:rsidP="00A82794">
      <w:pPr>
        <w:tabs>
          <w:tab w:val="left" w:leader="dot" w:pos="9356"/>
        </w:tabs>
        <w:spacing w:after="0" w:line="240" w:lineRule="auto"/>
        <w:rPr>
          <w:rFonts w:ascii="Arial" w:hAnsi="Arial" w:cs="Arial"/>
          <w:sz w:val="20"/>
          <w:szCs w:val="20"/>
          <w:lang w:val="fr-BE"/>
        </w:rPr>
      </w:pPr>
      <w:r w:rsidRPr="00315335">
        <w:rPr>
          <w:rFonts w:ascii="Arial" w:hAnsi="Arial" w:cs="Arial"/>
          <w:sz w:val="20"/>
          <w:szCs w:val="20"/>
        </w:rPr>
        <w:t xml:space="preserve">                 VII</w:t>
      </w:r>
      <w:r w:rsidRPr="00315335">
        <w:rPr>
          <w:rFonts w:ascii="Arial" w:hAnsi="Arial" w:cs="Arial"/>
          <w:sz w:val="20"/>
          <w:szCs w:val="20"/>
          <w:lang w:val="fr-BE"/>
        </w:rPr>
        <w:t>I.1.4.1.Suprafaţa ocupată de spaţiile verzi în aglomerările urbane ………………………………  1</w:t>
      </w:r>
      <w:r w:rsidR="00323029" w:rsidRPr="00315335">
        <w:rPr>
          <w:rFonts w:ascii="Arial" w:hAnsi="Arial" w:cs="Arial"/>
          <w:sz w:val="20"/>
          <w:szCs w:val="20"/>
          <w:lang w:val="fr-BE"/>
        </w:rPr>
        <w:t>5</w:t>
      </w:r>
      <w:r w:rsidR="0052760D">
        <w:rPr>
          <w:rFonts w:ascii="Arial" w:hAnsi="Arial" w:cs="Arial"/>
          <w:sz w:val="20"/>
          <w:szCs w:val="20"/>
          <w:lang w:val="fr-BE"/>
        </w:rPr>
        <w:t>5</w:t>
      </w:r>
    </w:p>
    <w:p w:rsidR="00A82794" w:rsidRPr="00315335" w:rsidRDefault="00A82794" w:rsidP="00A82794">
      <w:pPr>
        <w:tabs>
          <w:tab w:val="left" w:pos="1276"/>
          <w:tab w:val="left" w:leader="dot" w:pos="9356"/>
        </w:tabs>
        <w:spacing w:after="0" w:line="240" w:lineRule="auto"/>
        <w:ind w:left="170"/>
        <w:rPr>
          <w:rFonts w:ascii="Arial" w:hAnsi="Arial" w:cs="Arial"/>
          <w:sz w:val="20"/>
          <w:szCs w:val="20"/>
        </w:rPr>
      </w:pPr>
      <w:r w:rsidRPr="00315335">
        <w:rPr>
          <w:rFonts w:ascii="Arial" w:hAnsi="Arial" w:cs="Arial"/>
          <w:i/>
          <w:sz w:val="20"/>
          <w:szCs w:val="20"/>
          <w:lang w:val="fr-BE"/>
        </w:rPr>
        <w:t xml:space="preserve">     </w:t>
      </w:r>
      <w:r w:rsidRPr="00315335">
        <w:rPr>
          <w:rFonts w:ascii="Arial" w:hAnsi="Arial" w:cs="Arial"/>
          <w:i/>
          <w:sz w:val="20"/>
          <w:szCs w:val="20"/>
        </w:rPr>
        <w:t xml:space="preserve"> VIII.1.5.Schimbările climatice şi efectele asupra mediului urban, sănătăţii şi calităţii vieţii</w:t>
      </w:r>
      <w:r w:rsidRPr="00315335">
        <w:rPr>
          <w:rFonts w:ascii="Arial" w:hAnsi="Arial" w:cs="Arial"/>
          <w:i/>
          <w:sz w:val="20"/>
          <w:szCs w:val="20"/>
        </w:rPr>
        <w:tab/>
        <w:t xml:space="preserve">  </w:t>
      </w:r>
      <w:r w:rsidRPr="00315335">
        <w:rPr>
          <w:rFonts w:ascii="Arial" w:hAnsi="Arial" w:cs="Arial"/>
          <w:sz w:val="20"/>
          <w:szCs w:val="20"/>
        </w:rPr>
        <w:t>1</w:t>
      </w:r>
      <w:r w:rsidR="0052760D">
        <w:rPr>
          <w:rFonts w:ascii="Arial" w:hAnsi="Arial" w:cs="Arial"/>
          <w:sz w:val="20"/>
          <w:szCs w:val="20"/>
        </w:rPr>
        <w:t>61</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VIII.1.5.1. Rata de mortalitate în aglomerările urbane ca urmare a temperaturilor extreme în </w:t>
      </w:r>
    </w:p>
    <w:p w:rsidR="00A82794" w:rsidRPr="00315335" w:rsidRDefault="00A82794" w:rsidP="00A82794">
      <w:pPr>
        <w:tabs>
          <w:tab w:val="left" w:leader="dot" w:pos="9356"/>
        </w:tabs>
        <w:spacing w:after="0" w:line="240" w:lineRule="auto"/>
        <w:rPr>
          <w:rFonts w:ascii="Arial" w:hAnsi="Arial" w:cs="Arial"/>
          <w:sz w:val="20"/>
          <w:szCs w:val="20"/>
        </w:rPr>
      </w:pPr>
      <w:r w:rsidRPr="00315335">
        <w:rPr>
          <w:rFonts w:ascii="Arial" w:hAnsi="Arial" w:cs="Arial"/>
          <w:sz w:val="20"/>
          <w:szCs w:val="20"/>
        </w:rPr>
        <w:t xml:space="preserve">                     perioada de vară </w:t>
      </w:r>
      <w:r w:rsidRPr="00315335">
        <w:rPr>
          <w:rFonts w:ascii="Arial" w:hAnsi="Arial" w:cs="Arial"/>
          <w:sz w:val="20"/>
          <w:szCs w:val="20"/>
        </w:rPr>
        <w:tab/>
        <w:t xml:space="preserve">  1</w:t>
      </w:r>
      <w:r w:rsidR="0052760D">
        <w:rPr>
          <w:rFonts w:ascii="Arial" w:hAnsi="Arial" w:cs="Arial"/>
          <w:sz w:val="20"/>
          <w:szCs w:val="20"/>
        </w:rPr>
        <w:t>62</w:t>
      </w:r>
    </w:p>
    <w:p w:rsidR="00A82794" w:rsidRPr="00315335" w:rsidRDefault="00A82794" w:rsidP="00A82794">
      <w:pPr>
        <w:tabs>
          <w:tab w:val="left" w:leader="dot" w:pos="9356"/>
        </w:tabs>
        <w:spacing w:after="0" w:line="240" w:lineRule="auto"/>
        <w:ind w:left="1135"/>
        <w:rPr>
          <w:rFonts w:ascii="Arial" w:hAnsi="Arial" w:cs="Arial"/>
          <w:sz w:val="20"/>
          <w:szCs w:val="20"/>
        </w:rPr>
      </w:pPr>
      <w:r w:rsidRPr="00315335">
        <w:rPr>
          <w:rFonts w:ascii="Arial" w:hAnsi="Arial" w:cs="Arial"/>
          <w:sz w:val="20"/>
          <w:szCs w:val="20"/>
        </w:rPr>
        <w:t xml:space="preserve">VIII.1.5.2. Expunerea populaţiei din aglomerările urbane la riscul de inundaţii </w:t>
      </w:r>
      <w:r w:rsidRPr="00315335">
        <w:rPr>
          <w:rFonts w:ascii="Arial" w:hAnsi="Arial" w:cs="Arial"/>
          <w:sz w:val="20"/>
          <w:szCs w:val="20"/>
        </w:rPr>
        <w:tab/>
        <w:t xml:space="preserve">  1</w:t>
      </w:r>
      <w:r w:rsidR="0052760D">
        <w:rPr>
          <w:rFonts w:ascii="Arial" w:hAnsi="Arial" w:cs="Arial"/>
          <w:sz w:val="20"/>
          <w:szCs w:val="20"/>
        </w:rPr>
        <w:t>62</w:t>
      </w:r>
    </w:p>
    <w:p w:rsidR="00A82794" w:rsidRPr="00315335" w:rsidRDefault="00A82794" w:rsidP="00A82794">
      <w:pPr>
        <w:tabs>
          <w:tab w:val="left" w:pos="540"/>
          <w:tab w:val="left" w:leader="dot" w:pos="9356"/>
        </w:tabs>
        <w:spacing w:after="0" w:line="240" w:lineRule="auto"/>
        <w:rPr>
          <w:rFonts w:ascii="Arial" w:hAnsi="Arial" w:cs="Arial"/>
          <w:sz w:val="20"/>
          <w:szCs w:val="20"/>
        </w:rPr>
      </w:pPr>
      <w:r w:rsidRPr="00315335">
        <w:rPr>
          <w:rFonts w:ascii="Arial" w:hAnsi="Arial" w:cs="Arial"/>
          <w:b/>
          <w:sz w:val="20"/>
          <w:szCs w:val="20"/>
        </w:rPr>
        <w:t>IX.RADIOACTIVITATEA MEDIULUI ..........................................................................................................     1</w:t>
      </w:r>
      <w:r w:rsidR="00E142EF">
        <w:rPr>
          <w:rFonts w:ascii="Arial" w:hAnsi="Arial" w:cs="Arial"/>
          <w:b/>
          <w:sz w:val="20"/>
          <w:szCs w:val="20"/>
        </w:rPr>
        <w:t>63</w:t>
      </w:r>
    </w:p>
    <w:p w:rsidR="00A82794" w:rsidRPr="00315335" w:rsidRDefault="00A82794" w:rsidP="00A82794">
      <w:pPr>
        <w:tabs>
          <w:tab w:val="left" w:leader="dot" w:pos="9356"/>
        </w:tabs>
        <w:spacing w:after="0" w:line="240" w:lineRule="auto"/>
        <w:ind w:left="567"/>
        <w:rPr>
          <w:rFonts w:ascii="Arial" w:hAnsi="Arial" w:cs="Arial"/>
          <w:sz w:val="20"/>
          <w:szCs w:val="20"/>
        </w:rPr>
      </w:pPr>
      <w:r w:rsidRPr="00315335">
        <w:rPr>
          <w:rFonts w:ascii="Arial" w:hAnsi="Arial" w:cs="Arial"/>
          <w:b/>
          <w:sz w:val="20"/>
          <w:szCs w:val="20"/>
        </w:rPr>
        <w:t xml:space="preserve">IX.1. Monitorizarea radioactivităţii factorilor de mediu </w:t>
      </w:r>
      <w:r w:rsidRPr="00315335">
        <w:rPr>
          <w:rFonts w:ascii="Arial" w:hAnsi="Arial" w:cs="Arial"/>
          <w:b/>
          <w:sz w:val="20"/>
          <w:szCs w:val="20"/>
        </w:rPr>
        <w:tab/>
        <w:t xml:space="preserve">  1</w:t>
      </w:r>
      <w:r w:rsidR="00E142EF">
        <w:rPr>
          <w:rFonts w:ascii="Arial" w:hAnsi="Arial" w:cs="Arial"/>
          <w:b/>
          <w:sz w:val="20"/>
          <w:szCs w:val="20"/>
        </w:rPr>
        <w:t>63</w:t>
      </w:r>
    </w:p>
    <w:p w:rsidR="00A82794" w:rsidRPr="00315335" w:rsidRDefault="00A82794" w:rsidP="00A82794">
      <w:pPr>
        <w:tabs>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IX.1.1.Radioactivitatea aerului  ……………………………………………………………..…………   </w:t>
      </w:r>
      <w:r w:rsidR="00323029" w:rsidRPr="00315335">
        <w:rPr>
          <w:rFonts w:ascii="Arial" w:hAnsi="Arial" w:cs="Arial"/>
          <w:i/>
          <w:sz w:val="20"/>
          <w:szCs w:val="20"/>
        </w:rPr>
        <w:t xml:space="preserve"> </w:t>
      </w:r>
      <w:r w:rsidRPr="00315335">
        <w:rPr>
          <w:rFonts w:ascii="Arial" w:hAnsi="Arial" w:cs="Arial"/>
          <w:sz w:val="20"/>
          <w:szCs w:val="20"/>
        </w:rPr>
        <w:t>1</w:t>
      </w:r>
      <w:r w:rsidR="00E142EF">
        <w:rPr>
          <w:rFonts w:ascii="Arial" w:hAnsi="Arial" w:cs="Arial"/>
          <w:sz w:val="20"/>
          <w:szCs w:val="20"/>
        </w:rPr>
        <w:t>63</w:t>
      </w:r>
    </w:p>
    <w:p w:rsidR="00A82794" w:rsidRPr="00315335" w:rsidRDefault="00A82794" w:rsidP="00A82794">
      <w:pPr>
        <w:tabs>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IX.1.2. Radioctivitatea apelor  ...................................................................................................     </w:t>
      </w:r>
      <w:r w:rsidRPr="00315335">
        <w:rPr>
          <w:rFonts w:ascii="Arial" w:hAnsi="Arial" w:cs="Arial"/>
          <w:sz w:val="20"/>
          <w:szCs w:val="20"/>
        </w:rPr>
        <w:t>1</w:t>
      </w:r>
      <w:r w:rsidR="00323029" w:rsidRPr="00315335">
        <w:rPr>
          <w:rFonts w:ascii="Arial" w:hAnsi="Arial" w:cs="Arial"/>
          <w:sz w:val="20"/>
          <w:szCs w:val="20"/>
        </w:rPr>
        <w:t>6</w:t>
      </w:r>
      <w:r w:rsidR="00E142EF">
        <w:rPr>
          <w:rFonts w:ascii="Arial" w:hAnsi="Arial" w:cs="Arial"/>
          <w:sz w:val="20"/>
          <w:szCs w:val="20"/>
        </w:rPr>
        <w:t>4</w:t>
      </w:r>
    </w:p>
    <w:p w:rsidR="00A82794" w:rsidRPr="00315335" w:rsidRDefault="00A82794" w:rsidP="00A82794">
      <w:pPr>
        <w:tabs>
          <w:tab w:val="left" w:pos="1276"/>
          <w:tab w:val="left" w:leader="dot" w:pos="9356"/>
        </w:tabs>
        <w:spacing w:after="0" w:line="240" w:lineRule="auto"/>
        <w:ind w:left="993"/>
        <w:rPr>
          <w:rFonts w:ascii="Arial" w:hAnsi="Arial" w:cs="Arial"/>
          <w:i/>
          <w:sz w:val="20"/>
          <w:szCs w:val="20"/>
        </w:rPr>
      </w:pPr>
      <w:r w:rsidRPr="00315335">
        <w:rPr>
          <w:rFonts w:ascii="Arial" w:hAnsi="Arial" w:cs="Arial"/>
          <w:i/>
          <w:sz w:val="20"/>
          <w:szCs w:val="20"/>
        </w:rPr>
        <w:t xml:space="preserve">IX.1.3. Radioactivitatea solului  .................................................................................................    </w:t>
      </w:r>
      <w:r w:rsidR="00323029" w:rsidRPr="00315335">
        <w:rPr>
          <w:rFonts w:ascii="Arial" w:hAnsi="Arial" w:cs="Arial"/>
          <w:i/>
          <w:sz w:val="20"/>
          <w:szCs w:val="20"/>
        </w:rPr>
        <w:t xml:space="preserve"> </w:t>
      </w:r>
      <w:r w:rsidRPr="00315335">
        <w:rPr>
          <w:rFonts w:ascii="Arial" w:hAnsi="Arial" w:cs="Arial"/>
          <w:sz w:val="20"/>
          <w:szCs w:val="20"/>
        </w:rPr>
        <w:t>1</w:t>
      </w:r>
      <w:r w:rsidR="00323029" w:rsidRPr="00315335">
        <w:rPr>
          <w:rFonts w:ascii="Arial" w:hAnsi="Arial" w:cs="Arial"/>
          <w:sz w:val="20"/>
          <w:szCs w:val="20"/>
        </w:rPr>
        <w:t>6</w:t>
      </w:r>
      <w:r w:rsidR="00E142EF">
        <w:rPr>
          <w:rFonts w:ascii="Arial" w:hAnsi="Arial" w:cs="Arial"/>
          <w:sz w:val="20"/>
          <w:szCs w:val="20"/>
        </w:rPr>
        <w:t>4</w:t>
      </w:r>
    </w:p>
    <w:p w:rsidR="00A82794" w:rsidRPr="00315335" w:rsidRDefault="00A82794" w:rsidP="00A82794">
      <w:pPr>
        <w:tabs>
          <w:tab w:val="left" w:pos="1276"/>
          <w:tab w:val="left" w:leader="dot" w:pos="9356"/>
        </w:tabs>
        <w:spacing w:after="0" w:line="240" w:lineRule="auto"/>
        <w:ind w:left="993"/>
        <w:rPr>
          <w:rFonts w:ascii="Arial" w:hAnsi="Arial" w:cs="Arial"/>
          <w:sz w:val="20"/>
          <w:szCs w:val="20"/>
        </w:rPr>
      </w:pPr>
      <w:r w:rsidRPr="00315335">
        <w:rPr>
          <w:rFonts w:ascii="Arial" w:hAnsi="Arial" w:cs="Arial"/>
          <w:i/>
          <w:sz w:val="20"/>
          <w:szCs w:val="20"/>
        </w:rPr>
        <w:t xml:space="preserve">IX.1.4. Radioactivitatea vegetației  ...............................................................................................  </w:t>
      </w:r>
      <w:r w:rsidRPr="00315335">
        <w:rPr>
          <w:rFonts w:ascii="Arial" w:hAnsi="Arial" w:cs="Arial"/>
          <w:sz w:val="20"/>
          <w:szCs w:val="20"/>
        </w:rPr>
        <w:t>1</w:t>
      </w:r>
      <w:r w:rsidR="00323029" w:rsidRPr="00315335">
        <w:rPr>
          <w:rFonts w:ascii="Arial" w:hAnsi="Arial" w:cs="Arial"/>
          <w:sz w:val="20"/>
          <w:szCs w:val="20"/>
        </w:rPr>
        <w:t>6</w:t>
      </w:r>
      <w:r w:rsidR="00E142EF">
        <w:rPr>
          <w:rFonts w:ascii="Arial" w:hAnsi="Arial" w:cs="Arial"/>
          <w:sz w:val="20"/>
          <w:szCs w:val="20"/>
        </w:rPr>
        <w:t>4</w:t>
      </w:r>
    </w:p>
    <w:p w:rsidR="00A82794" w:rsidRPr="00315335" w:rsidRDefault="00A82794" w:rsidP="00A82794">
      <w:pPr>
        <w:tabs>
          <w:tab w:val="left" w:pos="540"/>
          <w:tab w:val="left" w:leader="dot" w:pos="9356"/>
        </w:tabs>
        <w:spacing w:after="0" w:line="240" w:lineRule="auto"/>
        <w:rPr>
          <w:rFonts w:ascii="Arial" w:hAnsi="Arial" w:cs="Arial"/>
          <w:sz w:val="20"/>
          <w:szCs w:val="20"/>
        </w:rPr>
      </w:pPr>
      <w:r w:rsidRPr="00315335">
        <w:rPr>
          <w:rFonts w:ascii="Arial" w:hAnsi="Arial" w:cs="Arial"/>
          <w:b/>
          <w:sz w:val="20"/>
          <w:szCs w:val="20"/>
        </w:rPr>
        <w:t xml:space="preserve">X.CONSUMUL ŞI MEDIUL ÎNCONJURĂTOR </w:t>
      </w:r>
      <w:r w:rsidRPr="00315335">
        <w:rPr>
          <w:rFonts w:ascii="Arial" w:hAnsi="Arial" w:cs="Arial"/>
          <w:b/>
          <w:sz w:val="20"/>
          <w:szCs w:val="20"/>
        </w:rPr>
        <w:tab/>
        <w:t>. 1</w:t>
      </w:r>
      <w:r w:rsidR="00323029" w:rsidRPr="00315335">
        <w:rPr>
          <w:rFonts w:ascii="Arial" w:hAnsi="Arial" w:cs="Arial"/>
          <w:b/>
          <w:sz w:val="20"/>
          <w:szCs w:val="20"/>
        </w:rPr>
        <w:t>6</w:t>
      </w:r>
      <w:r w:rsidR="00E142EF">
        <w:rPr>
          <w:rFonts w:ascii="Arial" w:hAnsi="Arial" w:cs="Arial"/>
          <w:b/>
          <w:sz w:val="20"/>
          <w:szCs w:val="20"/>
        </w:rPr>
        <w:t>5</w:t>
      </w:r>
    </w:p>
    <w:p w:rsidR="00A82794" w:rsidRPr="00315335" w:rsidRDefault="00A82794" w:rsidP="00A82794">
      <w:pPr>
        <w:tabs>
          <w:tab w:val="left" w:leader="dot" w:pos="9356"/>
        </w:tabs>
        <w:spacing w:after="0" w:line="240" w:lineRule="auto"/>
        <w:ind w:left="567"/>
        <w:rPr>
          <w:rFonts w:ascii="Arial" w:hAnsi="Arial" w:cs="Arial"/>
          <w:sz w:val="20"/>
          <w:szCs w:val="20"/>
        </w:rPr>
      </w:pPr>
      <w:r w:rsidRPr="00315335">
        <w:rPr>
          <w:rFonts w:ascii="Arial" w:hAnsi="Arial" w:cs="Arial"/>
          <w:b/>
          <w:sz w:val="20"/>
          <w:szCs w:val="20"/>
        </w:rPr>
        <w:t xml:space="preserve">X.1.Tendinţe în consum   </w:t>
      </w:r>
      <w:r w:rsidRPr="00315335">
        <w:rPr>
          <w:rFonts w:ascii="Arial" w:hAnsi="Arial" w:cs="Arial"/>
          <w:b/>
          <w:sz w:val="20"/>
          <w:szCs w:val="20"/>
        </w:rPr>
        <w:tab/>
        <w:t>. 1</w:t>
      </w:r>
      <w:r w:rsidR="00323029" w:rsidRPr="00315335">
        <w:rPr>
          <w:rFonts w:ascii="Arial" w:hAnsi="Arial" w:cs="Arial"/>
          <w:b/>
          <w:sz w:val="20"/>
          <w:szCs w:val="20"/>
        </w:rPr>
        <w:t>6</w:t>
      </w:r>
      <w:r w:rsidR="00E142EF">
        <w:rPr>
          <w:rFonts w:ascii="Arial" w:hAnsi="Arial" w:cs="Arial"/>
          <w:b/>
          <w:sz w:val="20"/>
          <w:szCs w:val="20"/>
        </w:rPr>
        <w:t>5</w:t>
      </w:r>
    </w:p>
    <w:p w:rsidR="00A82794" w:rsidRPr="00315335" w:rsidRDefault="00A82794" w:rsidP="00A82794">
      <w:pPr>
        <w:tabs>
          <w:tab w:val="left" w:pos="1276"/>
          <w:tab w:val="left" w:leader="dot" w:pos="9356"/>
        </w:tabs>
        <w:spacing w:after="0" w:line="240" w:lineRule="auto"/>
        <w:ind w:left="170"/>
        <w:rPr>
          <w:rFonts w:ascii="Arial" w:hAnsi="Arial" w:cs="Arial"/>
          <w:sz w:val="20"/>
          <w:szCs w:val="20"/>
        </w:rPr>
      </w:pPr>
      <w:r w:rsidRPr="00315335">
        <w:rPr>
          <w:rFonts w:ascii="Arial" w:hAnsi="Arial" w:cs="Arial"/>
          <w:i/>
          <w:sz w:val="20"/>
          <w:szCs w:val="20"/>
        </w:rPr>
        <w:t xml:space="preserve">              X.1.1.Alimente şi băuturi </w:t>
      </w:r>
      <w:r w:rsidRPr="00315335">
        <w:rPr>
          <w:rFonts w:ascii="Arial" w:hAnsi="Arial" w:cs="Arial"/>
          <w:i/>
          <w:sz w:val="20"/>
          <w:szCs w:val="20"/>
        </w:rPr>
        <w:tab/>
        <w:t>.</w:t>
      </w:r>
      <w:r w:rsidRPr="00315335">
        <w:rPr>
          <w:rFonts w:ascii="Arial" w:hAnsi="Arial" w:cs="Arial"/>
          <w:sz w:val="20"/>
          <w:szCs w:val="20"/>
        </w:rPr>
        <w:t xml:space="preserve"> 1</w:t>
      </w:r>
      <w:r w:rsidR="00323029" w:rsidRPr="00315335">
        <w:rPr>
          <w:rFonts w:ascii="Arial" w:hAnsi="Arial" w:cs="Arial"/>
          <w:sz w:val="20"/>
          <w:szCs w:val="20"/>
        </w:rPr>
        <w:t>6</w:t>
      </w:r>
      <w:r w:rsidR="00E142EF">
        <w:rPr>
          <w:rFonts w:ascii="Arial" w:hAnsi="Arial" w:cs="Arial"/>
          <w:sz w:val="20"/>
          <w:szCs w:val="20"/>
        </w:rPr>
        <w:t>5</w:t>
      </w:r>
    </w:p>
    <w:p w:rsidR="00A82794" w:rsidRPr="00315335" w:rsidRDefault="00A82794" w:rsidP="00A82794">
      <w:pPr>
        <w:tabs>
          <w:tab w:val="left" w:pos="1276"/>
          <w:tab w:val="left" w:leader="dot" w:pos="9356"/>
        </w:tabs>
        <w:spacing w:after="0" w:line="240" w:lineRule="auto"/>
        <w:ind w:left="170"/>
        <w:rPr>
          <w:rFonts w:ascii="Arial" w:hAnsi="Arial" w:cs="Arial"/>
          <w:sz w:val="20"/>
          <w:szCs w:val="20"/>
        </w:rPr>
      </w:pPr>
      <w:r w:rsidRPr="00315335">
        <w:rPr>
          <w:rFonts w:ascii="Arial" w:hAnsi="Arial" w:cs="Arial"/>
          <w:i/>
          <w:sz w:val="20"/>
          <w:szCs w:val="20"/>
        </w:rPr>
        <w:t xml:space="preserve">              X.1.2.Locuinţe </w:t>
      </w:r>
      <w:r w:rsidRPr="00315335">
        <w:rPr>
          <w:rFonts w:ascii="Arial" w:hAnsi="Arial" w:cs="Arial"/>
          <w:i/>
          <w:sz w:val="20"/>
          <w:szCs w:val="20"/>
        </w:rPr>
        <w:tab/>
        <w:t xml:space="preserve">. </w:t>
      </w:r>
      <w:r w:rsidRPr="00315335">
        <w:rPr>
          <w:rFonts w:ascii="Arial" w:hAnsi="Arial" w:cs="Arial"/>
          <w:sz w:val="20"/>
          <w:szCs w:val="20"/>
        </w:rPr>
        <w:t>1</w:t>
      </w:r>
      <w:r w:rsidR="00323029" w:rsidRPr="00315335">
        <w:rPr>
          <w:rFonts w:ascii="Arial" w:hAnsi="Arial" w:cs="Arial"/>
          <w:sz w:val="20"/>
          <w:szCs w:val="20"/>
        </w:rPr>
        <w:t>6</w:t>
      </w:r>
      <w:r w:rsidR="00E142EF">
        <w:rPr>
          <w:rFonts w:ascii="Arial" w:hAnsi="Arial" w:cs="Arial"/>
          <w:sz w:val="20"/>
          <w:szCs w:val="20"/>
        </w:rPr>
        <w:t>5</w:t>
      </w:r>
    </w:p>
    <w:p w:rsidR="00A82794" w:rsidRPr="00315335" w:rsidRDefault="00A82794" w:rsidP="00A82794">
      <w:pPr>
        <w:tabs>
          <w:tab w:val="left" w:pos="1276"/>
          <w:tab w:val="left" w:leader="dot" w:pos="9356"/>
        </w:tabs>
        <w:spacing w:after="0" w:line="240" w:lineRule="auto"/>
        <w:ind w:left="170"/>
        <w:rPr>
          <w:rFonts w:ascii="Arial" w:hAnsi="Arial" w:cs="Arial"/>
          <w:sz w:val="20"/>
          <w:szCs w:val="20"/>
        </w:rPr>
      </w:pPr>
      <w:r w:rsidRPr="00315335">
        <w:rPr>
          <w:rFonts w:ascii="Arial" w:hAnsi="Arial" w:cs="Arial"/>
          <w:i/>
          <w:sz w:val="20"/>
          <w:szCs w:val="20"/>
        </w:rPr>
        <w:t xml:space="preserve">              X.1.3.Mobilitate </w:t>
      </w:r>
      <w:r w:rsidRPr="00315335">
        <w:rPr>
          <w:rFonts w:ascii="Arial" w:hAnsi="Arial" w:cs="Arial"/>
          <w:i/>
          <w:sz w:val="20"/>
          <w:szCs w:val="20"/>
        </w:rPr>
        <w:tab/>
        <w:t>.</w:t>
      </w:r>
      <w:r w:rsidRPr="00315335">
        <w:rPr>
          <w:rFonts w:ascii="Arial" w:hAnsi="Arial" w:cs="Arial"/>
          <w:sz w:val="20"/>
          <w:szCs w:val="20"/>
        </w:rPr>
        <w:t xml:space="preserve"> 16</w:t>
      </w:r>
      <w:r w:rsidR="00E142EF">
        <w:rPr>
          <w:rFonts w:ascii="Arial" w:hAnsi="Arial" w:cs="Arial"/>
          <w:sz w:val="20"/>
          <w:szCs w:val="20"/>
        </w:rPr>
        <w:t>6</w:t>
      </w:r>
    </w:p>
    <w:p w:rsidR="00A82794" w:rsidRPr="00315335" w:rsidRDefault="00A82794" w:rsidP="00A82794">
      <w:pPr>
        <w:tabs>
          <w:tab w:val="left" w:leader="dot" w:pos="9356"/>
        </w:tabs>
        <w:spacing w:after="0" w:line="240" w:lineRule="auto"/>
        <w:ind w:left="1135"/>
        <w:rPr>
          <w:rFonts w:ascii="Arial" w:hAnsi="Arial" w:cs="Arial"/>
          <w:sz w:val="20"/>
          <w:szCs w:val="20"/>
        </w:rPr>
      </w:pPr>
      <w:r w:rsidRPr="00315335">
        <w:rPr>
          <w:rFonts w:ascii="Arial" w:hAnsi="Arial" w:cs="Arial"/>
          <w:sz w:val="20"/>
          <w:szCs w:val="20"/>
        </w:rPr>
        <w:t xml:space="preserve">   X.1.3.1.Transportul de pasageri </w:t>
      </w:r>
      <w:r w:rsidRPr="00315335">
        <w:rPr>
          <w:rFonts w:ascii="Arial" w:hAnsi="Arial" w:cs="Arial"/>
          <w:sz w:val="20"/>
          <w:szCs w:val="20"/>
        </w:rPr>
        <w:tab/>
        <w:t>. 16</w:t>
      </w:r>
      <w:r w:rsidR="00E142EF">
        <w:rPr>
          <w:rFonts w:ascii="Arial" w:hAnsi="Arial" w:cs="Arial"/>
          <w:sz w:val="20"/>
          <w:szCs w:val="20"/>
        </w:rPr>
        <w:t>6</w:t>
      </w:r>
    </w:p>
    <w:p w:rsidR="00A82794" w:rsidRPr="00315335" w:rsidRDefault="00A82794" w:rsidP="00A82794">
      <w:pPr>
        <w:tabs>
          <w:tab w:val="left" w:leader="dot" w:pos="9356"/>
        </w:tabs>
        <w:spacing w:after="0" w:line="240" w:lineRule="auto"/>
        <w:ind w:left="1135"/>
        <w:rPr>
          <w:rFonts w:ascii="Arial" w:hAnsi="Arial" w:cs="Arial"/>
          <w:sz w:val="20"/>
          <w:szCs w:val="20"/>
        </w:rPr>
      </w:pPr>
      <w:r w:rsidRPr="00315335">
        <w:rPr>
          <w:rFonts w:ascii="Arial" w:hAnsi="Arial" w:cs="Arial"/>
          <w:sz w:val="20"/>
          <w:szCs w:val="20"/>
        </w:rPr>
        <w:t xml:space="preserve">   X.1.3.2.Transportul de mărfuri ................................................................................................  16</w:t>
      </w:r>
      <w:r w:rsidR="00E142EF">
        <w:rPr>
          <w:rFonts w:ascii="Arial" w:hAnsi="Arial" w:cs="Arial"/>
          <w:sz w:val="20"/>
          <w:szCs w:val="20"/>
        </w:rPr>
        <w:t>7</w:t>
      </w:r>
    </w:p>
    <w:p w:rsidR="00A82794" w:rsidRPr="00315335" w:rsidRDefault="00A82794" w:rsidP="00A82794">
      <w:pPr>
        <w:tabs>
          <w:tab w:val="left" w:leader="dot" w:pos="9356"/>
        </w:tabs>
        <w:spacing w:after="0" w:line="240" w:lineRule="auto"/>
        <w:ind w:left="567"/>
        <w:rPr>
          <w:rFonts w:ascii="Arial" w:hAnsi="Arial" w:cs="Arial"/>
          <w:sz w:val="20"/>
          <w:szCs w:val="20"/>
        </w:rPr>
      </w:pPr>
      <w:r w:rsidRPr="00315335">
        <w:rPr>
          <w:rFonts w:ascii="Arial" w:hAnsi="Arial" w:cs="Arial"/>
          <w:b/>
          <w:sz w:val="20"/>
          <w:szCs w:val="20"/>
        </w:rPr>
        <w:t>X.2.Factori care influenţează consumul ..........................................................................................</w:t>
      </w:r>
      <w:r w:rsidRPr="00315335">
        <w:rPr>
          <w:rFonts w:ascii="Arial" w:hAnsi="Arial" w:cs="Arial"/>
          <w:sz w:val="20"/>
          <w:szCs w:val="20"/>
        </w:rPr>
        <w:t xml:space="preserve">  16</w:t>
      </w:r>
      <w:r w:rsidR="00E142EF">
        <w:rPr>
          <w:rFonts w:ascii="Arial" w:hAnsi="Arial" w:cs="Arial"/>
          <w:sz w:val="20"/>
          <w:szCs w:val="20"/>
        </w:rPr>
        <w:t>8</w:t>
      </w:r>
    </w:p>
    <w:p w:rsidR="00A82794" w:rsidRPr="00315335" w:rsidRDefault="00A82794" w:rsidP="00A82794">
      <w:pPr>
        <w:tabs>
          <w:tab w:val="left" w:leader="dot" w:pos="9356"/>
        </w:tabs>
        <w:spacing w:after="0" w:line="240" w:lineRule="auto"/>
        <w:ind w:left="567"/>
        <w:rPr>
          <w:rFonts w:ascii="Arial" w:hAnsi="Arial" w:cs="Arial"/>
          <w:sz w:val="20"/>
          <w:szCs w:val="20"/>
        </w:rPr>
      </w:pPr>
      <w:r w:rsidRPr="00315335">
        <w:rPr>
          <w:rFonts w:ascii="Arial" w:hAnsi="Arial" w:cs="Arial"/>
          <w:b/>
          <w:sz w:val="20"/>
          <w:szCs w:val="20"/>
        </w:rPr>
        <w:t xml:space="preserve">X.3.Presiunile asupra mediului cauzate de consum </w:t>
      </w:r>
      <w:r w:rsidRPr="00315335">
        <w:rPr>
          <w:rFonts w:ascii="Arial" w:hAnsi="Arial" w:cs="Arial"/>
          <w:b/>
          <w:sz w:val="20"/>
          <w:szCs w:val="20"/>
        </w:rPr>
        <w:tab/>
        <w:t xml:space="preserve">  1</w:t>
      </w:r>
      <w:r w:rsidR="00E142EF">
        <w:rPr>
          <w:rFonts w:ascii="Arial" w:hAnsi="Arial" w:cs="Arial"/>
          <w:b/>
          <w:sz w:val="20"/>
          <w:szCs w:val="20"/>
        </w:rPr>
        <w:t>70</w:t>
      </w:r>
    </w:p>
    <w:p w:rsidR="00A82794" w:rsidRPr="00315335" w:rsidRDefault="00A82794" w:rsidP="00A82794">
      <w:pPr>
        <w:tabs>
          <w:tab w:val="left" w:pos="1276"/>
          <w:tab w:val="left" w:leader="dot" w:pos="9356"/>
        </w:tabs>
        <w:spacing w:after="0" w:line="240" w:lineRule="auto"/>
        <w:ind w:left="993" w:hanging="823"/>
        <w:rPr>
          <w:rFonts w:ascii="Arial" w:hAnsi="Arial" w:cs="Arial"/>
          <w:sz w:val="20"/>
          <w:szCs w:val="20"/>
        </w:rPr>
      </w:pPr>
      <w:r w:rsidRPr="00315335">
        <w:rPr>
          <w:rFonts w:ascii="Arial" w:hAnsi="Arial" w:cs="Arial"/>
          <w:i/>
          <w:sz w:val="20"/>
          <w:szCs w:val="20"/>
        </w:rPr>
        <w:t xml:space="preserve">               X.3.1.Emisii de gaze cu efect de seră din sectorul rezidenţial </w:t>
      </w:r>
      <w:r w:rsidRPr="00315335">
        <w:rPr>
          <w:rFonts w:ascii="Arial" w:hAnsi="Arial" w:cs="Arial"/>
          <w:i/>
          <w:sz w:val="20"/>
          <w:szCs w:val="20"/>
        </w:rPr>
        <w:tab/>
        <w:t xml:space="preserve">  </w:t>
      </w:r>
      <w:r w:rsidRPr="00315335">
        <w:rPr>
          <w:rFonts w:ascii="Arial" w:hAnsi="Arial" w:cs="Arial"/>
          <w:sz w:val="20"/>
          <w:szCs w:val="20"/>
        </w:rPr>
        <w:t>1</w:t>
      </w:r>
      <w:r w:rsidR="00E142EF">
        <w:rPr>
          <w:rFonts w:ascii="Arial" w:hAnsi="Arial" w:cs="Arial"/>
          <w:sz w:val="20"/>
          <w:szCs w:val="20"/>
        </w:rPr>
        <w:t>70</w:t>
      </w:r>
      <w:r w:rsidRPr="00315335">
        <w:rPr>
          <w:rFonts w:ascii="Arial" w:hAnsi="Arial" w:cs="Arial"/>
          <w:i/>
          <w:sz w:val="20"/>
          <w:szCs w:val="20"/>
        </w:rPr>
        <w:t xml:space="preserve">                        X.3.2.Consumul de energie pe locuitor ..........................................................</w:t>
      </w:r>
      <w:r w:rsidRPr="00315335">
        <w:rPr>
          <w:rFonts w:ascii="Arial" w:hAnsi="Arial" w:cs="Arial"/>
          <w:sz w:val="20"/>
          <w:szCs w:val="20"/>
        </w:rPr>
        <w:t xml:space="preserve"> ............................   1</w:t>
      </w:r>
      <w:r w:rsidR="00E142EF">
        <w:rPr>
          <w:rFonts w:ascii="Arial" w:hAnsi="Arial" w:cs="Arial"/>
          <w:sz w:val="20"/>
          <w:szCs w:val="20"/>
        </w:rPr>
        <w:t>70</w:t>
      </w:r>
    </w:p>
    <w:p w:rsidR="00A82794" w:rsidRPr="00315335" w:rsidRDefault="00A82794" w:rsidP="00A82794">
      <w:pPr>
        <w:tabs>
          <w:tab w:val="left" w:pos="1276"/>
          <w:tab w:val="left" w:leader="dot" w:pos="9356"/>
        </w:tabs>
        <w:spacing w:after="0" w:line="240" w:lineRule="auto"/>
        <w:ind w:left="993" w:hanging="823"/>
        <w:rPr>
          <w:rFonts w:ascii="Arial" w:hAnsi="Arial" w:cs="Arial"/>
          <w:sz w:val="20"/>
          <w:szCs w:val="20"/>
        </w:rPr>
      </w:pPr>
      <w:r w:rsidRPr="00315335">
        <w:rPr>
          <w:rFonts w:ascii="Arial" w:hAnsi="Arial" w:cs="Arial"/>
          <w:i/>
          <w:sz w:val="20"/>
          <w:szCs w:val="20"/>
        </w:rPr>
        <w:t xml:space="preserve">               X.3.3 Utilizarea materialelor </w:t>
      </w:r>
      <w:r w:rsidRPr="00315335">
        <w:rPr>
          <w:rFonts w:ascii="Arial" w:hAnsi="Arial" w:cs="Arial"/>
          <w:i/>
          <w:sz w:val="20"/>
          <w:szCs w:val="20"/>
        </w:rPr>
        <w:tab/>
        <w:t xml:space="preserve">  </w:t>
      </w:r>
      <w:r w:rsidRPr="00315335">
        <w:rPr>
          <w:rFonts w:ascii="Arial" w:hAnsi="Arial" w:cs="Arial"/>
          <w:sz w:val="20"/>
          <w:szCs w:val="20"/>
        </w:rPr>
        <w:t>1</w:t>
      </w:r>
      <w:r w:rsidR="00E142EF">
        <w:rPr>
          <w:rFonts w:ascii="Arial" w:hAnsi="Arial" w:cs="Arial"/>
          <w:sz w:val="20"/>
          <w:szCs w:val="20"/>
        </w:rPr>
        <w:t>70</w:t>
      </w:r>
    </w:p>
    <w:p w:rsidR="00A82794" w:rsidRPr="00315335" w:rsidRDefault="00A82794" w:rsidP="00A82794">
      <w:pPr>
        <w:tabs>
          <w:tab w:val="left" w:leader="dot" w:pos="9356"/>
        </w:tabs>
        <w:spacing w:after="0" w:line="240" w:lineRule="auto"/>
        <w:ind w:left="567"/>
        <w:rPr>
          <w:rFonts w:ascii="Arial" w:hAnsi="Arial" w:cs="Arial"/>
          <w:sz w:val="20"/>
          <w:szCs w:val="20"/>
        </w:rPr>
      </w:pPr>
      <w:r w:rsidRPr="00315335">
        <w:rPr>
          <w:rFonts w:ascii="Arial" w:hAnsi="Arial" w:cs="Arial"/>
          <w:b/>
          <w:sz w:val="20"/>
          <w:szCs w:val="20"/>
        </w:rPr>
        <w:t>X.4.Prognoze, politici şi măsuri privind consumul şi mediul  ........................................</w:t>
      </w:r>
      <w:r w:rsidRPr="00315335">
        <w:rPr>
          <w:rFonts w:ascii="Arial" w:hAnsi="Arial" w:cs="Arial"/>
          <w:sz w:val="20"/>
          <w:szCs w:val="20"/>
        </w:rPr>
        <w:t xml:space="preserve"> ..............  1</w:t>
      </w:r>
      <w:r w:rsidR="00E142EF">
        <w:rPr>
          <w:rFonts w:ascii="Arial" w:hAnsi="Arial" w:cs="Arial"/>
          <w:sz w:val="20"/>
          <w:szCs w:val="20"/>
        </w:rPr>
        <w:t>71</w:t>
      </w:r>
    </w:p>
    <w:p w:rsidR="00F40E00" w:rsidRPr="00315335" w:rsidRDefault="00F40E00" w:rsidP="00A82794">
      <w:pPr>
        <w:tabs>
          <w:tab w:val="left" w:leader="dot" w:pos="9356"/>
        </w:tabs>
        <w:spacing w:after="0" w:line="240" w:lineRule="auto"/>
        <w:ind w:left="567"/>
        <w:rPr>
          <w:rFonts w:ascii="Arial" w:hAnsi="Arial" w:cs="Arial"/>
          <w:sz w:val="20"/>
          <w:szCs w:val="20"/>
        </w:rPr>
      </w:pPr>
    </w:p>
    <w:p w:rsidR="00F40E00" w:rsidRPr="00315335" w:rsidRDefault="00F40E00" w:rsidP="00A82794">
      <w:pPr>
        <w:tabs>
          <w:tab w:val="left" w:leader="dot" w:pos="9356"/>
        </w:tabs>
        <w:spacing w:after="0" w:line="240" w:lineRule="auto"/>
        <w:ind w:left="567"/>
        <w:rPr>
          <w:rFonts w:ascii="Arial" w:hAnsi="Arial" w:cs="Arial"/>
          <w:sz w:val="20"/>
          <w:szCs w:val="20"/>
        </w:rPr>
      </w:pPr>
    </w:p>
    <w:p w:rsidR="00F40E00" w:rsidRPr="00315335" w:rsidRDefault="00F40E00" w:rsidP="00F40E00">
      <w:pPr>
        <w:tabs>
          <w:tab w:val="left" w:pos="1260"/>
          <w:tab w:val="left" w:leader="dot" w:pos="8820"/>
        </w:tabs>
        <w:spacing w:after="0" w:line="240" w:lineRule="auto"/>
        <w:jc w:val="both"/>
        <w:rPr>
          <w:rFonts w:ascii="Arial" w:hAnsi="Arial" w:cs="Arial"/>
          <w:b/>
          <w:sz w:val="32"/>
          <w:szCs w:val="32"/>
        </w:rPr>
      </w:pPr>
      <w:r w:rsidRPr="00315335">
        <w:rPr>
          <w:rFonts w:ascii="Arial" w:hAnsi="Arial" w:cs="Arial"/>
          <w:b/>
          <w:sz w:val="32"/>
          <w:szCs w:val="32"/>
        </w:rPr>
        <w:lastRenderedPageBreak/>
        <w:t>I.    CALITATEA ȘI POLUAREA AERULUI ÎNCONJURĂTOR</w:t>
      </w:r>
    </w:p>
    <w:p w:rsidR="00F40E00" w:rsidRPr="00315335" w:rsidRDefault="00F40E00" w:rsidP="00F40E00">
      <w:pPr>
        <w:tabs>
          <w:tab w:val="left" w:pos="1260"/>
          <w:tab w:val="left" w:leader="dot" w:pos="8820"/>
        </w:tabs>
        <w:spacing w:after="0" w:line="240" w:lineRule="auto"/>
        <w:jc w:val="both"/>
        <w:rPr>
          <w:rFonts w:ascii="Arial" w:hAnsi="Arial" w:cs="Arial"/>
          <w:b/>
          <w:sz w:val="24"/>
          <w:szCs w:val="24"/>
        </w:rPr>
      </w:pPr>
    </w:p>
    <w:p w:rsidR="00F40E00" w:rsidRPr="00315335" w:rsidRDefault="00F40E00" w:rsidP="00F40E00">
      <w:pPr>
        <w:tabs>
          <w:tab w:val="left" w:pos="1260"/>
          <w:tab w:val="left" w:leader="dot" w:pos="8820"/>
        </w:tabs>
        <w:spacing w:after="0" w:line="240" w:lineRule="auto"/>
        <w:jc w:val="both"/>
        <w:rPr>
          <w:rFonts w:ascii="Arial" w:hAnsi="Arial" w:cs="Arial"/>
          <w:b/>
          <w:i/>
          <w:sz w:val="24"/>
          <w:szCs w:val="24"/>
        </w:rPr>
      </w:pPr>
      <w:r w:rsidRPr="00315335">
        <w:rPr>
          <w:rFonts w:ascii="Arial" w:hAnsi="Arial" w:cs="Arial"/>
          <w:b/>
          <w:sz w:val="24"/>
          <w:szCs w:val="24"/>
        </w:rPr>
        <w:t xml:space="preserve">           I.1. Calitatea aerului înconjurător: stare și consecințe </w:t>
      </w:r>
    </w:p>
    <w:p w:rsidR="00F40E00" w:rsidRPr="00315335" w:rsidRDefault="00F40E00" w:rsidP="00F40E00">
      <w:pPr>
        <w:tabs>
          <w:tab w:val="left" w:pos="1260"/>
          <w:tab w:val="left" w:leader="dot" w:pos="8820"/>
        </w:tabs>
        <w:spacing w:after="0" w:line="240" w:lineRule="auto"/>
        <w:jc w:val="center"/>
        <w:rPr>
          <w:rFonts w:ascii="Arial" w:hAnsi="Arial" w:cs="Arial"/>
          <w:b/>
          <w:i/>
          <w:sz w:val="24"/>
          <w:szCs w:val="24"/>
        </w:rPr>
      </w:pPr>
    </w:p>
    <w:p w:rsidR="00F40E00" w:rsidRPr="00315335" w:rsidRDefault="00F40E00" w:rsidP="00F40E00">
      <w:pPr>
        <w:tabs>
          <w:tab w:val="left" w:pos="1260"/>
          <w:tab w:val="left" w:leader="dot" w:pos="8820"/>
        </w:tabs>
        <w:spacing w:after="0" w:line="240" w:lineRule="auto"/>
        <w:ind w:left="720" w:right="31"/>
        <w:jc w:val="both"/>
        <w:rPr>
          <w:rFonts w:ascii="Arial" w:hAnsi="Arial" w:cs="Arial"/>
          <w:b/>
          <w:sz w:val="24"/>
          <w:szCs w:val="24"/>
        </w:rPr>
      </w:pPr>
      <w:r w:rsidRPr="00315335">
        <w:rPr>
          <w:rFonts w:ascii="Arial" w:hAnsi="Arial" w:cs="Arial"/>
          <w:b/>
          <w:i/>
          <w:sz w:val="24"/>
          <w:szCs w:val="24"/>
        </w:rPr>
        <w:t>I.1.1.Starea de calitate a aerului înconjurător</w:t>
      </w:r>
    </w:p>
    <w:p w:rsidR="00F40E00" w:rsidRPr="00315335" w:rsidRDefault="00F40E00" w:rsidP="00F40E00">
      <w:pPr>
        <w:widowControl w:val="0"/>
        <w:autoSpaceDE w:val="0"/>
        <w:autoSpaceDN w:val="0"/>
        <w:adjustRightInd w:val="0"/>
        <w:spacing w:after="0" w:line="240" w:lineRule="auto"/>
        <w:ind w:firstLine="706"/>
        <w:jc w:val="both"/>
        <w:rPr>
          <w:rFonts w:ascii="Arial" w:hAnsi="Arial" w:cs="Arial"/>
          <w:sz w:val="24"/>
          <w:szCs w:val="24"/>
        </w:rPr>
      </w:pP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Calitatea aerului înconjurător este reglementată în România prin </w:t>
      </w:r>
      <w:r w:rsidRPr="00315335">
        <w:rPr>
          <w:rFonts w:ascii="Arial" w:hAnsi="Arial" w:cs="Arial"/>
          <w:b/>
          <w:sz w:val="24"/>
          <w:szCs w:val="24"/>
        </w:rPr>
        <w:t>Legea nr. 104/2011</w:t>
      </w:r>
      <w:r w:rsidRPr="00315335">
        <w:rPr>
          <w:rFonts w:ascii="Arial" w:hAnsi="Arial" w:cs="Arial"/>
          <w:sz w:val="24"/>
          <w:szCs w:val="24"/>
        </w:rPr>
        <w:t xml:space="preserve"> privind calitatea aerului înconjurătorcu modificările și completările ulterioare, care transpune </w:t>
      </w:r>
      <w:r w:rsidRPr="00315335">
        <w:rPr>
          <w:rFonts w:ascii="Arial" w:hAnsi="Arial" w:cs="Arial"/>
          <w:i/>
          <w:sz w:val="24"/>
          <w:szCs w:val="24"/>
        </w:rPr>
        <w:t xml:space="preserve">Directiva 2008/50/CE  </w:t>
      </w:r>
      <w:r w:rsidRPr="00315335">
        <w:rPr>
          <w:rFonts w:ascii="Arial" w:hAnsi="Arial" w:cs="Arial"/>
          <w:sz w:val="24"/>
          <w:szCs w:val="24"/>
        </w:rPr>
        <w:t xml:space="preserve">a Parlamentului European și a Consiliului privind calitatea aerului şi un aer mai curat în Europa şi </w:t>
      </w:r>
      <w:r w:rsidRPr="00315335">
        <w:rPr>
          <w:rFonts w:ascii="Arial" w:hAnsi="Arial" w:cs="Arial"/>
          <w:i/>
          <w:sz w:val="24"/>
          <w:szCs w:val="24"/>
        </w:rPr>
        <w:t xml:space="preserve">Directiva 2004/107/CE </w:t>
      </w:r>
      <w:r w:rsidRPr="00315335">
        <w:rPr>
          <w:rFonts w:ascii="Arial" w:hAnsi="Arial" w:cs="Arial"/>
          <w:sz w:val="24"/>
          <w:szCs w:val="24"/>
        </w:rPr>
        <w:t xml:space="preserve">a Parlamentului European și a Consiliului privind arsenul, cadmiul, mercurul, nichelul şi hidrocarburile policiclice aromatice în aerul ambiental. </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Legea este pusă în aplicare prin intermediul </w:t>
      </w:r>
      <w:r w:rsidRPr="00315335">
        <w:rPr>
          <w:rFonts w:ascii="Arial" w:hAnsi="Arial" w:cs="Arial"/>
          <w:i/>
          <w:sz w:val="24"/>
          <w:szCs w:val="24"/>
        </w:rPr>
        <w:t xml:space="preserve">Sistemului Naţional de Evaluare şi Gestionare Integrată a Calităţii Aerului </w:t>
      </w:r>
      <w:r w:rsidRPr="00315335">
        <w:rPr>
          <w:rFonts w:ascii="Arial" w:hAnsi="Arial" w:cs="Arial"/>
          <w:sz w:val="24"/>
          <w:szCs w:val="24"/>
        </w:rPr>
        <w:t>(SNEGICA), care cuprinde, ca părţi integrante, următoarele două sisteme:</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a) </w:t>
      </w:r>
      <w:r w:rsidRPr="00315335">
        <w:rPr>
          <w:rFonts w:ascii="Arial" w:hAnsi="Arial" w:cs="Arial"/>
          <w:i/>
          <w:sz w:val="24"/>
          <w:szCs w:val="24"/>
        </w:rPr>
        <w:t>Sistemul Naţional de Monitorizare a Calităţii Aerului (</w:t>
      </w:r>
      <w:r w:rsidRPr="00315335">
        <w:rPr>
          <w:rFonts w:ascii="Arial" w:hAnsi="Arial" w:cs="Arial"/>
          <w:sz w:val="24"/>
          <w:szCs w:val="24"/>
        </w:rPr>
        <w:t xml:space="preserve">SNMCA), denumit în continuare SNMCA, care asigură cadrul organizatoric, instituţional şi legal pentru desfăşurarea activităţilor de monitorizare a calităţii aerului înconjurător, în mod unitar, pe teritoriul României, prin </w:t>
      </w:r>
      <w:r w:rsidRPr="00315335">
        <w:rPr>
          <w:rFonts w:ascii="Arial" w:hAnsi="Arial" w:cs="Arial"/>
          <w:b/>
          <w:sz w:val="24"/>
          <w:szCs w:val="24"/>
        </w:rPr>
        <w:t>Reţeaua Naţională de Monitorizare a Calităţii Aerului</w:t>
      </w:r>
      <w:r w:rsidRPr="00315335">
        <w:rPr>
          <w:rFonts w:ascii="Arial" w:hAnsi="Arial" w:cs="Arial"/>
          <w:sz w:val="24"/>
          <w:szCs w:val="24"/>
        </w:rPr>
        <w:t xml:space="preserve"> (RNMCA);</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b) </w:t>
      </w:r>
      <w:r w:rsidRPr="00315335">
        <w:rPr>
          <w:rFonts w:ascii="Arial" w:hAnsi="Arial" w:cs="Arial"/>
          <w:i/>
          <w:sz w:val="24"/>
          <w:szCs w:val="24"/>
        </w:rPr>
        <w:t xml:space="preserve">Sistemul Naţional de Inventariere a Emisiilor de Poluanţi Atmosferici </w:t>
      </w:r>
      <w:r w:rsidRPr="00315335">
        <w:rPr>
          <w:rFonts w:ascii="Arial" w:hAnsi="Arial" w:cs="Arial"/>
          <w:sz w:val="24"/>
          <w:szCs w:val="24"/>
        </w:rPr>
        <w:t>(SNIEPA), care asigură cadrul organizatoric, instituţional şi legal pentru realizarea inventarelor privind emisiile de poluanţi în atmosferă, în mod unitar, pe întreg teritoriul ţării.</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Evaluarea calităţii aerului, pe teritoriul țării, se realizează pe baza unor metode şi criterii comune, stabilite la nivel european, prin:</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 măsurări în puncte fixe a poluanţilor reglementaţi prin legea 104/2011, realizate continuu, în staţiile automate de monitorizare aparţinând RNMCA. </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 tehnici de modelare </w:t>
      </w:r>
    </w:p>
    <w:p w:rsidR="00F40E00" w:rsidRPr="00315335" w:rsidRDefault="00F40E00" w:rsidP="00F40E00">
      <w:pPr>
        <w:widowControl w:val="0"/>
        <w:spacing w:after="0" w:line="240" w:lineRule="auto"/>
        <w:ind w:firstLine="720"/>
        <w:jc w:val="both"/>
        <w:rPr>
          <w:rFonts w:ascii="Arial" w:eastAsia="Times New Roman" w:hAnsi="Arial" w:cs="Arial"/>
          <w:sz w:val="24"/>
          <w:szCs w:val="24"/>
        </w:rPr>
      </w:pPr>
      <w:r w:rsidRPr="00315335">
        <w:rPr>
          <w:rFonts w:ascii="Arial" w:hAnsi="Arial" w:cs="Arial"/>
          <w:sz w:val="24"/>
          <w:szCs w:val="24"/>
        </w:rPr>
        <w:t xml:space="preserve"> - măsurări indicative</w:t>
      </w:r>
    </w:p>
    <w:p w:rsidR="00F40E00" w:rsidRPr="00315335" w:rsidRDefault="00F40E00" w:rsidP="00F40E00">
      <w:pPr>
        <w:widowControl w:val="0"/>
        <w:autoSpaceDE w:val="0"/>
        <w:autoSpaceDN w:val="0"/>
        <w:adjustRightInd w:val="0"/>
        <w:spacing w:after="0" w:line="240" w:lineRule="auto"/>
        <w:ind w:firstLine="708"/>
        <w:jc w:val="both"/>
        <w:rPr>
          <w:rFonts w:ascii="Arial" w:hAnsi="Arial" w:cs="Arial"/>
        </w:rPr>
      </w:pPr>
      <w:r w:rsidRPr="00315335">
        <w:rPr>
          <w:rFonts w:ascii="Arial" w:hAnsi="Arial" w:cs="Arial"/>
          <w:sz w:val="24"/>
          <w:szCs w:val="24"/>
        </w:rPr>
        <w:t xml:space="preserve">Pentru informarea publicului cu privire la calitatea aerului înconjurător, în România sunt utilizaţi </w:t>
      </w:r>
      <w:r w:rsidRPr="00315335">
        <w:rPr>
          <w:rFonts w:ascii="Arial" w:hAnsi="Arial" w:cs="Arial"/>
          <w:b/>
          <w:sz w:val="24"/>
          <w:szCs w:val="24"/>
        </w:rPr>
        <w:t>indicii de calitate a aerului</w:t>
      </w:r>
      <w:r w:rsidRPr="00315335">
        <w:rPr>
          <w:rFonts w:ascii="Arial" w:hAnsi="Arial" w:cs="Arial"/>
          <w:sz w:val="24"/>
          <w:szCs w:val="24"/>
        </w:rPr>
        <w:t xml:space="preserve">, conform </w:t>
      </w:r>
      <w:r w:rsidRPr="00315335">
        <w:rPr>
          <w:rFonts w:ascii="Arial" w:hAnsi="Arial" w:cs="Arial"/>
          <w:i/>
          <w:sz w:val="24"/>
          <w:szCs w:val="24"/>
        </w:rPr>
        <w:t>Ordinului M.M.D.D. nr. 1095/2007 pentru aprobarea Normativului privind stabilirea indicilor de calitate a aerului în vederea facilitării informării publicului</w:t>
      </w:r>
      <w:r w:rsidRPr="00315335">
        <w:rPr>
          <w:rFonts w:ascii="Arial" w:hAnsi="Arial" w:cs="Arial"/>
          <w:sz w:val="24"/>
          <w:szCs w:val="24"/>
        </w:rPr>
        <w:t xml:space="preserve">. Astfel, pe baza concentraţiilor măsurate pentru fiecare dintre poluanţii atmosferici monitorizaţi, se stabileşte </w:t>
      </w:r>
      <w:r w:rsidRPr="00315335">
        <w:rPr>
          <w:rFonts w:ascii="Arial" w:hAnsi="Arial" w:cs="Arial"/>
          <w:b/>
          <w:sz w:val="24"/>
          <w:szCs w:val="24"/>
        </w:rPr>
        <w:t>indicele specific</w:t>
      </w:r>
      <w:r w:rsidRPr="00315335">
        <w:rPr>
          <w:rFonts w:ascii="Arial" w:hAnsi="Arial" w:cs="Arial"/>
          <w:sz w:val="24"/>
          <w:szCs w:val="24"/>
        </w:rPr>
        <w:t xml:space="preserve"> fiecărui poluant. Fiecare indice, de la 1 la 6, corespunde unui calificativ, de la excelent la foarte rău, acestora fiindu-le asociat de asemenea un cod de culori:</w:t>
      </w:r>
    </w:p>
    <w:p w:rsidR="00F40E00" w:rsidRPr="00315335" w:rsidRDefault="00F40E00" w:rsidP="00F40E00">
      <w:pPr>
        <w:widowControl w:val="0"/>
        <w:autoSpaceDE w:val="0"/>
        <w:autoSpaceDN w:val="0"/>
        <w:adjustRightInd w:val="0"/>
        <w:spacing w:after="0" w:line="240" w:lineRule="auto"/>
        <w:ind w:firstLine="708"/>
        <w:jc w:val="both"/>
        <w:rPr>
          <w:rFonts w:ascii="Arial" w:hAnsi="Arial" w:cs="Arial"/>
          <w:sz w:val="6"/>
          <w:szCs w:val="6"/>
        </w:rPr>
      </w:pPr>
    </w:p>
    <w:tbl>
      <w:tblPr>
        <w:tblStyle w:val="Tabelgril"/>
        <w:tblW w:w="0" w:type="auto"/>
        <w:jc w:val="center"/>
        <w:tblLook w:val="04A0" w:firstRow="1" w:lastRow="0" w:firstColumn="1" w:lastColumn="0" w:noHBand="0" w:noVBand="1"/>
      </w:tblPr>
      <w:tblGrid>
        <w:gridCol w:w="1009"/>
        <w:gridCol w:w="1692"/>
      </w:tblGrid>
      <w:tr w:rsidR="00315335" w:rsidRPr="00315335" w:rsidTr="00916B06">
        <w:trPr>
          <w:trHeight w:val="206"/>
          <w:jc w:val="center"/>
        </w:trPr>
        <w:tc>
          <w:tcPr>
            <w:tcW w:w="1009" w:type="dxa"/>
            <w:shd w:val="clear" w:color="auto" w:fill="FFFF99"/>
          </w:tcPr>
          <w:p w:rsidR="00F40E00" w:rsidRPr="00315335" w:rsidRDefault="00F40E00" w:rsidP="00916B06">
            <w:pPr>
              <w:widowControl w:val="0"/>
              <w:autoSpaceDE w:val="0"/>
              <w:autoSpaceDN w:val="0"/>
              <w:adjustRightInd w:val="0"/>
              <w:spacing w:before="40" w:after="40"/>
              <w:jc w:val="both"/>
              <w:rPr>
                <w:rFonts w:ascii="Arial" w:hAnsi="Arial" w:cs="Arial"/>
                <w:b/>
              </w:rPr>
            </w:pPr>
            <w:r w:rsidRPr="00315335">
              <w:rPr>
                <w:rFonts w:ascii="Arial" w:hAnsi="Arial" w:cs="Arial"/>
                <w:b/>
              </w:rPr>
              <w:t>Indice</w:t>
            </w:r>
          </w:p>
        </w:tc>
        <w:tc>
          <w:tcPr>
            <w:tcW w:w="1692" w:type="dxa"/>
            <w:shd w:val="clear" w:color="auto" w:fill="FFFF99"/>
          </w:tcPr>
          <w:p w:rsidR="00F40E00" w:rsidRPr="00315335" w:rsidRDefault="00F40E00" w:rsidP="00916B06">
            <w:pPr>
              <w:widowControl w:val="0"/>
              <w:autoSpaceDE w:val="0"/>
              <w:autoSpaceDN w:val="0"/>
              <w:adjustRightInd w:val="0"/>
              <w:spacing w:before="40" w:after="40"/>
              <w:jc w:val="both"/>
              <w:rPr>
                <w:rFonts w:ascii="Arial" w:hAnsi="Arial" w:cs="Arial"/>
                <w:b/>
              </w:rPr>
            </w:pPr>
            <w:r w:rsidRPr="00315335">
              <w:rPr>
                <w:rFonts w:ascii="Arial" w:hAnsi="Arial" w:cs="Arial"/>
                <w:b/>
              </w:rPr>
              <w:t>Calificativ</w:t>
            </w:r>
          </w:p>
        </w:tc>
      </w:tr>
      <w:tr w:rsidR="00315335" w:rsidRPr="00315335" w:rsidTr="00916B06">
        <w:trPr>
          <w:trHeight w:val="206"/>
          <w:jc w:val="center"/>
        </w:trPr>
        <w:tc>
          <w:tcPr>
            <w:tcW w:w="1009" w:type="dxa"/>
          </w:tcPr>
          <w:p w:rsidR="00F40E00" w:rsidRPr="00315335" w:rsidRDefault="00F40E00" w:rsidP="00916B06">
            <w:pPr>
              <w:widowControl w:val="0"/>
              <w:autoSpaceDE w:val="0"/>
              <w:autoSpaceDN w:val="0"/>
              <w:adjustRightInd w:val="0"/>
              <w:spacing w:before="40" w:after="40"/>
              <w:jc w:val="both"/>
              <w:rPr>
                <w:rFonts w:ascii="Arial" w:hAnsi="Arial" w:cs="Arial"/>
                <w:b/>
              </w:rPr>
            </w:pPr>
            <w:r w:rsidRPr="00315335">
              <w:rPr>
                <w:rFonts w:ascii="Arial" w:hAnsi="Arial" w:cs="Arial"/>
                <w:b/>
              </w:rPr>
              <w:t>1</w:t>
            </w:r>
          </w:p>
        </w:tc>
        <w:tc>
          <w:tcPr>
            <w:tcW w:w="1692" w:type="dxa"/>
          </w:tcPr>
          <w:p w:rsidR="00F40E00" w:rsidRPr="00315335" w:rsidRDefault="00F40E00" w:rsidP="00916B06">
            <w:pPr>
              <w:widowControl w:val="0"/>
              <w:autoSpaceDE w:val="0"/>
              <w:autoSpaceDN w:val="0"/>
              <w:adjustRightInd w:val="0"/>
              <w:spacing w:before="40" w:after="40"/>
              <w:jc w:val="both"/>
              <w:rPr>
                <w:rFonts w:ascii="Arial" w:hAnsi="Arial" w:cs="Arial"/>
              </w:rPr>
            </w:pPr>
            <w:r w:rsidRPr="00315335">
              <w:rPr>
                <w:rFonts w:ascii="Arial" w:hAnsi="Arial" w:cs="Arial"/>
              </w:rPr>
              <w:t>Excelent</w:t>
            </w:r>
          </w:p>
        </w:tc>
      </w:tr>
      <w:tr w:rsidR="00315335" w:rsidRPr="00315335" w:rsidTr="00916B06">
        <w:trPr>
          <w:trHeight w:val="206"/>
          <w:jc w:val="center"/>
        </w:trPr>
        <w:tc>
          <w:tcPr>
            <w:tcW w:w="1009" w:type="dxa"/>
          </w:tcPr>
          <w:p w:rsidR="00F40E00" w:rsidRPr="00315335" w:rsidRDefault="00F40E00" w:rsidP="00916B06">
            <w:pPr>
              <w:widowControl w:val="0"/>
              <w:autoSpaceDE w:val="0"/>
              <w:autoSpaceDN w:val="0"/>
              <w:adjustRightInd w:val="0"/>
              <w:spacing w:before="40" w:after="40"/>
              <w:jc w:val="both"/>
              <w:rPr>
                <w:rFonts w:ascii="Arial" w:hAnsi="Arial" w:cs="Arial"/>
                <w:b/>
              </w:rPr>
            </w:pPr>
            <w:r w:rsidRPr="00315335">
              <w:rPr>
                <w:rFonts w:ascii="Arial" w:hAnsi="Arial" w:cs="Arial"/>
                <w:b/>
              </w:rPr>
              <w:t>2</w:t>
            </w:r>
          </w:p>
        </w:tc>
        <w:tc>
          <w:tcPr>
            <w:tcW w:w="1692" w:type="dxa"/>
          </w:tcPr>
          <w:p w:rsidR="00F40E00" w:rsidRPr="00315335" w:rsidRDefault="00F40E00" w:rsidP="00916B06">
            <w:pPr>
              <w:widowControl w:val="0"/>
              <w:autoSpaceDE w:val="0"/>
              <w:autoSpaceDN w:val="0"/>
              <w:adjustRightInd w:val="0"/>
              <w:spacing w:before="40" w:after="40"/>
              <w:jc w:val="both"/>
              <w:rPr>
                <w:rFonts w:ascii="Arial" w:hAnsi="Arial" w:cs="Arial"/>
              </w:rPr>
            </w:pPr>
            <w:r w:rsidRPr="00315335">
              <w:rPr>
                <w:rFonts w:ascii="Arial" w:hAnsi="Arial" w:cs="Arial"/>
              </w:rPr>
              <w:t>Foarte bun</w:t>
            </w:r>
          </w:p>
        </w:tc>
      </w:tr>
      <w:tr w:rsidR="00315335" w:rsidRPr="00315335" w:rsidTr="00916B06">
        <w:trPr>
          <w:trHeight w:val="206"/>
          <w:jc w:val="center"/>
        </w:trPr>
        <w:tc>
          <w:tcPr>
            <w:tcW w:w="1009" w:type="dxa"/>
          </w:tcPr>
          <w:p w:rsidR="00F40E00" w:rsidRPr="00315335" w:rsidRDefault="00F40E00" w:rsidP="00916B06">
            <w:pPr>
              <w:widowControl w:val="0"/>
              <w:autoSpaceDE w:val="0"/>
              <w:autoSpaceDN w:val="0"/>
              <w:adjustRightInd w:val="0"/>
              <w:spacing w:before="40" w:after="40"/>
              <w:jc w:val="both"/>
              <w:rPr>
                <w:rFonts w:ascii="Arial" w:hAnsi="Arial" w:cs="Arial"/>
                <w:b/>
              </w:rPr>
            </w:pPr>
            <w:r w:rsidRPr="00315335">
              <w:rPr>
                <w:rFonts w:ascii="Arial" w:hAnsi="Arial" w:cs="Arial"/>
                <w:b/>
              </w:rPr>
              <w:t>3</w:t>
            </w:r>
          </w:p>
        </w:tc>
        <w:tc>
          <w:tcPr>
            <w:tcW w:w="1692" w:type="dxa"/>
          </w:tcPr>
          <w:p w:rsidR="00F40E00" w:rsidRPr="00315335" w:rsidRDefault="00F40E00" w:rsidP="00916B06">
            <w:pPr>
              <w:widowControl w:val="0"/>
              <w:autoSpaceDE w:val="0"/>
              <w:autoSpaceDN w:val="0"/>
              <w:adjustRightInd w:val="0"/>
              <w:spacing w:before="40" w:after="40"/>
              <w:jc w:val="both"/>
              <w:rPr>
                <w:rFonts w:ascii="Arial" w:hAnsi="Arial" w:cs="Arial"/>
              </w:rPr>
            </w:pPr>
            <w:r w:rsidRPr="00315335">
              <w:rPr>
                <w:rFonts w:ascii="Arial" w:hAnsi="Arial" w:cs="Arial"/>
              </w:rPr>
              <w:t>Bun</w:t>
            </w:r>
          </w:p>
        </w:tc>
      </w:tr>
      <w:tr w:rsidR="00315335" w:rsidRPr="00315335" w:rsidTr="00916B06">
        <w:trPr>
          <w:trHeight w:val="206"/>
          <w:jc w:val="center"/>
        </w:trPr>
        <w:tc>
          <w:tcPr>
            <w:tcW w:w="1009" w:type="dxa"/>
          </w:tcPr>
          <w:p w:rsidR="00F40E00" w:rsidRPr="00315335" w:rsidRDefault="00F40E00" w:rsidP="00916B06">
            <w:pPr>
              <w:widowControl w:val="0"/>
              <w:autoSpaceDE w:val="0"/>
              <w:autoSpaceDN w:val="0"/>
              <w:adjustRightInd w:val="0"/>
              <w:spacing w:before="40" w:after="40"/>
              <w:jc w:val="both"/>
              <w:rPr>
                <w:rFonts w:ascii="Arial" w:hAnsi="Arial" w:cs="Arial"/>
                <w:b/>
              </w:rPr>
            </w:pPr>
            <w:r w:rsidRPr="00315335">
              <w:rPr>
                <w:rFonts w:ascii="Arial" w:hAnsi="Arial" w:cs="Arial"/>
                <w:b/>
              </w:rPr>
              <w:t>4</w:t>
            </w:r>
          </w:p>
        </w:tc>
        <w:tc>
          <w:tcPr>
            <w:tcW w:w="1692" w:type="dxa"/>
          </w:tcPr>
          <w:p w:rsidR="00F40E00" w:rsidRPr="00315335" w:rsidRDefault="00F40E00" w:rsidP="00916B06">
            <w:pPr>
              <w:widowControl w:val="0"/>
              <w:autoSpaceDE w:val="0"/>
              <w:autoSpaceDN w:val="0"/>
              <w:adjustRightInd w:val="0"/>
              <w:spacing w:before="40" w:after="40"/>
              <w:jc w:val="both"/>
              <w:rPr>
                <w:rFonts w:ascii="Arial" w:hAnsi="Arial" w:cs="Arial"/>
              </w:rPr>
            </w:pPr>
            <w:r w:rsidRPr="00315335">
              <w:rPr>
                <w:rFonts w:ascii="Arial" w:hAnsi="Arial" w:cs="Arial"/>
              </w:rPr>
              <w:t>Mediu</w:t>
            </w:r>
          </w:p>
        </w:tc>
      </w:tr>
      <w:tr w:rsidR="00315335" w:rsidRPr="00315335" w:rsidTr="00916B06">
        <w:trPr>
          <w:trHeight w:val="206"/>
          <w:jc w:val="center"/>
        </w:trPr>
        <w:tc>
          <w:tcPr>
            <w:tcW w:w="1009" w:type="dxa"/>
          </w:tcPr>
          <w:p w:rsidR="00F40E00" w:rsidRPr="00315335" w:rsidRDefault="00F40E00" w:rsidP="00916B06">
            <w:pPr>
              <w:widowControl w:val="0"/>
              <w:autoSpaceDE w:val="0"/>
              <w:autoSpaceDN w:val="0"/>
              <w:adjustRightInd w:val="0"/>
              <w:spacing w:before="40" w:after="40"/>
              <w:jc w:val="both"/>
              <w:rPr>
                <w:rFonts w:ascii="Arial" w:hAnsi="Arial" w:cs="Arial"/>
                <w:b/>
              </w:rPr>
            </w:pPr>
            <w:r w:rsidRPr="00315335">
              <w:rPr>
                <w:rFonts w:ascii="Arial" w:hAnsi="Arial" w:cs="Arial"/>
                <w:b/>
              </w:rPr>
              <w:t>5</w:t>
            </w:r>
          </w:p>
        </w:tc>
        <w:tc>
          <w:tcPr>
            <w:tcW w:w="1692" w:type="dxa"/>
          </w:tcPr>
          <w:p w:rsidR="00F40E00" w:rsidRPr="00315335" w:rsidRDefault="00F40E00" w:rsidP="00916B06">
            <w:pPr>
              <w:widowControl w:val="0"/>
              <w:autoSpaceDE w:val="0"/>
              <w:autoSpaceDN w:val="0"/>
              <w:adjustRightInd w:val="0"/>
              <w:spacing w:before="40" w:after="40"/>
              <w:jc w:val="both"/>
              <w:rPr>
                <w:rFonts w:ascii="Arial" w:hAnsi="Arial" w:cs="Arial"/>
              </w:rPr>
            </w:pPr>
            <w:r w:rsidRPr="00315335">
              <w:rPr>
                <w:rFonts w:ascii="Arial" w:hAnsi="Arial" w:cs="Arial"/>
              </w:rPr>
              <w:t>Rău</w:t>
            </w:r>
          </w:p>
        </w:tc>
      </w:tr>
      <w:tr w:rsidR="00F40E00" w:rsidRPr="00315335" w:rsidTr="00916B06">
        <w:trPr>
          <w:trHeight w:val="206"/>
          <w:jc w:val="center"/>
        </w:trPr>
        <w:tc>
          <w:tcPr>
            <w:tcW w:w="1009" w:type="dxa"/>
          </w:tcPr>
          <w:p w:rsidR="00F40E00" w:rsidRPr="00315335" w:rsidRDefault="00F40E00" w:rsidP="00916B06">
            <w:pPr>
              <w:widowControl w:val="0"/>
              <w:autoSpaceDE w:val="0"/>
              <w:autoSpaceDN w:val="0"/>
              <w:adjustRightInd w:val="0"/>
              <w:spacing w:before="40" w:after="40"/>
              <w:jc w:val="both"/>
              <w:rPr>
                <w:rFonts w:ascii="Arial" w:hAnsi="Arial" w:cs="Arial"/>
                <w:b/>
              </w:rPr>
            </w:pPr>
            <w:r w:rsidRPr="00315335">
              <w:rPr>
                <w:rFonts w:ascii="Arial" w:hAnsi="Arial" w:cs="Arial"/>
                <w:b/>
              </w:rPr>
              <w:t>6</w:t>
            </w:r>
          </w:p>
        </w:tc>
        <w:tc>
          <w:tcPr>
            <w:tcW w:w="1692" w:type="dxa"/>
          </w:tcPr>
          <w:p w:rsidR="00F40E00" w:rsidRPr="00315335" w:rsidRDefault="00F40E00" w:rsidP="00916B06">
            <w:pPr>
              <w:widowControl w:val="0"/>
              <w:autoSpaceDE w:val="0"/>
              <w:autoSpaceDN w:val="0"/>
              <w:adjustRightInd w:val="0"/>
              <w:spacing w:before="40" w:after="40"/>
              <w:jc w:val="both"/>
              <w:rPr>
                <w:rFonts w:ascii="Arial" w:hAnsi="Arial" w:cs="Arial"/>
              </w:rPr>
            </w:pPr>
            <w:r w:rsidRPr="00315335">
              <w:rPr>
                <w:rFonts w:ascii="Arial" w:hAnsi="Arial" w:cs="Arial"/>
              </w:rPr>
              <w:t>Foarte rău</w:t>
            </w:r>
          </w:p>
        </w:tc>
      </w:tr>
    </w:tbl>
    <w:p w:rsidR="00F40E00" w:rsidRPr="00315335" w:rsidRDefault="00F40E00" w:rsidP="00F40E00">
      <w:pPr>
        <w:widowControl w:val="0"/>
        <w:autoSpaceDE w:val="0"/>
        <w:autoSpaceDN w:val="0"/>
        <w:adjustRightInd w:val="0"/>
        <w:spacing w:after="0" w:line="240" w:lineRule="auto"/>
        <w:ind w:firstLine="708"/>
        <w:jc w:val="both"/>
        <w:rPr>
          <w:rFonts w:ascii="Arial" w:hAnsi="Arial" w:cs="Arial"/>
          <w:sz w:val="4"/>
          <w:szCs w:val="4"/>
        </w:rPr>
      </w:pPr>
    </w:p>
    <w:p w:rsidR="00F40E00" w:rsidRPr="00315335" w:rsidRDefault="00F40E00" w:rsidP="00F40E00">
      <w:pPr>
        <w:widowControl w:val="0"/>
        <w:autoSpaceDE w:val="0"/>
        <w:autoSpaceDN w:val="0"/>
        <w:adjustRightInd w:val="0"/>
        <w:spacing w:after="0" w:line="240" w:lineRule="auto"/>
        <w:ind w:firstLine="708"/>
        <w:jc w:val="both"/>
        <w:rPr>
          <w:rFonts w:ascii="Arial" w:hAnsi="Arial" w:cs="Arial"/>
          <w:b/>
          <w:sz w:val="6"/>
          <w:szCs w:val="6"/>
        </w:rPr>
      </w:pPr>
    </w:p>
    <w:p w:rsidR="00F40E00" w:rsidRPr="00315335" w:rsidRDefault="00F40E00" w:rsidP="00F40E00">
      <w:pPr>
        <w:widowControl w:val="0"/>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Indicele general zilnic se stabileşte ca fiind cel mai mare dintre indicii specifici corespunzători poluanţilor monitorizaţi din acea zi, cu condiţia să fie disponibili cel puţin 3 dintre indicii specifici corespunzători poluanţilor monitorizaţi.</w:t>
      </w:r>
    </w:p>
    <w:p w:rsidR="00F40E00" w:rsidRPr="00315335" w:rsidRDefault="00F40E00" w:rsidP="00F40E00">
      <w:pPr>
        <w:widowControl w:val="0"/>
        <w:autoSpaceDE w:val="0"/>
        <w:autoSpaceDN w:val="0"/>
        <w:adjustRightInd w:val="0"/>
        <w:spacing w:after="0" w:line="240" w:lineRule="auto"/>
        <w:ind w:firstLine="706"/>
        <w:jc w:val="both"/>
        <w:rPr>
          <w:rFonts w:ascii="Arial" w:hAnsi="Arial" w:cs="Arial"/>
          <w:sz w:val="24"/>
          <w:szCs w:val="24"/>
        </w:rPr>
      </w:pPr>
      <w:r w:rsidRPr="00315335">
        <w:rPr>
          <w:rFonts w:ascii="Arial" w:eastAsia="Times New Roman" w:hAnsi="Arial" w:cs="Arial"/>
          <w:sz w:val="24"/>
          <w:szCs w:val="24"/>
        </w:rPr>
        <w:t>La nivel local, calitatea aerului este dependentă de topografia aşezărilor umane şi condiţiile climatice specifice zonei. Fenomenele locale, cum sunt cele de calm atmosferic sau inversiunea termică, pot împiedica dispersia poluanţilor atmosferici, ducând uneori la acumularea acestora pe acel areal, pe perioade scurte de timp. Lipsa precipitaţiilor pe perioade lungi de timp împiedică autopurificarea aerului, ducând, alături de celelalte condiţii favorizante, la acumularea poluanţilor în aerul înconjurător.</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La nivelul anului 2018, calitatea aerului în judeţul Brăila a fost monitorizată prin intermediul staţiilor automate de monitorizare a calităţii aerului care fac parte din Reţeaua Naţională de Monitorizare a Calităţii Aerului. </w:t>
      </w:r>
    </w:p>
    <w:p w:rsidR="00F40E00" w:rsidRPr="00315335" w:rsidRDefault="00F40E00" w:rsidP="00F40E00">
      <w:pPr>
        <w:widowControl w:val="0"/>
        <w:spacing w:after="0" w:line="240" w:lineRule="auto"/>
        <w:ind w:firstLine="720"/>
        <w:jc w:val="both"/>
        <w:rPr>
          <w:rFonts w:ascii="Arial" w:hAnsi="Arial" w:cs="Arial"/>
          <w:sz w:val="24"/>
          <w:szCs w:val="24"/>
        </w:rPr>
      </w:pPr>
    </w:p>
    <w:p w:rsidR="00F40E00" w:rsidRPr="00315335" w:rsidRDefault="00CA4E6F" w:rsidP="00F40E00">
      <w:pPr>
        <w:autoSpaceDE w:val="0"/>
        <w:autoSpaceDN w:val="0"/>
        <w:adjustRightInd w:val="0"/>
        <w:jc w:val="center"/>
        <w:rPr>
          <w:rFonts w:ascii="Arial" w:hAnsi="Arial" w:cs="Arial"/>
          <w:sz w:val="24"/>
          <w:szCs w:val="24"/>
        </w:rPr>
      </w:pPr>
      <w:r>
        <w:rPr>
          <w:noProof/>
        </w:rPr>
        <w:pict>
          <v:shapetype id="_x0000_t202" coordsize="21600,21600" o:spt="202" path="m,l,21600r21600,l21600,xe">
            <v:stroke joinstyle="miter"/>
            <v:path gradientshapeok="t" o:connecttype="rect"/>
          </v:shapetype>
          <v:shape id="Casetă text 34" o:spid="_x0000_s1028" type="#_x0000_t202" style="position:absolute;left:0;text-align:left;margin-left:297.6pt;margin-top:279.15pt;width:152.7pt;height:1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" strokecolor="white [3212]">
            <v:textbox>
              <w:txbxContent>
                <w:p w:rsidR="00631723" w:rsidRPr="0083241E" w:rsidRDefault="00631723" w:rsidP="00F40E00">
                  <w:pPr>
                    <w:rPr>
                      <w:b/>
                    </w:rPr>
                  </w:pPr>
                  <w:r w:rsidRPr="0083241E">
                    <w:rPr>
                      <w:b/>
                    </w:rPr>
                    <w:t>Legendă</w:t>
                  </w:r>
                </w:p>
                <w:p w:rsidR="00631723" w:rsidRPr="0083241E" w:rsidRDefault="00631723" w:rsidP="00F40E00">
                  <w:pPr>
                    <w:pStyle w:val="Listparagraf"/>
                    <w:spacing w:line="276" w:lineRule="auto"/>
                    <w:ind w:left="0"/>
                  </w:pPr>
                  <w:r w:rsidRPr="0083241E">
                    <w:t>BR 1 – stație de trafic</w:t>
                  </w:r>
                </w:p>
                <w:p w:rsidR="00631723" w:rsidRPr="0083241E" w:rsidRDefault="00631723" w:rsidP="00F40E00">
                  <w:pPr>
                    <w:pStyle w:val="Listparagraf"/>
                    <w:spacing w:line="276" w:lineRule="auto"/>
                    <w:ind w:left="0"/>
                  </w:pPr>
                  <w:r w:rsidRPr="0083241E">
                    <w:t>BR 2 – stație fond urban</w:t>
                  </w:r>
                </w:p>
                <w:p w:rsidR="00631723" w:rsidRPr="0083241E" w:rsidRDefault="00631723" w:rsidP="00F40E00">
                  <w:pPr>
                    <w:pStyle w:val="Listparagraf"/>
                    <w:spacing w:line="276" w:lineRule="auto"/>
                    <w:ind w:left="0"/>
                  </w:pPr>
                  <w:r w:rsidRPr="0083241E">
                    <w:t>BR 3 – stație fond suburban</w:t>
                  </w:r>
                </w:p>
                <w:p w:rsidR="00631723" w:rsidRDefault="00631723" w:rsidP="00F40E00">
                  <w:pPr>
                    <w:pStyle w:val="Listparagraf"/>
                    <w:spacing w:line="276" w:lineRule="auto"/>
                    <w:ind w:left="0"/>
                  </w:pPr>
                  <w:r w:rsidRPr="0083241E">
                    <w:t>BR 4 – stație industrial 1</w:t>
                  </w:r>
                </w:p>
                <w:p w:rsidR="00631723" w:rsidRDefault="00631723" w:rsidP="00F40E00">
                  <w:pPr>
                    <w:pStyle w:val="Listparagraf"/>
                    <w:spacing w:line="276" w:lineRule="auto"/>
                    <w:ind w:left="0"/>
                  </w:pPr>
                  <w:r w:rsidRPr="00456EC8">
                    <w:t>BR 5 – stație industrial 2</w:t>
                  </w:r>
                </w:p>
                <w:p w:rsidR="00631723" w:rsidRPr="00DC243A" w:rsidRDefault="00631723" w:rsidP="00F40E00"/>
              </w:txbxContent>
            </v:textbox>
          </v:shape>
        </w:pict>
      </w:r>
      <w:r w:rsidR="00F40E00" w:rsidRPr="00315335">
        <w:rPr>
          <w:rFonts w:ascii="Arial" w:hAnsi="Arial" w:cs="Arial"/>
          <w:noProof/>
          <w:sz w:val="24"/>
          <w:szCs w:val="24"/>
        </w:rPr>
        <w:drawing>
          <wp:inline distT="0" distB="0" distL="0" distR="0" wp14:anchorId="211B904A" wp14:editId="397B36AF">
            <wp:extent cx="5571460" cy="5635256"/>
            <wp:effectExtent l="0" t="0" r="0" b="3810"/>
            <wp:docPr id="122" name="Imagine 8" descr="pozitionare st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tionare statii.jpg"/>
                    <pic:cNvPicPr/>
                  </pic:nvPicPr>
                  <pic:blipFill>
                    <a:blip r:embed="rId7"/>
                    <a:stretch>
                      <a:fillRect/>
                    </a:stretch>
                  </pic:blipFill>
                  <pic:spPr>
                    <a:xfrm>
                      <a:off x="0" y="0"/>
                      <a:ext cx="5578938" cy="5642820"/>
                    </a:xfrm>
                    <a:prstGeom prst="rect">
                      <a:avLst/>
                    </a:prstGeom>
                  </pic:spPr>
                </pic:pic>
              </a:graphicData>
            </a:graphic>
          </wp:inline>
        </w:drawing>
      </w:r>
    </w:p>
    <w:p w:rsidR="00F40E00" w:rsidRPr="00315335" w:rsidRDefault="00F40E00" w:rsidP="00F40E00">
      <w:pPr>
        <w:tabs>
          <w:tab w:val="left" w:pos="1276"/>
          <w:tab w:val="left" w:leader="dot" w:pos="8820"/>
        </w:tabs>
        <w:spacing w:after="0" w:line="240" w:lineRule="auto"/>
        <w:ind w:right="31" w:firstLine="720"/>
        <w:jc w:val="both"/>
        <w:rPr>
          <w:rFonts w:ascii="Arial" w:hAnsi="Arial" w:cs="Arial"/>
          <w:sz w:val="24"/>
          <w:szCs w:val="24"/>
        </w:rPr>
      </w:pPr>
      <w:r w:rsidRPr="00315335">
        <w:rPr>
          <w:rFonts w:ascii="Arial" w:hAnsi="Arial" w:cs="Arial"/>
          <w:sz w:val="24"/>
          <w:szCs w:val="24"/>
        </w:rPr>
        <w:t>Reţeaua automată este formată din 5 puncte de prelevare a probelor, amplasate după cum urmează:</w:t>
      </w:r>
    </w:p>
    <w:p w:rsidR="00F40E00" w:rsidRPr="00315335" w:rsidRDefault="00F40E00" w:rsidP="00F40E00">
      <w:pPr>
        <w:numPr>
          <w:ilvl w:val="0"/>
          <w:numId w:val="2"/>
        </w:numPr>
        <w:tabs>
          <w:tab w:val="left" w:pos="1440"/>
        </w:tabs>
        <w:spacing w:after="0" w:line="240" w:lineRule="auto"/>
        <w:jc w:val="both"/>
        <w:rPr>
          <w:rFonts w:ascii="Arial" w:hAnsi="Arial" w:cs="Arial"/>
          <w:sz w:val="24"/>
          <w:szCs w:val="24"/>
        </w:rPr>
      </w:pPr>
      <w:r w:rsidRPr="00315335">
        <w:rPr>
          <w:rFonts w:ascii="Arial" w:hAnsi="Arial" w:cs="Arial"/>
          <w:b/>
          <w:sz w:val="24"/>
          <w:szCs w:val="24"/>
        </w:rPr>
        <w:t xml:space="preserve">Staţia Brăila 1 - </w:t>
      </w:r>
      <w:r w:rsidRPr="00315335">
        <w:rPr>
          <w:rFonts w:ascii="Arial" w:hAnsi="Arial" w:cs="Arial"/>
          <w:bCs/>
          <w:sz w:val="24"/>
          <w:szCs w:val="24"/>
        </w:rPr>
        <w:t>Staţie de monitorizare a calităţii aerului de tip – trafic, care este amplasată pe Calea Galaţi, nr. 53. Poluanţii monitorizaţi NO</w:t>
      </w:r>
      <w:r w:rsidRPr="00315335">
        <w:rPr>
          <w:rFonts w:ascii="Arial" w:hAnsi="Arial" w:cs="Arial"/>
          <w:bCs/>
          <w:sz w:val="24"/>
          <w:szCs w:val="24"/>
          <w:vertAlign w:val="subscript"/>
        </w:rPr>
        <w:t>x</w:t>
      </w:r>
      <w:r w:rsidRPr="00315335">
        <w:rPr>
          <w:rFonts w:ascii="Arial" w:hAnsi="Arial" w:cs="Arial"/>
          <w:bCs/>
          <w:sz w:val="24"/>
          <w:szCs w:val="24"/>
        </w:rPr>
        <w:t>, SO</w:t>
      </w:r>
      <w:r w:rsidRPr="00315335">
        <w:rPr>
          <w:rFonts w:ascii="Arial" w:hAnsi="Arial" w:cs="Arial"/>
          <w:bCs/>
          <w:sz w:val="24"/>
          <w:szCs w:val="24"/>
          <w:vertAlign w:val="subscript"/>
        </w:rPr>
        <w:t>2</w:t>
      </w:r>
      <w:r w:rsidRPr="00315335">
        <w:rPr>
          <w:rFonts w:ascii="Arial" w:hAnsi="Arial" w:cs="Arial"/>
          <w:bCs/>
          <w:sz w:val="24"/>
          <w:szCs w:val="24"/>
        </w:rPr>
        <w:t>, CO, PM</w:t>
      </w:r>
      <w:r w:rsidRPr="00315335">
        <w:rPr>
          <w:rFonts w:ascii="Arial" w:hAnsi="Arial" w:cs="Arial"/>
          <w:bCs/>
          <w:sz w:val="24"/>
          <w:szCs w:val="24"/>
          <w:vertAlign w:val="subscript"/>
        </w:rPr>
        <w:t>10</w:t>
      </w:r>
      <w:r w:rsidRPr="00315335">
        <w:rPr>
          <w:rFonts w:ascii="Arial" w:hAnsi="Arial" w:cs="Arial"/>
          <w:bCs/>
          <w:sz w:val="24"/>
          <w:szCs w:val="24"/>
        </w:rPr>
        <w:t>, benzen.</w:t>
      </w:r>
    </w:p>
    <w:p w:rsidR="00F40E00" w:rsidRPr="00315335" w:rsidRDefault="00F40E00" w:rsidP="00F40E00">
      <w:pPr>
        <w:numPr>
          <w:ilvl w:val="0"/>
          <w:numId w:val="2"/>
        </w:numPr>
        <w:tabs>
          <w:tab w:val="left" w:pos="1440"/>
        </w:tabs>
        <w:spacing w:after="0" w:line="240" w:lineRule="auto"/>
        <w:jc w:val="both"/>
        <w:rPr>
          <w:rFonts w:ascii="Arial" w:hAnsi="Arial" w:cs="Arial"/>
          <w:sz w:val="24"/>
          <w:szCs w:val="24"/>
        </w:rPr>
      </w:pPr>
      <w:r w:rsidRPr="00315335">
        <w:rPr>
          <w:rFonts w:ascii="Arial" w:hAnsi="Arial" w:cs="Arial"/>
          <w:b/>
          <w:sz w:val="24"/>
          <w:szCs w:val="24"/>
        </w:rPr>
        <w:t>Staţia Brăila 2 -</w:t>
      </w:r>
      <w:r w:rsidRPr="00315335">
        <w:rPr>
          <w:rFonts w:ascii="Arial" w:hAnsi="Arial" w:cs="Arial"/>
          <w:bCs/>
          <w:sz w:val="24"/>
          <w:szCs w:val="24"/>
        </w:rPr>
        <w:t>Staţie de monitorizare a calităţii aerului de tip – urban, care este amplasată în Piaţa Independenţei nr. 1. Poluanţii monitorizaţi NO</w:t>
      </w:r>
      <w:r w:rsidRPr="00315335">
        <w:rPr>
          <w:rFonts w:ascii="Arial" w:hAnsi="Arial" w:cs="Arial"/>
          <w:bCs/>
          <w:sz w:val="24"/>
          <w:szCs w:val="24"/>
          <w:vertAlign w:val="subscript"/>
        </w:rPr>
        <w:t>x</w:t>
      </w:r>
      <w:r w:rsidRPr="00315335">
        <w:rPr>
          <w:rFonts w:ascii="Arial" w:hAnsi="Arial" w:cs="Arial"/>
          <w:bCs/>
          <w:sz w:val="24"/>
          <w:szCs w:val="24"/>
        </w:rPr>
        <w:t>, SO</w:t>
      </w:r>
      <w:r w:rsidRPr="00315335">
        <w:rPr>
          <w:rFonts w:ascii="Arial" w:hAnsi="Arial" w:cs="Arial"/>
          <w:bCs/>
          <w:sz w:val="24"/>
          <w:szCs w:val="24"/>
          <w:vertAlign w:val="subscript"/>
        </w:rPr>
        <w:t>2</w:t>
      </w:r>
      <w:r w:rsidRPr="00315335">
        <w:rPr>
          <w:rFonts w:ascii="Arial" w:hAnsi="Arial" w:cs="Arial"/>
          <w:bCs/>
          <w:sz w:val="24"/>
          <w:szCs w:val="24"/>
        </w:rPr>
        <w:t>, CO, O</w:t>
      </w:r>
      <w:r w:rsidRPr="00315335">
        <w:rPr>
          <w:rFonts w:ascii="Arial" w:hAnsi="Arial" w:cs="Arial"/>
          <w:bCs/>
          <w:sz w:val="24"/>
          <w:szCs w:val="24"/>
          <w:vertAlign w:val="subscript"/>
        </w:rPr>
        <w:t>3</w:t>
      </w:r>
      <w:r w:rsidRPr="00315335">
        <w:rPr>
          <w:rFonts w:ascii="Arial" w:hAnsi="Arial" w:cs="Arial"/>
          <w:bCs/>
          <w:sz w:val="24"/>
          <w:szCs w:val="24"/>
        </w:rPr>
        <w:t>, PM</w:t>
      </w:r>
      <w:r w:rsidRPr="00315335">
        <w:rPr>
          <w:rFonts w:ascii="Arial" w:hAnsi="Arial" w:cs="Arial"/>
          <w:bCs/>
          <w:sz w:val="24"/>
          <w:szCs w:val="24"/>
          <w:vertAlign w:val="subscript"/>
        </w:rPr>
        <w:t>10</w:t>
      </w:r>
      <w:r w:rsidRPr="00315335">
        <w:rPr>
          <w:rFonts w:ascii="Arial" w:hAnsi="Arial" w:cs="Arial"/>
          <w:bCs/>
          <w:sz w:val="24"/>
          <w:szCs w:val="24"/>
        </w:rPr>
        <w:t>, PM</w:t>
      </w:r>
      <w:r w:rsidRPr="00315335">
        <w:rPr>
          <w:rFonts w:ascii="Arial" w:hAnsi="Arial" w:cs="Arial"/>
          <w:bCs/>
          <w:sz w:val="24"/>
          <w:szCs w:val="24"/>
          <w:vertAlign w:val="subscript"/>
        </w:rPr>
        <w:t>2,5</w:t>
      </w:r>
      <w:r w:rsidRPr="00315335">
        <w:rPr>
          <w:rFonts w:ascii="Arial" w:hAnsi="Arial" w:cs="Arial"/>
          <w:bCs/>
          <w:sz w:val="24"/>
          <w:szCs w:val="24"/>
        </w:rPr>
        <w:t>, benzen, parametri meteo.</w:t>
      </w:r>
    </w:p>
    <w:p w:rsidR="00F40E00" w:rsidRPr="00315335" w:rsidRDefault="00F40E00" w:rsidP="00F40E00">
      <w:pPr>
        <w:numPr>
          <w:ilvl w:val="0"/>
          <w:numId w:val="2"/>
        </w:numPr>
        <w:tabs>
          <w:tab w:val="left" w:pos="1440"/>
        </w:tabs>
        <w:spacing w:after="0" w:line="240" w:lineRule="auto"/>
        <w:jc w:val="both"/>
        <w:rPr>
          <w:rFonts w:ascii="Arial" w:hAnsi="Arial" w:cs="Arial"/>
          <w:sz w:val="24"/>
          <w:szCs w:val="24"/>
        </w:rPr>
      </w:pPr>
      <w:r w:rsidRPr="00315335">
        <w:rPr>
          <w:rFonts w:ascii="Arial" w:hAnsi="Arial" w:cs="Arial"/>
          <w:b/>
          <w:sz w:val="24"/>
          <w:szCs w:val="24"/>
        </w:rPr>
        <w:t xml:space="preserve">Staţia Brăila 3 - </w:t>
      </w:r>
      <w:r w:rsidRPr="00315335">
        <w:rPr>
          <w:rFonts w:ascii="Arial" w:hAnsi="Arial" w:cs="Arial"/>
          <w:sz w:val="24"/>
          <w:szCs w:val="24"/>
        </w:rPr>
        <w:t>Staţie</w:t>
      </w:r>
      <w:r w:rsidRPr="00315335">
        <w:rPr>
          <w:rFonts w:ascii="Arial" w:hAnsi="Arial" w:cs="Arial"/>
          <w:bCs/>
          <w:sz w:val="24"/>
          <w:szCs w:val="24"/>
        </w:rPr>
        <w:t>de monitorizare a calităţii aerului de tip –</w:t>
      </w:r>
      <w:r w:rsidRPr="00315335">
        <w:rPr>
          <w:rFonts w:ascii="Arial" w:hAnsi="Arial" w:cs="Arial"/>
          <w:sz w:val="24"/>
          <w:szCs w:val="24"/>
        </w:rPr>
        <w:t xml:space="preserve"> suburban, care este situată în Comuna Cazasu, jud. Brăila.</w:t>
      </w:r>
      <w:r w:rsidRPr="00315335">
        <w:rPr>
          <w:rFonts w:ascii="Arial" w:hAnsi="Arial" w:cs="Arial"/>
          <w:bCs/>
          <w:sz w:val="24"/>
          <w:szCs w:val="24"/>
        </w:rPr>
        <w:t xml:space="preserve"> Poluanţii monitorizaţi NO</w:t>
      </w:r>
      <w:r w:rsidRPr="00315335">
        <w:rPr>
          <w:rFonts w:ascii="Arial" w:hAnsi="Arial" w:cs="Arial"/>
          <w:bCs/>
          <w:sz w:val="24"/>
          <w:szCs w:val="24"/>
          <w:vertAlign w:val="subscript"/>
        </w:rPr>
        <w:t>x</w:t>
      </w:r>
      <w:r w:rsidRPr="00315335">
        <w:rPr>
          <w:rFonts w:ascii="Arial" w:hAnsi="Arial" w:cs="Arial"/>
          <w:bCs/>
          <w:sz w:val="24"/>
          <w:szCs w:val="24"/>
        </w:rPr>
        <w:t>, SO</w:t>
      </w:r>
      <w:r w:rsidRPr="00315335">
        <w:rPr>
          <w:rFonts w:ascii="Arial" w:hAnsi="Arial" w:cs="Arial"/>
          <w:bCs/>
          <w:sz w:val="24"/>
          <w:szCs w:val="24"/>
          <w:vertAlign w:val="subscript"/>
        </w:rPr>
        <w:t>2</w:t>
      </w:r>
      <w:r w:rsidRPr="00315335">
        <w:rPr>
          <w:rFonts w:ascii="Arial" w:hAnsi="Arial" w:cs="Arial"/>
          <w:bCs/>
          <w:sz w:val="24"/>
          <w:szCs w:val="24"/>
        </w:rPr>
        <w:t>, CO, O</w:t>
      </w:r>
      <w:r w:rsidRPr="00315335">
        <w:rPr>
          <w:rFonts w:ascii="Arial" w:hAnsi="Arial" w:cs="Arial"/>
          <w:bCs/>
          <w:sz w:val="24"/>
          <w:szCs w:val="24"/>
          <w:vertAlign w:val="subscript"/>
        </w:rPr>
        <w:t>3</w:t>
      </w:r>
      <w:r w:rsidRPr="00315335">
        <w:rPr>
          <w:rFonts w:ascii="Arial" w:hAnsi="Arial" w:cs="Arial"/>
          <w:bCs/>
          <w:sz w:val="24"/>
          <w:szCs w:val="24"/>
        </w:rPr>
        <w:t>, PM10, benzen, parametri meteo.</w:t>
      </w:r>
    </w:p>
    <w:p w:rsidR="00F40E00" w:rsidRPr="00315335" w:rsidRDefault="00F40E00" w:rsidP="00F40E00">
      <w:pPr>
        <w:numPr>
          <w:ilvl w:val="0"/>
          <w:numId w:val="2"/>
        </w:numPr>
        <w:tabs>
          <w:tab w:val="left" w:pos="1440"/>
        </w:tabs>
        <w:spacing w:after="0" w:line="240" w:lineRule="auto"/>
        <w:jc w:val="both"/>
        <w:rPr>
          <w:rFonts w:ascii="Arial" w:hAnsi="Arial" w:cs="Arial"/>
          <w:sz w:val="24"/>
          <w:szCs w:val="24"/>
        </w:rPr>
      </w:pPr>
      <w:r w:rsidRPr="00315335">
        <w:rPr>
          <w:rFonts w:ascii="Arial" w:hAnsi="Arial" w:cs="Arial"/>
          <w:b/>
          <w:sz w:val="24"/>
          <w:szCs w:val="24"/>
        </w:rPr>
        <w:t xml:space="preserve">Staţia Brăila 4 - </w:t>
      </w:r>
      <w:r w:rsidRPr="00315335">
        <w:rPr>
          <w:rFonts w:ascii="Arial" w:hAnsi="Arial" w:cs="Arial"/>
          <w:sz w:val="24"/>
          <w:szCs w:val="24"/>
        </w:rPr>
        <w:t>Staţie</w:t>
      </w:r>
      <w:r w:rsidRPr="00315335">
        <w:rPr>
          <w:rFonts w:ascii="Arial" w:hAnsi="Arial" w:cs="Arial"/>
          <w:bCs/>
          <w:sz w:val="24"/>
          <w:szCs w:val="24"/>
        </w:rPr>
        <w:t>de monitorizare a calităţii aerului de tip – industrial,care</w:t>
      </w:r>
      <w:r w:rsidRPr="00315335">
        <w:rPr>
          <w:rFonts w:ascii="Arial" w:hAnsi="Arial" w:cs="Arial"/>
          <w:sz w:val="24"/>
          <w:szCs w:val="24"/>
        </w:rPr>
        <w:t>este amplasată pe Şoseaua Baldovineşti (Staţia Nord).</w:t>
      </w:r>
      <w:r w:rsidRPr="00315335">
        <w:rPr>
          <w:rFonts w:ascii="Arial" w:hAnsi="Arial" w:cs="Arial"/>
          <w:bCs/>
          <w:sz w:val="24"/>
          <w:szCs w:val="24"/>
        </w:rPr>
        <w:t>Poluanţii monitorizaţi NO</w:t>
      </w:r>
      <w:r w:rsidRPr="00315335">
        <w:rPr>
          <w:rFonts w:ascii="Arial" w:hAnsi="Arial" w:cs="Arial"/>
          <w:bCs/>
          <w:sz w:val="24"/>
          <w:szCs w:val="24"/>
          <w:vertAlign w:val="subscript"/>
        </w:rPr>
        <w:t>x</w:t>
      </w:r>
      <w:r w:rsidRPr="00315335">
        <w:rPr>
          <w:rFonts w:ascii="Arial" w:hAnsi="Arial" w:cs="Arial"/>
          <w:bCs/>
          <w:sz w:val="24"/>
          <w:szCs w:val="24"/>
        </w:rPr>
        <w:t>, SO</w:t>
      </w:r>
      <w:r w:rsidRPr="00315335">
        <w:rPr>
          <w:rFonts w:ascii="Arial" w:hAnsi="Arial" w:cs="Arial"/>
          <w:bCs/>
          <w:sz w:val="24"/>
          <w:szCs w:val="24"/>
          <w:vertAlign w:val="subscript"/>
        </w:rPr>
        <w:t>2</w:t>
      </w:r>
      <w:r w:rsidRPr="00315335">
        <w:rPr>
          <w:rFonts w:ascii="Arial" w:hAnsi="Arial" w:cs="Arial"/>
          <w:bCs/>
          <w:sz w:val="24"/>
          <w:szCs w:val="24"/>
        </w:rPr>
        <w:t>, CO, O</w:t>
      </w:r>
      <w:r w:rsidRPr="00315335">
        <w:rPr>
          <w:rFonts w:ascii="Arial" w:hAnsi="Arial" w:cs="Arial"/>
          <w:bCs/>
          <w:sz w:val="24"/>
          <w:szCs w:val="24"/>
          <w:vertAlign w:val="subscript"/>
        </w:rPr>
        <w:t>3</w:t>
      </w:r>
      <w:r w:rsidRPr="00315335">
        <w:rPr>
          <w:rFonts w:ascii="Arial" w:hAnsi="Arial" w:cs="Arial"/>
          <w:bCs/>
          <w:sz w:val="24"/>
          <w:szCs w:val="24"/>
        </w:rPr>
        <w:t>, PM10, parametri meteo.</w:t>
      </w:r>
    </w:p>
    <w:p w:rsidR="00F40E00" w:rsidRPr="00315335" w:rsidRDefault="00F40E00" w:rsidP="00F40E00">
      <w:pPr>
        <w:numPr>
          <w:ilvl w:val="0"/>
          <w:numId w:val="2"/>
        </w:numPr>
        <w:tabs>
          <w:tab w:val="left" w:pos="1440"/>
        </w:tabs>
        <w:spacing w:after="0" w:line="240" w:lineRule="auto"/>
        <w:jc w:val="both"/>
        <w:rPr>
          <w:rFonts w:ascii="Arial" w:hAnsi="Arial" w:cs="Arial"/>
          <w:sz w:val="24"/>
          <w:szCs w:val="24"/>
        </w:rPr>
      </w:pPr>
      <w:r w:rsidRPr="00315335">
        <w:rPr>
          <w:rFonts w:ascii="Arial" w:hAnsi="Arial" w:cs="Arial"/>
          <w:b/>
          <w:sz w:val="24"/>
          <w:szCs w:val="24"/>
        </w:rPr>
        <w:t xml:space="preserve">Staţia Brăila 5 - </w:t>
      </w:r>
      <w:r w:rsidRPr="00315335">
        <w:rPr>
          <w:rFonts w:ascii="Arial" w:hAnsi="Arial" w:cs="Arial"/>
          <w:sz w:val="24"/>
          <w:szCs w:val="24"/>
        </w:rPr>
        <w:t>Staţie</w:t>
      </w:r>
      <w:r w:rsidRPr="00315335">
        <w:rPr>
          <w:rFonts w:ascii="Arial" w:hAnsi="Arial" w:cs="Arial"/>
          <w:bCs/>
          <w:sz w:val="24"/>
          <w:szCs w:val="24"/>
        </w:rPr>
        <w:t xml:space="preserve">de monitorizare a calităţii aerului de tip – industrial, care </w:t>
      </w:r>
      <w:r w:rsidRPr="00315335">
        <w:rPr>
          <w:rFonts w:ascii="Arial" w:hAnsi="Arial" w:cs="Arial"/>
          <w:sz w:val="24"/>
          <w:szCs w:val="24"/>
        </w:rPr>
        <w:t xml:space="preserve">este amplasată în Comuna Chiscani, în vecinătatea SC. CET S.A. </w:t>
      </w:r>
      <w:r w:rsidRPr="00315335">
        <w:rPr>
          <w:rFonts w:ascii="Arial" w:hAnsi="Arial" w:cs="Arial"/>
          <w:bCs/>
          <w:sz w:val="24"/>
          <w:szCs w:val="24"/>
        </w:rPr>
        <w:t>Poluanţii monitorizaţi NO</w:t>
      </w:r>
      <w:r w:rsidRPr="00315335">
        <w:rPr>
          <w:rFonts w:ascii="Arial" w:hAnsi="Arial" w:cs="Arial"/>
          <w:bCs/>
          <w:sz w:val="24"/>
          <w:szCs w:val="24"/>
          <w:vertAlign w:val="subscript"/>
        </w:rPr>
        <w:t>x</w:t>
      </w:r>
      <w:r w:rsidRPr="00315335">
        <w:rPr>
          <w:rFonts w:ascii="Arial" w:hAnsi="Arial" w:cs="Arial"/>
          <w:bCs/>
          <w:sz w:val="24"/>
          <w:szCs w:val="24"/>
        </w:rPr>
        <w:t>, SO</w:t>
      </w:r>
      <w:r w:rsidRPr="00315335">
        <w:rPr>
          <w:rFonts w:ascii="Arial" w:hAnsi="Arial" w:cs="Arial"/>
          <w:bCs/>
          <w:sz w:val="24"/>
          <w:szCs w:val="24"/>
          <w:vertAlign w:val="subscript"/>
        </w:rPr>
        <w:t>2</w:t>
      </w:r>
      <w:r w:rsidRPr="00315335">
        <w:rPr>
          <w:rFonts w:ascii="Arial" w:hAnsi="Arial" w:cs="Arial"/>
          <w:bCs/>
          <w:sz w:val="24"/>
          <w:szCs w:val="24"/>
        </w:rPr>
        <w:t>, CO, O</w:t>
      </w:r>
      <w:r w:rsidRPr="00315335">
        <w:rPr>
          <w:rFonts w:ascii="Arial" w:hAnsi="Arial" w:cs="Arial"/>
          <w:bCs/>
          <w:sz w:val="24"/>
          <w:szCs w:val="24"/>
          <w:vertAlign w:val="subscript"/>
        </w:rPr>
        <w:t>3</w:t>
      </w:r>
      <w:r w:rsidRPr="00315335">
        <w:rPr>
          <w:rFonts w:ascii="Arial" w:hAnsi="Arial" w:cs="Arial"/>
          <w:bCs/>
          <w:sz w:val="24"/>
          <w:szCs w:val="24"/>
        </w:rPr>
        <w:t>, PM</w:t>
      </w:r>
      <w:r w:rsidRPr="00315335">
        <w:rPr>
          <w:rFonts w:ascii="Arial" w:hAnsi="Arial" w:cs="Arial"/>
          <w:bCs/>
          <w:sz w:val="24"/>
          <w:szCs w:val="24"/>
          <w:vertAlign w:val="subscript"/>
        </w:rPr>
        <w:t>10</w:t>
      </w:r>
      <w:r w:rsidRPr="00315335">
        <w:rPr>
          <w:rFonts w:ascii="Arial" w:hAnsi="Arial" w:cs="Arial"/>
          <w:bCs/>
          <w:sz w:val="24"/>
          <w:szCs w:val="24"/>
        </w:rPr>
        <w:t>, COV, parametri meteo.</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Poluanţii monitorizaţi sunt cei prevăzuţi în legislaţia română, transpusă din legislaţia europeană, valorile limită impuse prin Legea 104/2011având scopul de a evita, preveni şi reduce efectele nocive asupra sănătăţii umane şi a mediului în întregul său. </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Conform anexei 4 la Legea nr. 104/2011, obiectivul de calitate a datelor din monitorizare în ceea ce priveşte captura minimă de date pe perioada de mediere de un an, pentru toţi </w:t>
      </w:r>
      <w:r w:rsidRPr="00315335">
        <w:rPr>
          <w:rFonts w:ascii="Arial" w:hAnsi="Arial" w:cs="Arial"/>
          <w:sz w:val="24"/>
          <w:szCs w:val="24"/>
        </w:rPr>
        <w:lastRenderedPageBreak/>
        <w:t xml:space="preserve">poluanţii monitorizaţi, este de 90%. Având în vedere că cerința de captură minimă de 90% nu include pierderile de date datorate calibrării, verificărilor și întreținerilor curente, sunt considerate conforme capturile de date valide de minimum 75%. </w:t>
      </w:r>
    </w:p>
    <w:p w:rsidR="00F40E00" w:rsidRPr="00315335" w:rsidRDefault="00F40E00" w:rsidP="00F40E00">
      <w:pPr>
        <w:widowControl w:val="0"/>
        <w:spacing w:after="0" w:line="240" w:lineRule="auto"/>
        <w:ind w:firstLine="720"/>
        <w:jc w:val="both"/>
        <w:rPr>
          <w:rFonts w:ascii="Arial" w:hAnsi="Arial" w:cs="Arial"/>
          <w:sz w:val="24"/>
          <w:szCs w:val="24"/>
        </w:rPr>
      </w:pPr>
    </w:p>
    <w:p w:rsidR="00F40E00" w:rsidRPr="00315335" w:rsidRDefault="00F40E00" w:rsidP="00F40E00">
      <w:pPr>
        <w:tabs>
          <w:tab w:val="left" w:leader="dot" w:pos="9356"/>
        </w:tabs>
        <w:spacing w:after="0" w:line="240" w:lineRule="auto"/>
        <w:jc w:val="both"/>
        <w:rPr>
          <w:rFonts w:ascii="Arial" w:hAnsi="Arial" w:cs="Arial"/>
          <w:b/>
          <w:sz w:val="24"/>
          <w:szCs w:val="24"/>
        </w:rPr>
      </w:pPr>
      <w:r w:rsidRPr="00315335">
        <w:rPr>
          <w:rFonts w:ascii="Arial" w:hAnsi="Arial" w:cs="Arial"/>
          <w:b/>
          <w:sz w:val="24"/>
          <w:szCs w:val="24"/>
        </w:rPr>
        <w:t>I.1.1.1. Nivelul concentraţiilor medii anuale ale poluanţilor atmosferici în aerul înconjurător</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În acest subcapitol sunt prezentate date şi informaţii sintetice privind rezultatele monitorizării calităţii aerului în anul 2018, care ilustrează calitatea aerului în raport cu valorile limită, valorile ţintă, pragurile de alertă sau de informare stabilite în legislaţia specifică pentru fiecare poluant. </w:t>
      </w:r>
    </w:p>
    <w:p w:rsidR="00F40E00" w:rsidRPr="00315335" w:rsidRDefault="00F40E00" w:rsidP="00F40E00">
      <w:pPr>
        <w:widowControl w:val="0"/>
        <w:tabs>
          <w:tab w:val="num" w:pos="220"/>
        </w:tabs>
        <w:overflowPunct w:val="0"/>
        <w:autoSpaceDE w:val="0"/>
        <w:autoSpaceDN w:val="0"/>
        <w:adjustRightInd w:val="0"/>
        <w:spacing w:after="0" w:line="240" w:lineRule="auto"/>
        <w:ind w:firstLine="720"/>
        <w:jc w:val="both"/>
        <w:textAlignment w:val="baseline"/>
        <w:rPr>
          <w:rFonts w:ascii="Arial" w:eastAsia="Times New Roman" w:hAnsi="Arial" w:cs="Arial"/>
          <w:sz w:val="24"/>
          <w:szCs w:val="24"/>
        </w:rPr>
      </w:pPr>
      <w:r w:rsidRPr="00315335">
        <w:rPr>
          <w:rFonts w:ascii="Arial" w:eastAsia="Times New Roman" w:hAnsi="Arial" w:cs="Arial"/>
          <w:sz w:val="24"/>
          <w:szCs w:val="24"/>
        </w:rPr>
        <w:t>Legea nr. 104/2011 reglementează, pentru anumiţi poluanţi prevăzuţi de lege: SO</w:t>
      </w:r>
      <w:r w:rsidRPr="00315335">
        <w:rPr>
          <w:rFonts w:ascii="Arial" w:eastAsia="Times New Roman" w:hAnsi="Arial" w:cs="Arial"/>
          <w:sz w:val="24"/>
          <w:szCs w:val="24"/>
          <w:vertAlign w:val="subscript"/>
        </w:rPr>
        <w:t>2</w:t>
      </w:r>
      <w:r w:rsidRPr="00315335">
        <w:rPr>
          <w:rFonts w:ascii="Arial" w:eastAsia="Times New Roman" w:hAnsi="Arial" w:cs="Arial"/>
          <w:sz w:val="24"/>
          <w:szCs w:val="24"/>
        </w:rPr>
        <w:t>, NO</w:t>
      </w:r>
      <w:r w:rsidRPr="00315335">
        <w:rPr>
          <w:rFonts w:ascii="Arial" w:eastAsia="Times New Roman" w:hAnsi="Arial" w:cs="Arial"/>
          <w:sz w:val="24"/>
          <w:szCs w:val="24"/>
          <w:vertAlign w:val="subscript"/>
        </w:rPr>
        <w:t>2</w:t>
      </w:r>
      <w:r w:rsidRPr="00315335">
        <w:rPr>
          <w:rFonts w:ascii="Arial" w:eastAsia="Times New Roman" w:hAnsi="Arial" w:cs="Arial"/>
          <w:sz w:val="24"/>
          <w:szCs w:val="24"/>
        </w:rPr>
        <w:t>, CO, O</w:t>
      </w:r>
      <w:r w:rsidRPr="00315335">
        <w:rPr>
          <w:rFonts w:ascii="Arial" w:eastAsia="Times New Roman" w:hAnsi="Arial" w:cs="Arial"/>
          <w:sz w:val="24"/>
          <w:szCs w:val="24"/>
          <w:vertAlign w:val="subscript"/>
        </w:rPr>
        <w:t>3</w:t>
      </w:r>
      <w:r w:rsidRPr="00315335">
        <w:rPr>
          <w:rFonts w:ascii="Arial" w:eastAsia="Times New Roman" w:hAnsi="Arial" w:cs="Arial"/>
          <w:sz w:val="24"/>
          <w:szCs w:val="24"/>
        </w:rPr>
        <w:t>, benzen, PM</w:t>
      </w:r>
      <w:r w:rsidRPr="00315335">
        <w:rPr>
          <w:rFonts w:ascii="Arial" w:eastAsia="Times New Roman" w:hAnsi="Arial" w:cs="Arial"/>
          <w:sz w:val="24"/>
          <w:szCs w:val="24"/>
          <w:vertAlign w:val="subscript"/>
        </w:rPr>
        <w:t>10</w:t>
      </w:r>
      <w:r w:rsidRPr="00315335">
        <w:rPr>
          <w:rFonts w:ascii="Arial" w:eastAsia="Times New Roman" w:hAnsi="Arial" w:cs="Arial"/>
          <w:sz w:val="24"/>
          <w:szCs w:val="24"/>
        </w:rPr>
        <w:t>, PM</w:t>
      </w:r>
      <w:r w:rsidRPr="00315335">
        <w:rPr>
          <w:rFonts w:ascii="Arial" w:eastAsia="Times New Roman" w:hAnsi="Arial" w:cs="Arial"/>
          <w:sz w:val="24"/>
          <w:szCs w:val="24"/>
          <w:vertAlign w:val="subscript"/>
        </w:rPr>
        <w:t>2,5</w:t>
      </w:r>
      <w:r w:rsidRPr="00315335">
        <w:rPr>
          <w:rFonts w:ascii="Arial" w:eastAsia="Times New Roman" w:hAnsi="Arial" w:cs="Arial"/>
          <w:sz w:val="24"/>
          <w:szCs w:val="24"/>
        </w:rPr>
        <w:t xml:space="preserve"> şi Pb, Cd, As şi Ni, benzo(a)piren, o serie de obiective de calitate</w:t>
      </w:r>
      <w:r w:rsidRPr="00315335">
        <w:rPr>
          <w:rFonts w:ascii="Arial" w:hAnsi="Arial" w:cs="Arial"/>
          <w:sz w:val="24"/>
          <w:szCs w:val="24"/>
        </w:rPr>
        <w:t>, şi anume:</w:t>
      </w:r>
    </w:p>
    <w:p w:rsidR="00F40E00" w:rsidRPr="00315335" w:rsidRDefault="00F40E00" w:rsidP="00F40E00">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315335">
        <w:rPr>
          <w:rFonts w:ascii="Arial" w:hAnsi="Arial" w:cs="Arial"/>
          <w:sz w:val="24"/>
          <w:szCs w:val="24"/>
        </w:rPr>
        <w:t>valori limită (VL) pentru protecţia sănătăţii umane la poluanţii: SO</w:t>
      </w:r>
      <w:r w:rsidRPr="00315335">
        <w:rPr>
          <w:rFonts w:ascii="Arial" w:hAnsi="Arial" w:cs="Arial"/>
          <w:sz w:val="24"/>
          <w:szCs w:val="24"/>
          <w:vertAlign w:val="subscript"/>
        </w:rPr>
        <w:t>2</w:t>
      </w:r>
      <w:r w:rsidRPr="00315335">
        <w:rPr>
          <w:rFonts w:ascii="Arial" w:hAnsi="Arial" w:cs="Arial"/>
          <w:sz w:val="24"/>
          <w:szCs w:val="24"/>
        </w:rPr>
        <w:t>, NO</w:t>
      </w:r>
      <w:r w:rsidRPr="00315335">
        <w:rPr>
          <w:rFonts w:ascii="Arial" w:hAnsi="Arial" w:cs="Arial"/>
          <w:sz w:val="24"/>
          <w:szCs w:val="24"/>
          <w:vertAlign w:val="subscript"/>
        </w:rPr>
        <w:t>2</w:t>
      </w:r>
      <w:r w:rsidRPr="00315335">
        <w:rPr>
          <w:rFonts w:ascii="Arial" w:hAnsi="Arial" w:cs="Arial"/>
          <w:sz w:val="24"/>
          <w:szCs w:val="24"/>
        </w:rPr>
        <w:t>, CO, PM</w:t>
      </w:r>
      <w:r w:rsidRPr="00315335">
        <w:rPr>
          <w:rFonts w:ascii="Arial" w:hAnsi="Arial" w:cs="Arial"/>
          <w:sz w:val="24"/>
          <w:szCs w:val="24"/>
          <w:vertAlign w:val="subscript"/>
        </w:rPr>
        <w:t>2,5</w:t>
      </w:r>
      <w:r w:rsidRPr="00315335">
        <w:rPr>
          <w:rFonts w:ascii="Arial" w:hAnsi="Arial" w:cs="Arial"/>
          <w:sz w:val="24"/>
          <w:szCs w:val="24"/>
        </w:rPr>
        <w:t>PM</w:t>
      </w:r>
      <w:r w:rsidRPr="00315335">
        <w:rPr>
          <w:rFonts w:ascii="Arial" w:hAnsi="Arial" w:cs="Arial"/>
          <w:sz w:val="24"/>
          <w:szCs w:val="24"/>
          <w:vertAlign w:val="subscript"/>
        </w:rPr>
        <w:t>10</w:t>
      </w:r>
      <w:r w:rsidRPr="00315335">
        <w:rPr>
          <w:rFonts w:ascii="Arial" w:hAnsi="Arial" w:cs="Arial"/>
          <w:sz w:val="24"/>
          <w:szCs w:val="24"/>
        </w:rPr>
        <w:t>şi Pb;</w:t>
      </w:r>
    </w:p>
    <w:p w:rsidR="00F40E00" w:rsidRPr="00315335" w:rsidRDefault="00F40E00" w:rsidP="00F40E00">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315335">
        <w:rPr>
          <w:rFonts w:ascii="Arial" w:hAnsi="Arial" w:cs="Arial"/>
          <w:sz w:val="24"/>
          <w:szCs w:val="24"/>
        </w:rPr>
        <w:t xml:space="preserve">valori ţintă (VT) pentru Cd, As, Ni, </w:t>
      </w:r>
      <w:r w:rsidRPr="00315335">
        <w:rPr>
          <w:rFonts w:ascii="Arial" w:eastAsia="Times New Roman" w:hAnsi="Arial" w:cs="Arial"/>
          <w:sz w:val="24"/>
          <w:szCs w:val="24"/>
        </w:rPr>
        <w:t>benzo(a)piren</w:t>
      </w:r>
      <w:r w:rsidRPr="00315335">
        <w:rPr>
          <w:rFonts w:ascii="Arial" w:hAnsi="Arial" w:cs="Arial"/>
          <w:sz w:val="24"/>
          <w:szCs w:val="24"/>
        </w:rPr>
        <w:t>şi O</w:t>
      </w:r>
      <w:r w:rsidRPr="00315335">
        <w:rPr>
          <w:rFonts w:ascii="Arial" w:hAnsi="Arial" w:cs="Arial"/>
          <w:sz w:val="24"/>
          <w:szCs w:val="24"/>
          <w:vertAlign w:val="subscript"/>
        </w:rPr>
        <w:t xml:space="preserve">3 </w:t>
      </w:r>
      <w:r w:rsidRPr="00315335">
        <w:rPr>
          <w:rFonts w:ascii="Arial" w:hAnsi="Arial" w:cs="Arial"/>
          <w:sz w:val="24"/>
          <w:szCs w:val="24"/>
        </w:rPr>
        <w:t xml:space="preserve">(pentru protecţia sănătăţii umane şi a vegetaţiei, după caz) </w:t>
      </w:r>
    </w:p>
    <w:p w:rsidR="00F40E00" w:rsidRPr="00315335" w:rsidRDefault="00F40E00" w:rsidP="00F40E00">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315335">
        <w:rPr>
          <w:rFonts w:ascii="Arial" w:hAnsi="Arial" w:cs="Arial"/>
          <w:sz w:val="24"/>
          <w:szCs w:val="24"/>
        </w:rPr>
        <w:t>niveluri critice pentru protecţia vegetaţieila SO</w:t>
      </w:r>
      <w:r w:rsidRPr="00315335">
        <w:rPr>
          <w:rFonts w:ascii="Arial" w:hAnsi="Arial" w:cs="Arial"/>
          <w:sz w:val="24"/>
          <w:szCs w:val="24"/>
          <w:vertAlign w:val="subscript"/>
        </w:rPr>
        <w:t>2</w:t>
      </w:r>
      <w:r w:rsidRPr="00315335">
        <w:rPr>
          <w:rFonts w:ascii="Arial" w:hAnsi="Arial" w:cs="Arial"/>
          <w:sz w:val="24"/>
          <w:szCs w:val="24"/>
        </w:rPr>
        <w:t xml:space="preserve"> şi NO</w:t>
      </w:r>
      <w:r w:rsidRPr="00315335">
        <w:rPr>
          <w:rFonts w:ascii="Arial" w:hAnsi="Arial" w:cs="Arial"/>
          <w:sz w:val="24"/>
          <w:szCs w:val="24"/>
          <w:vertAlign w:val="subscript"/>
        </w:rPr>
        <w:t>x</w:t>
      </w:r>
      <w:r w:rsidRPr="00315335">
        <w:rPr>
          <w:rFonts w:ascii="Arial" w:hAnsi="Arial" w:cs="Arial"/>
          <w:sz w:val="24"/>
          <w:szCs w:val="24"/>
        </w:rPr>
        <w:t xml:space="preserve">, </w:t>
      </w:r>
    </w:p>
    <w:p w:rsidR="00F40E00" w:rsidRPr="00315335" w:rsidRDefault="00F40E00" w:rsidP="00F40E00">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315335">
        <w:rPr>
          <w:rFonts w:ascii="Arial" w:hAnsi="Arial" w:cs="Arial"/>
          <w:sz w:val="24"/>
          <w:szCs w:val="24"/>
        </w:rPr>
        <w:t xml:space="preserve">obiective pe termen lung pentru protecţia sănătăţii şi a vegetaţiei la ozon prag de informare (PI)  a publicului </w:t>
      </w:r>
    </w:p>
    <w:p w:rsidR="00F40E00" w:rsidRPr="00315335" w:rsidRDefault="00F40E00" w:rsidP="00F40E00">
      <w:pPr>
        <w:widowControl w:val="0"/>
        <w:numPr>
          <w:ilvl w:val="0"/>
          <w:numId w:val="5"/>
        </w:numPr>
        <w:tabs>
          <w:tab w:val="clear" w:pos="720"/>
          <w:tab w:val="num" w:pos="220"/>
        </w:tabs>
        <w:spacing w:after="0" w:line="240" w:lineRule="auto"/>
        <w:ind w:left="220" w:hanging="220"/>
        <w:jc w:val="both"/>
        <w:rPr>
          <w:rFonts w:ascii="Arial" w:hAnsi="Arial" w:cs="Arial"/>
          <w:sz w:val="24"/>
          <w:szCs w:val="24"/>
        </w:rPr>
      </w:pPr>
      <w:r w:rsidRPr="00315335">
        <w:rPr>
          <w:rFonts w:ascii="Arial" w:hAnsi="Arial" w:cs="Arial"/>
          <w:sz w:val="24"/>
          <w:szCs w:val="24"/>
        </w:rPr>
        <w:t>praguri de alertă (PA) la O</w:t>
      </w:r>
      <w:r w:rsidRPr="00315335">
        <w:rPr>
          <w:rFonts w:ascii="Arial" w:hAnsi="Arial" w:cs="Arial"/>
          <w:sz w:val="24"/>
          <w:szCs w:val="24"/>
          <w:vertAlign w:val="subscript"/>
        </w:rPr>
        <w:t>3</w:t>
      </w:r>
      <w:r w:rsidRPr="00315335">
        <w:rPr>
          <w:rFonts w:ascii="Arial" w:hAnsi="Arial" w:cs="Arial"/>
          <w:sz w:val="24"/>
          <w:szCs w:val="24"/>
        </w:rPr>
        <w:t>, SO</w:t>
      </w:r>
      <w:r w:rsidRPr="00315335">
        <w:rPr>
          <w:rFonts w:ascii="Arial" w:hAnsi="Arial" w:cs="Arial"/>
          <w:sz w:val="24"/>
          <w:szCs w:val="24"/>
          <w:vertAlign w:val="subscript"/>
        </w:rPr>
        <w:t>2</w:t>
      </w:r>
      <w:r w:rsidRPr="00315335">
        <w:rPr>
          <w:rFonts w:ascii="Arial" w:hAnsi="Arial" w:cs="Arial"/>
          <w:sz w:val="24"/>
          <w:szCs w:val="24"/>
        </w:rPr>
        <w:t xml:space="preserve"> şi NO</w:t>
      </w:r>
      <w:r w:rsidRPr="00315335">
        <w:rPr>
          <w:rFonts w:ascii="Arial" w:hAnsi="Arial" w:cs="Arial"/>
          <w:sz w:val="24"/>
          <w:szCs w:val="24"/>
          <w:vertAlign w:val="subscript"/>
        </w:rPr>
        <w:t>2</w:t>
      </w:r>
      <w:r w:rsidRPr="00315335">
        <w:rPr>
          <w:rFonts w:ascii="Arial" w:hAnsi="Arial" w:cs="Arial"/>
          <w:sz w:val="24"/>
          <w:szCs w:val="24"/>
        </w:rPr>
        <w:t xml:space="preserve">. </w:t>
      </w:r>
    </w:p>
    <w:p w:rsidR="00F40E00" w:rsidRPr="00315335" w:rsidRDefault="00F40E00" w:rsidP="00F40E00">
      <w:pPr>
        <w:tabs>
          <w:tab w:val="left" w:pos="709"/>
        </w:tabs>
        <w:spacing w:after="0" w:line="240" w:lineRule="auto"/>
        <w:jc w:val="both"/>
        <w:rPr>
          <w:rFonts w:ascii="Arial" w:hAnsi="Arial" w:cs="Arial"/>
          <w:sz w:val="24"/>
          <w:szCs w:val="24"/>
        </w:rPr>
      </w:pPr>
      <w:r w:rsidRPr="00315335">
        <w:rPr>
          <w:rFonts w:ascii="Arial" w:hAnsi="Arial" w:cs="Arial"/>
          <w:sz w:val="24"/>
          <w:szCs w:val="24"/>
        </w:rPr>
        <w:tab/>
        <w:t>În Tabelul I.1.1.1. sunt prezentate datele statistice rezultate din staţiile automate de monitorizare a calităţii aerului din judeţul Brăila, în anul 2018.</w:t>
      </w:r>
    </w:p>
    <w:p w:rsidR="00F40E00" w:rsidRPr="00315335" w:rsidRDefault="00F40E00" w:rsidP="00F40E00">
      <w:pPr>
        <w:tabs>
          <w:tab w:val="left" w:pos="709"/>
        </w:tabs>
        <w:spacing w:after="0" w:line="240" w:lineRule="auto"/>
        <w:jc w:val="both"/>
        <w:rPr>
          <w:rFonts w:ascii="Arial" w:hAnsi="Arial" w:cs="Arial"/>
          <w:sz w:val="24"/>
          <w:szCs w:val="24"/>
        </w:rPr>
      </w:pPr>
    </w:p>
    <w:p w:rsidR="00F40E00" w:rsidRPr="00315335" w:rsidRDefault="00F40E00" w:rsidP="00F40E00">
      <w:pPr>
        <w:pStyle w:val="Titlu"/>
        <w:ind w:left="720"/>
        <w:jc w:val="left"/>
        <w:rPr>
          <w:rFonts w:ascii="Arial" w:hAnsi="Arial" w:cs="Arial"/>
        </w:rPr>
      </w:pPr>
      <w:r w:rsidRPr="00315335">
        <w:rPr>
          <w:rFonts w:ascii="Arial" w:hAnsi="Arial" w:cs="Arial"/>
        </w:rPr>
        <w:tab/>
      </w:r>
      <w:r w:rsidRPr="00315335">
        <w:rPr>
          <w:rFonts w:ascii="Arial" w:hAnsi="Arial" w:cs="Arial"/>
        </w:rPr>
        <w:tab/>
      </w:r>
      <w:r w:rsidRPr="00315335">
        <w:rPr>
          <w:rFonts w:ascii="Arial" w:hAnsi="Arial" w:cs="Arial"/>
        </w:rPr>
        <w:tab/>
      </w:r>
      <w:r w:rsidRPr="00315335">
        <w:rPr>
          <w:rFonts w:ascii="Arial" w:hAnsi="Arial" w:cs="Arial"/>
        </w:rPr>
        <w:tab/>
      </w:r>
      <w:r w:rsidRPr="00315335">
        <w:rPr>
          <w:rFonts w:ascii="Arial" w:hAnsi="Arial" w:cs="Arial"/>
        </w:rPr>
        <w:tab/>
      </w:r>
      <w:r w:rsidRPr="00315335">
        <w:rPr>
          <w:rFonts w:ascii="Arial" w:hAnsi="Arial" w:cs="Arial"/>
        </w:rPr>
        <w:tab/>
      </w:r>
      <w:r w:rsidRPr="00315335">
        <w:rPr>
          <w:rFonts w:ascii="Arial" w:hAnsi="Arial" w:cs="Arial"/>
        </w:rPr>
        <w:tab/>
        <w:t xml:space="preserve">             Tabelul I.1.1.1.</w:t>
      </w:r>
    </w:p>
    <w:tbl>
      <w:tblPr>
        <w:tblW w:w="372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393"/>
        <w:gridCol w:w="1286"/>
        <w:gridCol w:w="2156"/>
        <w:gridCol w:w="1873"/>
        <w:gridCol w:w="1058"/>
      </w:tblGrid>
      <w:tr w:rsidR="00315335" w:rsidRPr="00315335" w:rsidTr="00916B06">
        <w:trPr>
          <w:trHeight w:val="255"/>
          <w:jc w:val="center"/>
        </w:trPr>
        <w:tc>
          <w:tcPr>
            <w:tcW w:w="897" w:type="pct"/>
            <w:tcBorders>
              <w:top w:val="single" w:sz="12"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line="240" w:lineRule="auto"/>
              <w:jc w:val="center"/>
              <w:rPr>
                <w:rFonts w:ascii="Arial" w:hAnsi="Arial" w:cs="Arial"/>
                <w:b/>
              </w:rPr>
            </w:pPr>
            <w:r w:rsidRPr="00315335">
              <w:rPr>
                <w:rFonts w:ascii="Arial" w:hAnsi="Arial" w:cs="Arial"/>
                <w:b/>
              </w:rPr>
              <w:t>POLUANT</w:t>
            </w:r>
          </w:p>
        </w:tc>
        <w:tc>
          <w:tcPr>
            <w:tcW w:w="828" w:type="pct"/>
            <w:tcBorders>
              <w:top w:val="single" w:sz="12"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line="240" w:lineRule="auto"/>
              <w:jc w:val="center"/>
              <w:rPr>
                <w:rFonts w:ascii="Arial" w:hAnsi="Arial" w:cs="Arial"/>
                <w:b/>
              </w:rPr>
            </w:pPr>
            <w:r w:rsidRPr="00315335">
              <w:rPr>
                <w:rFonts w:ascii="Arial" w:hAnsi="Arial" w:cs="Arial"/>
                <w:b/>
              </w:rPr>
              <w:t>Tip staţie</w:t>
            </w:r>
          </w:p>
        </w:tc>
        <w:tc>
          <w:tcPr>
            <w:tcW w:w="1388" w:type="pct"/>
            <w:tcBorders>
              <w:top w:val="single" w:sz="12" w:space="0" w:color="000000"/>
              <w:left w:val="single" w:sz="6" w:space="0" w:color="000000"/>
              <w:bottom w:val="single" w:sz="6" w:space="0" w:color="000000"/>
              <w:right w:val="single" w:sz="12" w:space="0" w:color="000000"/>
            </w:tcBorders>
            <w:noWrap/>
            <w:vAlign w:val="center"/>
          </w:tcPr>
          <w:p w:rsidR="00F40E00" w:rsidRPr="00315335" w:rsidRDefault="00F40E00" w:rsidP="00916B06">
            <w:pPr>
              <w:tabs>
                <w:tab w:val="center" w:pos="4680"/>
                <w:tab w:val="right" w:pos="9000"/>
              </w:tabs>
              <w:spacing w:after="0" w:line="240" w:lineRule="auto"/>
              <w:jc w:val="center"/>
              <w:rPr>
                <w:rFonts w:ascii="Arial" w:hAnsi="Arial" w:cs="Arial"/>
                <w:b/>
              </w:rPr>
            </w:pPr>
            <w:r w:rsidRPr="00315335">
              <w:rPr>
                <w:rFonts w:ascii="Arial" w:hAnsi="Arial" w:cs="Arial"/>
                <w:b/>
              </w:rPr>
              <w:t>Concentraţia</w:t>
            </w:r>
          </w:p>
          <w:p w:rsidR="00F40E00" w:rsidRPr="00315335" w:rsidRDefault="00F40E00" w:rsidP="00916B06">
            <w:pPr>
              <w:tabs>
                <w:tab w:val="center" w:pos="4680"/>
                <w:tab w:val="right" w:pos="9000"/>
              </w:tabs>
              <w:spacing w:after="0" w:line="240" w:lineRule="auto"/>
              <w:jc w:val="center"/>
              <w:rPr>
                <w:rFonts w:ascii="Arial" w:hAnsi="Arial" w:cs="Arial"/>
                <w:b/>
              </w:rPr>
            </w:pPr>
            <w:r w:rsidRPr="00315335">
              <w:rPr>
                <w:rFonts w:ascii="Arial" w:hAnsi="Arial" w:cs="Arial"/>
                <w:b/>
              </w:rPr>
              <w:t>medie anuală</w:t>
            </w:r>
          </w:p>
          <w:p w:rsidR="00F40E00" w:rsidRPr="00315335" w:rsidRDefault="00F40E00" w:rsidP="00916B06">
            <w:pPr>
              <w:tabs>
                <w:tab w:val="center" w:pos="4680"/>
                <w:tab w:val="right" w:pos="9000"/>
              </w:tabs>
              <w:spacing w:after="0" w:line="240" w:lineRule="auto"/>
              <w:jc w:val="center"/>
              <w:rPr>
                <w:rFonts w:ascii="Arial" w:hAnsi="Arial" w:cs="Arial"/>
                <w:b/>
              </w:rPr>
            </w:pPr>
            <w:r w:rsidRPr="00315335">
              <w:rPr>
                <w:rFonts w:ascii="Arial" w:hAnsi="Arial" w:cs="Arial"/>
                <w:b/>
              </w:rPr>
              <w:t>2018</w:t>
            </w:r>
          </w:p>
        </w:tc>
        <w:tc>
          <w:tcPr>
            <w:tcW w:w="1206" w:type="pct"/>
            <w:tcBorders>
              <w:top w:val="single" w:sz="12" w:space="0" w:color="000000"/>
              <w:left w:val="single" w:sz="6" w:space="0" w:color="000000"/>
              <w:bottom w:val="single" w:sz="6" w:space="0" w:color="000000"/>
              <w:right w:val="single" w:sz="12" w:space="0" w:color="000000"/>
            </w:tcBorders>
            <w:vAlign w:val="center"/>
          </w:tcPr>
          <w:p w:rsidR="00F40E00" w:rsidRPr="00315335" w:rsidRDefault="00F40E00" w:rsidP="00916B06">
            <w:pPr>
              <w:tabs>
                <w:tab w:val="center" w:pos="4680"/>
                <w:tab w:val="right" w:pos="9000"/>
              </w:tabs>
              <w:spacing w:after="0" w:line="240" w:lineRule="auto"/>
              <w:jc w:val="center"/>
              <w:rPr>
                <w:rFonts w:ascii="Arial" w:hAnsi="Arial" w:cs="Arial"/>
                <w:b/>
                <w:sz w:val="20"/>
                <w:szCs w:val="20"/>
              </w:rPr>
            </w:pPr>
          </w:p>
          <w:p w:rsidR="00F40E00" w:rsidRPr="00315335" w:rsidRDefault="00F40E00" w:rsidP="00916B06">
            <w:pPr>
              <w:tabs>
                <w:tab w:val="center" w:pos="4680"/>
                <w:tab w:val="right" w:pos="9000"/>
              </w:tabs>
              <w:spacing w:after="0" w:line="240" w:lineRule="auto"/>
              <w:jc w:val="center"/>
              <w:rPr>
                <w:rFonts w:ascii="Arial" w:hAnsi="Arial" w:cs="Arial"/>
                <w:b/>
              </w:rPr>
            </w:pPr>
            <w:r w:rsidRPr="00315335">
              <w:rPr>
                <w:rFonts w:ascii="Arial" w:hAnsi="Arial" w:cs="Arial"/>
                <w:b/>
                <w:sz w:val="20"/>
                <w:szCs w:val="20"/>
              </w:rPr>
              <w:t>UM</w:t>
            </w:r>
          </w:p>
        </w:tc>
        <w:tc>
          <w:tcPr>
            <w:tcW w:w="681" w:type="pct"/>
            <w:tcBorders>
              <w:top w:val="single" w:sz="12" w:space="0" w:color="000000"/>
              <w:left w:val="single" w:sz="6" w:space="0" w:color="000000"/>
              <w:bottom w:val="single" w:sz="6" w:space="0" w:color="000000"/>
              <w:right w:val="single" w:sz="12" w:space="0" w:color="000000"/>
            </w:tcBorders>
            <w:shd w:val="clear" w:color="auto" w:fill="auto"/>
            <w:vAlign w:val="center"/>
          </w:tcPr>
          <w:p w:rsidR="00F40E00" w:rsidRPr="00315335" w:rsidRDefault="00F40E00" w:rsidP="00916B06">
            <w:pPr>
              <w:spacing w:after="0" w:line="240" w:lineRule="auto"/>
              <w:jc w:val="center"/>
              <w:rPr>
                <w:rFonts w:ascii="Arial" w:hAnsi="Arial" w:cs="Arial"/>
                <w:b/>
                <w:sz w:val="20"/>
                <w:szCs w:val="20"/>
              </w:rPr>
            </w:pPr>
            <w:r w:rsidRPr="00315335">
              <w:rPr>
                <w:rFonts w:ascii="Arial" w:hAnsi="Arial" w:cs="Arial"/>
                <w:b/>
                <w:sz w:val="20"/>
                <w:szCs w:val="20"/>
              </w:rPr>
              <w:t>Captura</w:t>
            </w:r>
          </w:p>
          <w:p w:rsidR="00F40E00" w:rsidRPr="00315335" w:rsidRDefault="00F40E00" w:rsidP="00916B06">
            <w:pPr>
              <w:spacing w:after="0" w:line="240" w:lineRule="auto"/>
              <w:jc w:val="center"/>
              <w:rPr>
                <w:rFonts w:ascii="Arial" w:hAnsi="Arial" w:cs="Arial"/>
                <w:b/>
                <w:sz w:val="20"/>
                <w:szCs w:val="20"/>
              </w:rPr>
            </w:pPr>
            <w:r w:rsidRPr="00315335">
              <w:rPr>
                <w:rFonts w:ascii="Arial" w:hAnsi="Arial" w:cs="Arial"/>
                <w:b/>
                <w:sz w:val="20"/>
                <w:szCs w:val="20"/>
              </w:rPr>
              <w:t>de date</w:t>
            </w:r>
          </w:p>
          <w:p w:rsidR="00F40E00" w:rsidRPr="00315335" w:rsidRDefault="00F40E00" w:rsidP="00916B06">
            <w:pPr>
              <w:tabs>
                <w:tab w:val="center" w:pos="4680"/>
                <w:tab w:val="right" w:pos="9000"/>
              </w:tabs>
              <w:spacing w:after="0" w:line="240" w:lineRule="auto"/>
              <w:jc w:val="center"/>
              <w:rPr>
                <w:rFonts w:ascii="Arial" w:hAnsi="Arial" w:cs="Arial"/>
                <w:b/>
              </w:rPr>
            </w:pPr>
            <w:r w:rsidRPr="00315335">
              <w:rPr>
                <w:rFonts w:ascii="Arial" w:hAnsi="Arial" w:cs="Arial"/>
                <w:b/>
                <w:sz w:val="20"/>
                <w:szCs w:val="20"/>
              </w:rPr>
              <w:t>(%)</w:t>
            </w:r>
          </w:p>
        </w:tc>
      </w:tr>
      <w:tr w:rsidR="00315335" w:rsidRPr="00315335" w:rsidTr="00916B06">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vertAlign w:val="subscript"/>
              </w:rPr>
            </w:pPr>
            <w:r w:rsidRPr="00315335">
              <w:rPr>
                <w:rFonts w:ascii="Arial" w:hAnsi="Arial" w:cs="Arial"/>
              </w:rPr>
              <w:t>SO</w:t>
            </w:r>
            <w:r w:rsidRPr="00315335">
              <w:rPr>
                <w:rFonts w:ascii="Arial" w:hAnsi="Arial" w:cs="Arial"/>
                <w:vertAlign w:val="subscript"/>
              </w:rPr>
              <w:t>2</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6,27</w:t>
            </w:r>
          </w:p>
        </w:tc>
        <w:tc>
          <w:tcPr>
            <w:tcW w:w="1206" w:type="pct"/>
            <w:vMerge w:val="restart"/>
            <w:tcBorders>
              <w:top w:val="single" w:sz="6" w:space="0" w:color="000000"/>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95,43</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4,39</w:t>
            </w:r>
          </w:p>
        </w:tc>
        <w:tc>
          <w:tcPr>
            <w:tcW w:w="1206" w:type="pct"/>
            <w:vMerge/>
            <w:tcBorders>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68,85</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5,84</w:t>
            </w:r>
          </w:p>
        </w:tc>
        <w:tc>
          <w:tcPr>
            <w:tcW w:w="1206" w:type="pct"/>
            <w:vMerge/>
            <w:tcBorders>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95,25</w:t>
            </w:r>
          </w:p>
        </w:tc>
      </w:tr>
      <w:tr w:rsidR="00315335" w:rsidRPr="00315335" w:rsidTr="00916B06">
        <w:trPr>
          <w:trHeight w:val="255"/>
          <w:jc w:val="center"/>
        </w:trPr>
        <w:tc>
          <w:tcPr>
            <w:tcW w:w="897" w:type="pct"/>
            <w:vMerge w:val="restart"/>
            <w:tcBorders>
              <w:top w:val="single" w:sz="6" w:space="0" w:color="000000"/>
              <w:left w:val="single" w:sz="12" w:space="0" w:color="000000"/>
              <w:right w:val="single" w:sz="6" w:space="0" w:color="000000"/>
            </w:tcBorders>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PM</w:t>
            </w:r>
            <w:r w:rsidRPr="00315335">
              <w:rPr>
                <w:rFonts w:ascii="Arial" w:hAnsi="Arial" w:cs="Arial"/>
                <w:vertAlign w:val="subscript"/>
              </w:rPr>
              <w:t>10</w:t>
            </w:r>
            <w:r w:rsidRPr="00315335">
              <w:rPr>
                <w:rFonts w:ascii="Arial" w:hAnsi="Arial" w:cs="Arial"/>
              </w:rPr>
              <w:t xml:space="preserve"> nef</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16,14</w:t>
            </w:r>
          </w:p>
        </w:tc>
        <w:tc>
          <w:tcPr>
            <w:tcW w:w="1206" w:type="pct"/>
            <w:vMerge w:val="restart"/>
            <w:tcBorders>
              <w:top w:val="single" w:sz="6" w:space="0" w:color="000000"/>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98,60</w:t>
            </w:r>
          </w:p>
        </w:tc>
      </w:tr>
      <w:tr w:rsidR="00315335" w:rsidRPr="00315335" w:rsidTr="00916B06">
        <w:trPr>
          <w:trHeight w:val="255"/>
          <w:jc w:val="center"/>
        </w:trPr>
        <w:tc>
          <w:tcPr>
            <w:tcW w:w="897" w:type="pct"/>
            <w:vMerge/>
            <w:tcBorders>
              <w:left w:val="single" w:sz="12"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16,42</w:t>
            </w:r>
          </w:p>
        </w:tc>
        <w:tc>
          <w:tcPr>
            <w:tcW w:w="1206" w:type="pct"/>
            <w:vMerge/>
            <w:tcBorders>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94,29</w:t>
            </w:r>
          </w:p>
        </w:tc>
      </w:tr>
      <w:tr w:rsidR="00315335" w:rsidRPr="00315335" w:rsidTr="00916B06">
        <w:trPr>
          <w:trHeight w:val="255"/>
          <w:jc w:val="center"/>
        </w:trPr>
        <w:tc>
          <w:tcPr>
            <w:tcW w:w="897" w:type="pct"/>
            <w:vMerge/>
            <w:tcBorders>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13,47</w:t>
            </w:r>
          </w:p>
        </w:tc>
        <w:tc>
          <w:tcPr>
            <w:tcW w:w="1206" w:type="pct"/>
            <w:vMerge/>
            <w:tcBorders>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45,91</w:t>
            </w:r>
          </w:p>
        </w:tc>
      </w:tr>
      <w:tr w:rsidR="00315335" w:rsidRPr="00315335" w:rsidTr="00916B06">
        <w:trPr>
          <w:trHeight w:val="255"/>
          <w:jc w:val="center"/>
        </w:trPr>
        <w:tc>
          <w:tcPr>
            <w:tcW w:w="897" w:type="pct"/>
            <w:vMerge w:val="restart"/>
            <w:tcBorders>
              <w:left w:val="single" w:sz="12" w:space="0" w:color="000000"/>
              <w:right w:val="single" w:sz="6" w:space="0" w:color="000000"/>
            </w:tcBorders>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PM</w:t>
            </w:r>
            <w:r w:rsidRPr="00315335">
              <w:rPr>
                <w:rFonts w:ascii="Arial" w:hAnsi="Arial" w:cs="Arial"/>
                <w:vertAlign w:val="subscript"/>
              </w:rPr>
              <w:t>10</w:t>
            </w:r>
            <w:r w:rsidRPr="00315335">
              <w:rPr>
                <w:rFonts w:ascii="Arial" w:hAnsi="Arial" w:cs="Arial"/>
              </w:rPr>
              <w:t xml:space="preserve"> grv.</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 xml:space="preserve">19,52  </w:t>
            </w:r>
          </w:p>
        </w:tc>
        <w:tc>
          <w:tcPr>
            <w:tcW w:w="1206" w:type="pct"/>
            <w:vMerge w:val="restart"/>
            <w:tcBorders>
              <w:top w:val="single" w:sz="6" w:space="0" w:color="000000"/>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18,08</w:t>
            </w:r>
          </w:p>
        </w:tc>
      </w:tr>
      <w:tr w:rsidR="00315335" w:rsidRPr="00315335" w:rsidTr="00916B06">
        <w:trPr>
          <w:trHeight w:val="255"/>
          <w:jc w:val="center"/>
        </w:trPr>
        <w:tc>
          <w:tcPr>
            <w:tcW w:w="897" w:type="pct"/>
            <w:vMerge/>
            <w:tcBorders>
              <w:left w:val="single" w:sz="12"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10,17</w:t>
            </w:r>
          </w:p>
        </w:tc>
        <w:tc>
          <w:tcPr>
            <w:tcW w:w="1206" w:type="pct"/>
            <w:vMerge/>
            <w:tcBorders>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33,97</w:t>
            </w:r>
          </w:p>
        </w:tc>
      </w:tr>
      <w:tr w:rsidR="00315335" w:rsidRPr="00315335" w:rsidTr="00916B06">
        <w:trPr>
          <w:trHeight w:val="255"/>
          <w:jc w:val="center"/>
        </w:trPr>
        <w:tc>
          <w:tcPr>
            <w:tcW w:w="897" w:type="pct"/>
            <w:vMerge/>
            <w:tcBorders>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22,72</w:t>
            </w:r>
          </w:p>
        </w:tc>
        <w:tc>
          <w:tcPr>
            <w:tcW w:w="1206" w:type="pct"/>
            <w:vMerge/>
            <w:tcBorders>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35,61</w:t>
            </w:r>
          </w:p>
        </w:tc>
      </w:tr>
      <w:tr w:rsidR="00315335" w:rsidRPr="00315335" w:rsidTr="00916B06">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vertAlign w:val="subscript"/>
              </w:rPr>
            </w:pPr>
            <w:r w:rsidRPr="00315335">
              <w:rPr>
                <w:rFonts w:ascii="Arial" w:hAnsi="Arial" w:cs="Arial"/>
              </w:rPr>
              <w:t>O</w:t>
            </w:r>
            <w:r w:rsidRPr="00315335">
              <w:rPr>
                <w:rFonts w:ascii="Arial" w:hAnsi="Arial" w:cs="Arial"/>
                <w:vertAlign w:val="subscript"/>
              </w:rPr>
              <w:t>3</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75,92</w:t>
            </w:r>
          </w:p>
        </w:tc>
        <w:tc>
          <w:tcPr>
            <w:tcW w:w="1206" w:type="pct"/>
            <w:vMerge w:val="restart"/>
            <w:tcBorders>
              <w:top w:val="single" w:sz="6" w:space="0" w:color="000000"/>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63,61</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57,23</w:t>
            </w:r>
          </w:p>
        </w:tc>
        <w:tc>
          <w:tcPr>
            <w:tcW w:w="1206" w:type="pct"/>
            <w:vMerge/>
            <w:tcBorders>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94,20</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w:t>
            </w:r>
          </w:p>
        </w:tc>
        <w:tc>
          <w:tcPr>
            <w:tcW w:w="1206" w:type="pct"/>
            <w:vMerge/>
            <w:tcBorders>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w:t>
            </w:r>
          </w:p>
        </w:tc>
      </w:tr>
      <w:tr w:rsidR="00315335" w:rsidRPr="00315335" w:rsidTr="00916B06">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vertAlign w:val="subscript"/>
              </w:rPr>
            </w:pPr>
            <w:r w:rsidRPr="00315335">
              <w:rPr>
                <w:rFonts w:ascii="Arial" w:hAnsi="Arial" w:cs="Arial"/>
              </w:rPr>
              <w:t>NO</w:t>
            </w:r>
            <w:r w:rsidRPr="00315335">
              <w:rPr>
                <w:rFonts w:ascii="Arial" w:hAnsi="Arial" w:cs="Arial"/>
                <w:vertAlign w:val="subscript"/>
              </w:rPr>
              <w:t>2</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18,42</w:t>
            </w:r>
          </w:p>
        </w:tc>
        <w:tc>
          <w:tcPr>
            <w:tcW w:w="1206" w:type="pct"/>
            <w:vMerge w:val="restart"/>
            <w:tcBorders>
              <w:top w:val="single" w:sz="6" w:space="0" w:color="000000"/>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95,65</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 xml:space="preserve">16,30  </w:t>
            </w:r>
          </w:p>
        </w:tc>
        <w:tc>
          <w:tcPr>
            <w:tcW w:w="1206" w:type="pct"/>
            <w:vMerge/>
            <w:tcBorders>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81,39</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25,51</w:t>
            </w:r>
          </w:p>
        </w:tc>
        <w:tc>
          <w:tcPr>
            <w:tcW w:w="1206" w:type="pct"/>
            <w:vMerge/>
            <w:tcBorders>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95,22</w:t>
            </w:r>
          </w:p>
        </w:tc>
      </w:tr>
      <w:tr w:rsidR="00315335" w:rsidRPr="00315335" w:rsidTr="00916B06">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vertAlign w:val="subscript"/>
              </w:rPr>
            </w:pPr>
            <w:r w:rsidRPr="00315335">
              <w:rPr>
                <w:rFonts w:ascii="Arial" w:hAnsi="Arial" w:cs="Arial"/>
              </w:rPr>
              <w:t>NO</w:t>
            </w:r>
            <w:r w:rsidRPr="00315335">
              <w:rPr>
                <w:rFonts w:ascii="Arial" w:hAnsi="Arial" w:cs="Arial"/>
                <w:vertAlign w:val="subscript"/>
              </w:rPr>
              <w:t>x</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28,28</w:t>
            </w:r>
          </w:p>
        </w:tc>
        <w:tc>
          <w:tcPr>
            <w:tcW w:w="1206" w:type="pct"/>
            <w:vMerge w:val="restart"/>
            <w:tcBorders>
              <w:top w:val="single" w:sz="6" w:space="0" w:color="000000"/>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95,65</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18,90</w:t>
            </w:r>
          </w:p>
        </w:tc>
        <w:tc>
          <w:tcPr>
            <w:tcW w:w="1206" w:type="pct"/>
            <w:vMerge/>
            <w:tcBorders>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81,44</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40,99</w:t>
            </w:r>
          </w:p>
        </w:tc>
        <w:tc>
          <w:tcPr>
            <w:tcW w:w="1206" w:type="pct"/>
            <w:vMerge/>
            <w:tcBorders>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95,22</w:t>
            </w:r>
          </w:p>
        </w:tc>
      </w:tr>
      <w:tr w:rsidR="00315335" w:rsidRPr="00315335" w:rsidTr="00916B06">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CO</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0,09</w:t>
            </w:r>
          </w:p>
        </w:tc>
        <w:tc>
          <w:tcPr>
            <w:tcW w:w="1206" w:type="pct"/>
            <w:vMerge w:val="restart"/>
            <w:tcBorders>
              <w:top w:val="single" w:sz="6" w:space="0" w:color="000000"/>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(mg/mc)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94,60</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rPr>
            </w:pPr>
            <w:r w:rsidRPr="00315335">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0,08</w:t>
            </w:r>
          </w:p>
        </w:tc>
        <w:tc>
          <w:tcPr>
            <w:tcW w:w="1206" w:type="pct"/>
            <w:vMerge/>
            <w:tcBorders>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95,64</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0,14</w:t>
            </w:r>
          </w:p>
        </w:tc>
        <w:tc>
          <w:tcPr>
            <w:tcW w:w="1206" w:type="pct"/>
            <w:vMerge/>
            <w:tcBorders>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93,58</w:t>
            </w:r>
          </w:p>
        </w:tc>
      </w:tr>
      <w:tr w:rsidR="00315335" w:rsidRPr="00315335" w:rsidTr="00916B06">
        <w:trPr>
          <w:trHeight w:val="255"/>
          <w:jc w:val="center"/>
        </w:trPr>
        <w:tc>
          <w:tcPr>
            <w:tcW w:w="897"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Benzen</w:t>
            </w: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Fd urban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1,33</w:t>
            </w:r>
          </w:p>
        </w:tc>
        <w:tc>
          <w:tcPr>
            <w:tcW w:w="1206" w:type="pct"/>
            <w:vMerge w:val="restart"/>
            <w:tcBorders>
              <w:top w:val="single" w:sz="6" w:space="0" w:color="000000"/>
              <w:left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(µg/mc)</w:t>
            </w: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58,57</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In</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1,35</w:t>
            </w:r>
          </w:p>
        </w:tc>
        <w:tc>
          <w:tcPr>
            <w:tcW w:w="1206" w:type="pct"/>
            <w:vMerge/>
            <w:tcBorders>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89,87</w:t>
            </w:r>
          </w:p>
        </w:tc>
      </w:tr>
      <w:tr w:rsidR="00315335" w:rsidRPr="00315335" w:rsidTr="00916B06">
        <w:trPr>
          <w:trHeight w:val="255"/>
          <w:jc w:val="center"/>
        </w:trPr>
        <w:tc>
          <w:tcPr>
            <w:tcW w:w="897"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rPr>
            </w:pPr>
          </w:p>
        </w:tc>
        <w:tc>
          <w:tcPr>
            <w:tcW w:w="828"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T</w:t>
            </w:r>
          </w:p>
        </w:tc>
        <w:tc>
          <w:tcPr>
            <w:tcW w:w="1388" w:type="pct"/>
            <w:tcBorders>
              <w:top w:val="single" w:sz="6" w:space="0" w:color="000000"/>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2,38</w:t>
            </w:r>
          </w:p>
        </w:tc>
        <w:tc>
          <w:tcPr>
            <w:tcW w:w="1206" w:type="pct"/>
            <w:vMerge/>
            <w:tcBorders>
              <w:left w:val="single" w:sz="6" w:space="0" w:color="000000"/>
              <w:bottom w:val="single" w:sz="6" w:space="0" w:color="000000"/>
              <w:right w:val="single" w:sz="12" w:space="0" w:color="000000"/>
            </w:tcBorders>
            <w:vAlign w:val="center"/>
          </w:tcPr>
          <w:p w:rsidR="00F40E00" w:rsidRPr="00315335" w:rsidRDefault="00F40E00" w:rsidP="00916B06">
            <w:pPr>
              <w:spacing w:after="0"/>
              <w:jc w:val="center"/>
              <w:rPr>
                <w:rFonts w:ascii="Arial" w:hAnsi="Arial" w:cs="Arial"/>
              </w:rPr>
            </w:pPr>
          </w:p>
        </w:tc>
        <w:tc>
          <w:tcPr>
            <w:tcW w:w="681" w:type="pct"/>
            <w:tcBorders>
              <w:top w:val="single" w:sz="6" w:space="0" w:color="000000"/>
              <w:left w:val="single" w:sz="6" w:space="0" w:color="000000"/>
              <w:bottom w:val="single" w:sz="6"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30,54</w:t>
            </w:r>
          </w:p>
        </w:tc>
      </w:tr>
      <w:tr w:rsidR="00315335" w:rsidRPr="00315335" w:rsidTr="00916B06">
        <w:trPr>
          <w:trHeight w:val="255"/>
          <w:jc w:val="center"/>
        </w:trPr>
        <w:tc>
          <w:tcPr>
            <w:tcW w:w="897" w:type="pct"/>
            <w:tcBorders>
              <w:top w:val="single" w:sz="6" w:space="0" w:color="000000"/>
              <w:left w:val="single" w:sz="12" w:space="0" w:color="000000"/>
              <w:bottom w:val="single" w:sz="12" w:space="0" w:color="000000"/>
              <w:right w:val="single" w:sz="6" w:space="0" w:color="000000"/>
            </w:tcBorders>
            <w:noWrap/>
            <w:vAlign w:val="center"/>
          </w:tcPr>
          <w:p w:rsidR="00F40E00" w:rsidRPr="00315335" w:rsidRDefault="00F40E00" w:rsidP="00916B06">
            <w:pPr>
              <w:spacing w:after="0"/>
              <w:jc w:val="center"/>
              <w:rPr>
                <w:rFonts w:ascii="Arial" w:hAnsi="Arial" w:cs="Arial"/>
                <w:vertAlign w:val="subscript"/>
              </w:rPr>
            </w:pPr>
            <w:r w:rsidRPr="00315335">
              <w:rPr>
                <w:rFonts w:ascii="Arial" w:hAnsi="Arial" w:cs="Arial"/>
              </w:rPr>
              <w:t>PM</w:t>
            </w:r>
            <w:r w:rsidRPr="00315335">
              <w:rPr>
                <w:rFonts w:ascii="Arial" w:hAnsi="Arial" w:cs="Arial"/>
                <w:vertAlign w:val="subscript"/>
              </w:rPr>
              <w:t>2.5</w:t>
            </w:r>
          </w:p>
        </w:tc>
        <w:tc>
          <w:tcPr>
            <w:tcW w:w="828" w:type="pct"/>
            <w:tcBorders>
              <w:top w:val="single" w:sz="6" w:space="0" w:color="000000"/>
              <w:left w:val="single" w:sz="6" w:space="0" w:color="000000"/>
              <w:bottom w:val="single" w:sz="12" w:space="0" w:color="000000"/>
              <w:right w:val="single" w:sz="6" w:space="0" w:color="000000"/>
            </w:tcBorders>
            <w:noWrap/>
            <w:vAlign w:val="center"/>
          </w:tcPr>
          <w:p w:rsidR="00F40E00" w:rsidRPr="00315335" w:rsidRDefault="00F40E00" w:rsidP="00916B06">
            <w:pPr>
              <w:spacing w:after="0"/>
              <w:jc w:val="center"/>
              <w:rPr>
                <w:rFonts w:ascii="Arial" w:hAnsi="Arial" w:cs="Arial"/>
              </w:rPr>
            </w:pPr>
            <w:r w:rsidRPr="00315335">
              <w:rPr>
                <w:rFonts w:ascii="Arial" w:hAnsi="Arial" w:cs="Arial"/>
              </w:rPr>
              <w:t>Fd urban</w:t>
            </w:r>
          </w:p>
        </w:tc>
        <w:tc>
          <w:tcPr>
            <w:tcW w:w="1388" w:type="pct"/>
            <w:tcBorders>
              <w:top w:val="single" w:sz="6" w:space="0" w:color="000000"/>
              <w:left w:val="single" w:sz="6" w:space="0" w:color="000000"/>
              <w:bottom w:val="single" w:sz="12"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12,51</w:t>
            </w:r>
          </w:p>
        </w:tc>
        <w:tc>
          <w:tcPr>
            <w:tcW w:w="1206" w:type="pct"/>
            <w:tcBorders>
              <w:top w:val="single" w:sz="6" w:space="0" w:color="000000"/>
              <w:left w:val="single" w:sz="6" w:space="0" w:color="000000"/>
              <w:bottom w:val="single" w:sz="12" w:space="0" w:color="000000"/>
              <w:right w:val="single" w:sz="12" w:space="0" w:color="000000"/>
            </w:tcBorders>
            <w:vAlign w:val="center"/>
          </w:tcPr>
          <w:p w:rsidR="00F40E00" w:rsidRPr="00315335" w:rsidRDefault="00F40E00" w:rsidP="00916B06">
            <w:pPr>
              <w:spacing w:after="0"/>
              <w:jc w:val="center"/>
              <w:rPr>
                <w:rFonts w:ascii="Arial" w:hAnsi="Arial" w:cs="Arial"/>
              </w:rPr>
            </w:pPr>
            <w:r w:rsidRPr="00315335">
              <w:rPr>
                <w:rFonts w:ascii="Arial" w:hAnsi="Arial" w:cs="Arial"/>
              </w:rPr>
              <w:t>(µg/mc)</w:t>
            </w:r>
          </w:p>
        </w:tc>
        <w:tc>
          <w:tcPr>
            <w:tcW w:w="681" w:type="pct"/>
            <w:tcBorders>
              <w:top w:val="single" w:sz="6" w:space="0" w:color="000000"/>
              <w:left w:val="single" w:sz="6" w:space="0" w:color="000000"/>
              <w:bottom w:val="single" w:sz="12" w:space="0" w:color="000000"/>
              <w:right w:val="single" w:sz="12" w:space="0" w:color="000000"/>
            </w:tcBorders>
            <w:shd w:val="clear" w:color="auto" w:fill="auto"/>
          </w:tcPr>
          <w:p w:rsidR="00F40E00" w:rsidRPr="00315335" w:rsidRDefault="00F40E00" w:rsidP="00916B06">
            <w:pPr>
              <w:spacing w:after="0"/>
              <w:jc w:val="center"/>
              <w:rPr>
                <w:rFonts w:ascii="Arial" w:hAnsi="Arial" w:cs="Arial"/>
              </w:rPr>
            </w:pPr>
            <w:r w:rsidRPr="00315335">
              <w:rPr>
                <w:rFonts w:ascii="Arial" w:hAnsi="Arial" w:cs="Arial"/>
              </w:rPr>
              <w:t>56,16</w:t>
            </w:r>
          </w:p>
        </w:tc>
      </w:tr>
    </w:tbl>
    <w:p w:rsidR="00F40E00" w:rsidRPr="00315335" w:rsidRDefault="00F40E00" w:rsidP="00F40E00">
      <w:pPr>
        <w:tabs>
          <w:tab w:val="left" w:pos="709"/>
        </w:tabs>
        <w:spacing w:line="240" w:lineRule="auto"/>
        <w:jc w:val="both"/>
        <w:rPr>
          <w:rFonts w:ascii="Arial" w:hAnsi="Arial" w:cs="Arial"/>
          <w:sz w:val="24"/>
          <w:szCs w:val="24"/>
        </w:rPr>
      </w:pPr>
      <w:r w:rsidRPr="00315335">
        <w:rPr>
          <w:rFonts w:ascii="Arial" w:hAnsi="Arial" w:cs="Arial"/>
          <w:sz w:val="24"/>
          <w:szCs w:val="24"/>
        </w:rPr>
        <w:tab/>
      </w:r>
      <w:r w:rsidRPr="00315335">
        <w:rPr>
          <w:rFonts w:ascii="Arial" w:hAnsi="Arial" w:cs="Arial"/>
          <w:sz w:val="24"/>
          <w:szCs w:val="24"/>
        </w:rPr>
        <w:tab/>
      </w:r>
    </w:p>
    <w:p w:rsidR="00F40E00" w:rsidRPr="00315335" w:rsidRDefault="00F40E00" w:rsidP="00F40E00">
      <w:pPr>
        <w:tabs>
          <w:tab w:val="left" w:pos="709"/>
        </w:tabs>
        <w:spacing w:line="240" w:lineRule="auto"/>
        <w:jc w:val="both"/>
        <w:rPr>
          <w:rFonts w:ascii="Arial" w:hAnsi="Arial" w:cs="Arial"/>
          <w:sz w:val="24"/>
          <w:szCs w:val="24"/>
        </w:rPr>
      </w:pPr>
      <w:r w:rsidRPr="00315335">
        <w:rPr>
          <w:rFonts w:ascii="Arial" w:hAnsi="Arial" w:cs="Arial"/>
          <w:sz w:val="24"/>
          <w:szCs w:val="24"/>
        </w:rPr>
        <w:lastRenderedPageBreak/>
        <w:tab/>
        <w:t>Din cauza defecţiunilor apărute la echipamentele de măsurare în cursul anului 2018 (contractul de servicii pentru întreţinere</w:t>
      </w:r>
      <w:r w:rsidRPr="00315335">
        <w:rPr>
          <w:rFonts w:ascii="Arial" w:hAnsi="Arial" w:cs="Arial"/>
          <w:sz w:val="24"/>
          <w:szCs w:val="24"/>
          <w:lang w:val="en-US"/>
        </w:rPr>
        <w:t>/</w:t>
      </w:r>
      <w:r w:rsidRPr="00315335">
        <w:rPr>
          <w:rFonts w:ascii="Arial" w:hAnsi="Arial" w:cs="Arial"/>
          <w:sz w:val="24"/>
          <w:szCs w:val="24"/>
        </w:rPr>
        <w:t>reparare echipamente din staţiile de monitorizare calitate aer, a expirat în luna decembrie 2017), pentru unii poluanţi datele colectate au fost insuficiente şi nu sunt îndeplinite cerinţele de agregare a datelor şi/sau obiectivele de calitate în conformitate cu Legea nr.104/2011, privind calitatea aerului înconjurător, drept pentru care, datele prezentate au caracter orientativ.</w:t>
      </w:r>
    </w:p>
    <w:p w:rsidR="00F40E00" w:rsidRPr="00315335" w:rsidRDefault="00F40E00" w:rsidP="00F40E00">
      <w:pPr>
        <w:widowControl w:val="0"/>
        <w:spacing w:after="0" w:line="240" w:lineRule="auto"/>
        <w:jc w:val="both"/>
        <w:rPr>
          <w:rFonts w:ascii="Arial" w:eastAsia="Times New Roman" w:hAnsi="Arial" w:cs="Arial"/>
          <w:i/>
          <w:sz w:val="24"/>
          <w:szCs w:val="24"/>
        </w:rPr>
      </w:pPr>
      <w:r w:rsidRPr="00315335">
        <w:rPr>
          <w:rFonts w:ascii="Arial" w:eastAsia="Times New Roman" w:hAnsi="Arial" w:cs="Arial"/>
          <w:i/>
          <w:sz w:val="24"/>
          <w:szCs w:val="24"/>
          <w:u w:val="single"/>
        </w:rPr>
        <w:t>NOTĂ:</w:t>
      </w:r>
      <w:r w:rsidRPr="00315335">
        <w:rPr>
          <w:rFonts w:ascii="Arial" w:eastAsia="Times New Roman" w:hAnsi="Arial" w:cs="Arial"/>
          <w:i/>
          <w:sz w:val="24"/>
          <w:szCs w:val="24"/>
        </w:rPr>
        <w:t xml:space="preserve"> Datele rezultate din monitorizarea calităţii aerului în cele 5 staţii de monitorizare automată prezentate în cadrul acestui capitol au fost validate local dar nu au fost încă certificate la nivel naţional, având încă un caracter provizoriu. După certificarea datelor de către CECA - ANPM, se vor realiza eventualele modificări necesare.</w:t>
      </w:r>
    </w:p>
    <w:p w:rsidR="00F40E00" w:rsidRPr="00315335" w:rsidRDefault="00F40E00" w:rsidP="00F40E00">
      <w:pPr>
        <w:tabs>
          <w:tab w:val="left" w:pos="709"/>
        </w:tabs>
        <w:spacing w:after="0" w:line="240" w:lineRule="auto"/>
        <w:ind w:left="720" w:right="31"/>
        <w:rPr>
          <w:rFonts w:ascii="Arial" w:hAnsi="Arial" w:cs="Arial"/>
          <w:b/>
          <w:sz w:val="24"/>
          <w:szCs w:val="24"/>
        </w:rPr>
      </w:pPr>
    </w:p>
    <w:p w:rsidR="00F40E00" w:rsidRPr="00315335" w:rsidRDefault="00F40E00" w:rsidP="00F40E00">
      <w:pPr>
        <w:tabs>
          <w:tab w:val="left" w:pos="709"/>
        </w:tabs>
        <w:spacing w:after="0" w:line="240" w:lineRule="auto"/>
        <w:ind w:left="720" w:right="31"/>
        <w:rPr>
          <w:rFonts w:ascii="Arial" w:hAnsi="Arial" w:cs="Arial"/>
          <w:b/>
          <w:sz w:val="24"/>
          <w:szCs w:val="24"/>
        </w:rPr>
      </w:pPr>
      <w:r w:rsidRPr="00315335">
        <w:rPr>
          <w:rFonts w:ascii="Arial" w:hAnsi="Arial" w:cs="Arial"/>
          <w:b/>
          <w:sz w:val="24"/>
          <w:szCs w:val="24"/>
        </w:rPr>
        <w:t>I.1.1.1.1.Dioxidul de azot</w:t>
      </w:r>
    </w:p>
    <w:p w:rsidR="00F40E00" w:rsidRPr="00315335" w:rsidRDefault="00F40E00" w:rsidP="00F40E00">
      <w:pPr>
        <w:pStyle w:val="Corptext"/>
        <w:spacing w:after="0" w:line="240" w:lineRule="auto"/>
        <w:ind w:firstLine="720"/>
        <w:jc w:val="both"/>
        <w:rPr>
          <w:rFonts w:ascii="Arial" w:hAnsi="Arial" w:cs="Arial"/>
          <w:b/>
          <w:sz w:val="24"/>
          <w:szCs w:val="24"/>
          <w:lang w:val="ro-RO"/>
        </w:rPr>
      </w:pPr>
      <w:r w:rsidRPr="00315335">
        <w:rPr>
          <w:rFonts w:ascii="Arial" w:hAnsi="Arial" w:cs="Arial"/>
          <w:sz w:val="24"/>
          <w:szCs w:val="24"/>
          <w:lang w:val="ro-RO"/>
        </w:rPr>
        <w:t xml:space="preserve">Oxizii de azot provin în principal din arderea combustibililor solizi, lichizi şi gazoşi în diferite instalaţii industriale, rezidenţiale, comerciale, instituţionale şi din transportul rutier. </w:t>
      </w:r>
      <w:r w:rsidRPr="00315335">
        <w:rPr>
          <w:rFonts w:ascii="Arial" w:hAnsi="Arial" w:cs="Arial"/>
          <w:sz w:val="24"/>
          <w:szCs w:val="24"/>
          <w:lang w:val="ro-RO"/>
        </w:rPr>
        <w:tab/>
        <w:t>Oxizii de azot au efect eutrofizant şi/sau de acidifiere asupra multor componente ale mediului, cum sunt: solul, apele, ecosistemele terestre sau acvatice, dar şi construcţiile şi monumentele.</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Dioxidul de azot este un gaz ce se transportă pe distanţe lungi şi are un rol important în chimia atmosferei, inclusiv în formarea ozonului troposferic. Expunerea la dioxid de azot în concentraţii mari determină inflamaţii ale căilor respiratorii şi reduce funcţiile pulmonare, crescând riscul de afecţiuni respiratorii şi agravând astmul bronşic. </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Concentraţiile de NO2 din aerul înconjurător se evaluează folosind valoarea limită orară pentru protecţia sănătăţii umane (200 µg/mc), care permite a se depăşi de 18 ori/an şi valoarea limită anuală pentru protecţia sănătăţii umane (40 µg/mc), în conformitate cu Legea nr. 104/2011.</w:t>
      </w:r>
    </w:p>
    <w:p w:rsidR="00F40E00" w:rsidRPr="00315335" w:rsidRDefault="00F40E00" w:rsidP="00F40E00">
      <w:pPr>
        <w:spacing w:after="0" w:line="240" w:lineRule="auto"/>
        <w:ind w:firstLine="720"/>
        <w:jc w:val="both"/>
        <w:rPr>
          <w:rFonts w:ascii="Arial" w:hAnsi="Arial" w:cs="Arial"/>
          <w:sz w:val="24"/>
          <w:szCs w:val="24"/>
        </w:rPr>
      </w:pPr>
      <w:r w:rsidRPr="00315335">
        <w:rPr>
          <w:rFonts w:ascii="Arial" w:hAnsi="Arial" w:cs="Arial"/>
          <w:sz w:val="24"/>
          <w:szCs w:val="24"/>
        </w:rPr>
        <w:t>Valoarea limită orară pentru protecţia sănătăţii umane (200 μg/mc), nu a fost depăşită la nicio staţie.</w:t>
      </w:r>
    </w:p>
    <w:p w:rsidR="00F40E00" w:rsidRPr="00315335" w:rsidRDefault="00F40E00" w:rsidP="00F40E00">
      <w:pPr>
        <w:spacing w:after="0" w:line="240" w:lineRule="auto"/>
        <w:ind w:firstLine="720"/>
        <w:jc w:val="both"/>
        <w:rPr>
          <w:rFonts w:ascii="Arial" w:hAnsi="Arial" w:cs="Arial"/>
          <w:sz w:val="24"/>
          <w:szCs w:val="24"/>
        </w:rPr>
      </w:pPr>
      <w:r w:rsidRPr="00315335">
        <w:rPr>
          <w:rFonts w:ascii="Arial" w:hAnsi="Arial" w:cs="Arial"/>
          <w:sz w:val="24"/>
          <w:szCs w:val="24"/>
        </w:rPr>
        <w:t>Nu s-au înregistrat depăşiri ale valorii pragului de alertă (400 μg/mc media pe 1 oră, măsurată 3 ore consecutiv) pentru dioxidului de azot.</w:t>
      </w:r>
    </w:p>
    <w:p w:rsidR="00F40E00" w:rsidRPr="00315335" w:rsidRDefault="00F40E00" w:rsidP="00F40E00">
      <w:pPr>
        <w:tabs>
          <w:tab w:val="left" w:pos="709"/>
        </w:tabs>
        <w:ind w:left="720" w:right="31"/>
        <w:rPr>
          <w:rFonts w:ascii="Arial" w:hAnsi="Arial" w:cs="Arial"/>
          <w:b/>
          <w:sz w:val="24"/>
          <w:szCs w:val="24"/>
        </w:rPr>
      </w:pPr>
    </w:p>
    <w:p w:rsidR="00F40E00" w:rsidRPr="00315335" w:rsidRDefault="00F40E00" w:rsidP="00F40E00">
      <w:pPr>
        <w:tabs>
          <w:tab w:val="left" w:pos="709"/>
        </w:tabs>
        <w:spacing w:after="0" w:line="240" w:lineRule="auto"/>
        <w:ind w:left="720" w:right="31"/>
        <w:jc w:val="center"/>
        <w:rPr>
          <w:rFonts w:ascii="Arial" w:hAnsi="Arial" w:cs="Arial"/>
          <w:sz w:val="24"/>
          <w:szCs w:val="24"/>
        </w:rPr>
      </w:pPr>
      <w:r w:rsidRPr="00315335">
        <w:rPr>
          <w:rFonts w:ascii="Arial" w:hAnsi="Arial" w:cs="Arial"/>
          <w:noProof/>
          <w:sz w:val="24"/>
          <w:szCs w:val="24"/>
        </w:rPr>
        <w:drawing>
          <wp:inline distT="0" distB="0" distL="0" distR="0" wp14:anchorId="46ED9C35" wp14:editId="248E85C8">
            <wp:extent cx="5105400" cy="1504950"/>
            <wp:effectExtent l="0" t="0" r="0" b="0"/>
            <wp:docPr id="12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0E00" w:rsidRPr="00315335" w:rsidRDefault="00F40E00" w:rsidP="00F40E00">
      <w:pPr>
        <w:tabs>
          <w:tab w:val="num" w:pos="0"/>
        </w:tabs>
        <w:spacing w:after="0" w:line="240" w:lineRule="auto"/>
        <w:jc w:val="center"/>
        <w:rPr>
          <w:rFonts w:ascii="Arial" w:hAnsi="Arial" w:cs="Arial"/>
          <w:sz w:val="24"/>
          <w:szCs w:val="24"/>
        </w:rPr>
      </w:pPr>
      <w:r w:rsidRPr="00315335">
        <w:rPr>
          <w:rFonts w:ascii="Arial" w:hAnsi="Arial" w:cs="Arial"/>
          <w:b/>
          <w:sz w:val="24"/>
          <w:szCs w:val="24"/>
        </w:rPr>
        <w:t>Fig.I.1.1.1.1</w:t>
      </w:r>
      <w:r w:rsidRPr="00315335">
        <w:rPr>
          <w:rFonts w:ascii="Arial" w:hAnsi="Arial" w:cs="Arial"/>
          <w:sz w:val="24"/>
          <w:szCs w:val="24"/>
        </w:rPr>
        <w:t>.Concentraţia medie anuală a dioxidului de azot în anul 2018</w:t>
      </w:r>
    </w:p>
    <w:p w:rsidR="00F40E00" w:rsidRPr="00315335" w:rsidRDefault="00F40E00" w:rsidP="00F40E00">
      <w:pPr>
        <w:tabs>
          <w:tab w:val="num" w:pos="0"/>
        </w:tabs>
        <w:spacing w:after="0" w:line="240" w:lineRule="auto"/>
        <w:ind w:firstLine="720"/>
        <w:jc w:val="right"/>
        <w:rPr>
          <w:rFonts w:ascii="Arial" w:hAnsi="Arial" w:cs="Arial"/>
          <w:b/>
          <w:sz w:val="24"/>
          <w:szCs w:val="24"/>
        </w:rPr>
      </w:pPr>
    </w:p>
    <w:p w:rsidR="00F40E00" w:rsidRPr="00315335" w:rsidRDefault="00F40E00" w:rsidP="00F40E00">
      <w:pPr>
        <w:tabs>
          <w:tab w:val="num" w:pos="0"/>
        </w:tabs>
        <w:spacing w:after="0" w:line="240" w:lineRule="auto"/>
        <w:ind w:firstLine="720"/>
        <w:rPr>
          <w:rFonts w:ascii="Arial" w:hAnsi="Arial" w:cs="Arial"/>
          <w:b/>
          <w:sz w:val="24"/>
          <w:szCs w:val="24"/>
        </w:rPr>
      </w:pPr>
      <w:r w:rsidRPr="00315335">
        <w:rPr>
          <w:rFonts w:ascii="Arial" w:hAnsi="Arial" w:cs="Arial"/>
          <w:b/>
          <w:sz w:val="24"/>
          <w:szCs w:val="24"/>
        </w:rPr>
        <w:t xml:space="preserve">       Tabel I.1.1.1.1.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1080"/>
        <w:gridCol w:w="951"/>
        <w:gridCol w:w="1007"/>
        <w:gridCol w:w="951"/>
        <w:gridCol w:w="951"/>
      </w:tblGrid>
      <w:tr w:rsidR="00315335" w:rsidRPr="00315335" w:rsidTr="00916B06">
        <w:trPr>
          <w:jc w:val="center"/>
        </w:trPr>
        <w:tc>
          <w:tcPr>
            <w:tcW w:w="2207" w:type="dxa"/>
            <w:shd w:val="clear" w:color="auto" w:fill="E6E6E6"/>
          </w:tcPr>
          <w:p w:rsidR="00F40E00" w:rsidRPr="00315335" w:rsidRDefault="00F40E00" w:rsidP="00916B06">
            <w:pPr>
              <w:tabs>
                <w:tab w:val="num" w:pos="0"/>
              </w:tabs>
              <w:spacing w:after="0"/>
              <w:rPr>
                <w:rFonts w:ascii="Arial" w:hAnsi="Arial" w:cs="Arial"/>
              </w:rPr>
            </w:pPr>
            <w:r w:rsidRPr="00315335">
              <w:rPr>
                <w:rFonts w:ascii="Arial" w:hAnsi="Arial" w:cs="Arial"/>
                <w:b/>
              </w:rPr>
              <w:t>NO</w:t>
            </w:r>
            <w:r w:rsidRPr="00315335">
              <w:rPr>
                <w:rFonts w:ascii="Arial" w:hAnsi="Arial" w:cs="Arial"/>
                <w:b/>
                <w:vertAlign w:val="subscript"/>
              </w:rPr>
              <w:t>2</w:t>
            </w:r>
            <w:r w:rsidRPr="00315335">
              <w:rPr>
                <w:rFonts w:ascii="Arial" w:hAnsi="Arial" w:cs="Arial"/>
              </w:rPr>
              <w:t xml:space="preserve">    (</w:t>
            </w:r>
            <w:r w:rsidRPr="00315335">
              <w:rPr>
                <w:rFonts w:ascii="Arial" w:hAnsi="Arial" w:cs="Arial"/>
              </w:rPr>
              <w:sym w:font="Symbol" w:char="F06D"/>
            </w:r>
            <w:r w:rsidRPr="00315335">
              <w:rPr>
                <w:rFonts w:ascii="Arial" w:hAnsi="Arial" w:cs="Arial"/>
              </w:rPr>
              <w:t>g/mc)</w:t>
            </w:r>
          </w:p>
        </w:tc>
        <w:tc>
          <w:tcPr>
            <w:tcW w:w="1080" w:type="dxa"/>
            <w:shd w:val="clear" w:color="auto" w:fill="E6E6E6"/>
          </w:tcPr>
          <w:p w:rsidR="00F40E00" w:rsidRPr="00315335" w:rsidRDefault="00F40E00" w:rsidP="00916B06">
            <w:pPr>
              <w:spacing w:after="0"/>
              <w:jc w:val="center"/>
              <w:rPr>
                <w:rFonts w:ascii="Arial" w:hAnsi="Arial" w:cs="Arial"/>
                <w:b/>
              </w:rPr>
            </w:pPr>
            <w:r w:rsidRPr="00315335">
              <w:rPr>
                <w:rFonts w:ascii="Arial" w:hAnsi="Arial" w:cs="Arial"/>
                <w:b/>
              </w:rPr>
              <w:t>BR1</w:t>
            </w:r>
          </w:p>
        </w:tc>
        <w:tc>
          <w:tcPr>
            <w:tcW w:w="951" w:type="dxa"/>
            <w:shd w:val="clear" w:color="auto" w:fill="E6E6E6"/>
          </w:tcPr>
          <w:p w:rsidR="00F40E00" w:rsidRPr="00315335" w:rsidRDefault="00F40E00" w:rsidP="00916B06">
            <w:pPr>
              <w:spacing w:after="0"/>
              <w:jc w:val="center"/>
              <w:rPr>
                <w:rFonts w:ascii="Arial" w:hAnsi="Arial" w:cs="Arial"/>
                <w:b/>
              </w:rPr>
            </w:pPr>
            <w:r w:rsidRPr="00315335">
              <w:rPr>
                <w:rFonts w:ascii="Arial" w:hAnsi="Arial" w:cs="Arial"/>
                <w:b/>
              </w:rPr>
              <w:t>BR2</w:t>
            </w:r>
          </w:p>
        </w:tc>
        <w:tc>
          <w:tcPr>
            <w:tcW w:w="1007" w:type="dxa"/>
            <w:shd w:val="clear" w:color="auto" w:fill="E6E6E6"/>
          </w:tcPr>
          <w:p w:rsidR="00F40E00" w:rsidRPr="00315335" w:rsidRDefault="00F40E00" w:rsidP="00916B06">
            <w:pPr>
              <w:spacing w:after="0"/>
              <w:jc w:val="center"/>
              <w:rPr>
                <w:rFonts w:ascii="Arial" w:hAnsi="Arial" w:cs="Arial"/>
                <w:b/>
              </w:rPr>
            </w:pPr>
            <w:r w:rsidRPr="00315335">
              <w:rPr>
                <w:rFonts w:ascii="Arial" w:hAnsi="Arial" w:cs="Arial"/>
                <w:b/>
              </w:rPr>
              <w:t>BR3</w:t>
            </w:r>
          </w:p>
        </w:tc>
        <w:tc>
          <w:tcPr>
            <w:tcW w:w="951" w:type="dxa"/>
            <w:shd w:val="clear" w:color="auto" w:fill="E6E6E6"/>
          </w:tcPr>
          <w:p w:rsidR="00F40E00" w:rsidRPr="00315335" w:rsidRDefault="00F40E00" w:rsidP="00916B06">
            <w:pPr>
              <w:spacing w:after="0"/>
              <w:jc w:val="center"/>
              <w:rPr>
                <w:rFonts w:ascii="Arial" w:hAnsi="Arial" w:cs="Arial"/>
                <w:b/>
              </w:rPr>
            </w:pPr>
            <w:r w:rsidRPr="00315335">
              <w:rPr>
                <w:rFonts w:ascii="Arial" w:hAnsi="Arial" w:cs="Arial"/>
                <w:b/>
              </w:rPr>
              <w:t>BR4</w:t>
            </w:r>
          </w:p>
        </w:tc>
        <w:tc>
          <w:tcPr>
            <w:tcW w:w="951" w:type="dxa"/>
            <w:shd w:val="clear" w:color="auto" w:fill="E6E6E6"/>
          </w:tcPr>
          <w:p w:rsidR="00F40E00" w:rsidRPr="00315335" w:rsidRDefault="00F40E00" w:rsidP="00916B06">
            <w:pPr>
              <w:spacing w:after="0"/>
              <w:jc w:val="center"/>
              <w:rPr>
                <w:rFonts w:ascii="Arial" w:hAnsi="Arial" w:cs="Arial"/>
                <w:b/>
              </w:rPr>
            </w:pPr>
            <w:r w:rsidRPr="00315335">
              <w:rPr>
                <w:rFonts w:ascii="Arial" w:hAnsi="Arial" w:cs="Arial"/>
                <w:b/>
              </w:rPr>
              <w:t>BR5</w:t>
            </w:r>
          </w:p>
        </w:tc>
      </w:tr>
      <w:tr w:rsidR="00315335" w:rsidRPr="00315335" w:rsidTr="00916B06">
        <w:trPr>
          <w:jc w:val="center"/>
        </w:trPr>
        <w:tc>
          <w:tcPr>
            <w:tcW w:w="2207" w:type="dxa"/>
          </w:tcPr>
          <w:p w:rsidR="00F40E00" w:rsidRPr="00315335" w:rsidRDefault="00F40E00" w:rsidP="00916B06">
            <w:pPr>
              <w:tabs>
                <w:tab w:val="num" w:pos="0"/>
              </w:tabs>
              <w:spacing w:after="0"/>
              <w:jc w:val="center"/>
              <w:rPr>
                <w:rFonts w:ascii="Arial" w:hAnsi="Arial" w:cs="Arial"/>
              </w:rPr>
            </w:pPr>
            <w:r w:rsidRPr="00315335">
              <w:rPr>
                <w:rFonts w:ascii="Arial" w:hAnsi="Arial" w:cs="Arial"/>
              </w:rPr>
              <w:t>2018 Medii anuale</w:t>
            </w:r>
          </w:p>
        </w:tc>
        <w:tc>
          <w:tcPr>
            <w:tcW w:w="1080" w:type="dxa"/>
          </w:tcPr>
          <w:p w:rsidR="00F40E00" w:rsidRPr="00315335" w:rsidRDefault="00F40E00" w:rsidP="00916B06">
            <w:pPr>
              <w:spacing w:after="0"/>
              <w:jc w:val="center"/>
              <w:rPr>
                <w:rFonts w:ascii="Arial" w:hAnsi="Arial" w:cs="Arial"/>
              </w:rPr>
            </w:pPr>
            <w:r w:rsidRPr="00315335">
              <w:rPr>
                <w:rFonts w:ascii="Arial" w:hAnsi="Arial" w:cs="Arial"/>
              </w:rPr>
              <w:t>25,51</w:t>
            </w:r>
          </w:p>
        </w:tc>
        <w:tc>
          <w:tcPr>
            <w:tcW w:w="951" w:type="dxa"/>
          </w:tcPr>
          <w:p w:rsidR="00F40E00" w:rsidRPr="00315335" w:rsidRDefault="00F40E00" w:rsidP="00916B06">
            <w:pPr>
              <w:spacing w:after="0"/>
              <w:jc w:val="center"/>
              <w:rPr>
                <w:rFonts w:ascii="Arial" w:hAnsi="Arial" w:cs="Arial"/>
              </w:rPr>
            </w:pPr>
            <w:r w:rsidRPr="00315335">
              <w:rPr>
                <w:rFonts w:ascii="Arial" w:hAnsi="Arial" w:cs="Arial"/>
              </w:rPr>
              <w:t>18,42</w:t>
            </w:r>
          </w:p>
        </w:tc>
        <w:tc>
          <w:tcPr>
            <w:tcW w:w="1007" w:type="dxa"/>
          </w:tcPr>
          <w:p w:rsidR="00F40E00" w:rsidRPr="00315335" w:rsidRDefault="00F40E00" w:rsidP="00916B06">
            <w:pPr>
              <w:spacing w:after="0"/>
              <w:jc w:val="center"/>
              <w:rPr>
                <w:rFonts w:ascii="Arial" w:hAnsi="Arial" w:cs="Arial"/>
              </w:rPr>
            </w:pPr>
            <w:r w:rsidRPr="00315335">
              <w:rPr>
                <w:rFonts w:ascii="Arial" w:hAnsi="Arial" w:cs="Arial"/>
              </w:rPr>
              <w:t>14,60</w:t>
            </w:r>
          </w:p>
        </w:tc>
        <w:tc>
          <w:tcPr>
            <w:tcW w:w="951" w:type="dxa"/>
          </w:tcPr>
          <w:p w:rsidR="00F40E00" w:rsidRPr="00315335" w:rsidRDefault="00F40E00" w:rsidP="00916B06">
            <w:pPr>
              <w:spacing w:after="0"/>
              <w:jc w:val="center"/>
              <w:rPr>
                <w:rFonts w:ascii="Arial" w:hAnsi="Arial" w:cs="Arial"/>
              </w:rPr>
            </w:pPr>
            <w:r w:rsidRPr="00315335">
              <w:rPr>
                <w:rFonts w:ascii="Arial" w:hAnsi="Arial" w:cs="Arial"/>
              </w:rPr>
              <w:t>16,09</w:t>
            </w:r>
          </w:p>
        </w:tc>
        <w:tc>
          <w:tcPr>
            <w:tcW w:w="951" w:type="dxa"/>
          </w:tcPr>
          <w:p w:rsidR="00F40E00" w:rsidRPr="00315335" w:rsidRDefault="00F40E00" w:rsidP="00916B06">
            <w:pPr>
              <w:spacing w:after="0"/>
              <w:jc w:val="center"/>
              <w:rPr>
                <w:rFonts w:ascii="Arial" w:hAnsi="Arial" w:cs="Arial"/>
              </w:rPr>
            </w:pPr>
            <w:r w:rsidRPr="00315335">
              <w:rPr>
                <w:rFonts w:ascii="Arial" w:hAnsi="Arial" w:cs="Arial"/>
              </w:rPr>
              <w:t>10,08</w:t>
            </w:r>
          </w:p>
        </w:tc>
      </w:tr>
    </w:tbl>
    <w:p w:rsidR="00F40E00" w:rsidRPr="00315335" w:rsidRDefault="00F40E00" w:rsidP="00F40E00">
      <w:pPr>
        <w:tabs>
          <w:tab w:val="num" w:pos="0"/>
        </w:tabs>
        <w:spacing w:after="0"/>
        <w:jc w:val="both"/>
        <w:rPr>
          <w:rFonts w:ascii="Arial" w:hAnsi="Arial" w:cs="Arial"/>
          <w:sz w:val="24"/>
          <w:szCs w:val="24"/>
        </w:rPr>
      </w:pPr>
      <w:r w:rsidRPr="00315335">
        <w:rPr>
          <w:rFonts w:ascii="Arial" w:hAnsi="Arial" w:cs="Arial"/>
          <w:b/>
          <w:sz w:val="24"/>
          <w:szCs w:val="24"/>
          <w:lang w:val="pl-PL"/>
        </w:rPr>
        <w:tab/>
        <w:t>*</w:t>
      </w:r>
      <w:r w:rsidRPr="00315335">
        <w:rPr>
          <w:rFonts w:ascii="Arial" w:hAnsi="Arial" w:cs="Arial"/>
          <w:sz w:val="24"/>
          <w:szCs w:val="24"/>
          <w:lang w:val="pl-PL"/>
        </w:rPr>
        <w:t>Nota – Valoarea medie anuală prezentată pentru staţia BR4 în anul 2018 este orientativă deoarece nu au fost îndeplinite cerinţele privind captura de date minimă.</w:t>
      </w:r>
    </w:p>
    <w:p w:rsidR="00F40E00" w:rsidRPr="00315335" w:rsidRDefault="00F40E00" w:rsidP="00F40E00">
      <w:pPr>
        <w:tabs>
          <w:tab w:val="left" w:pos="709"/>
        </w:tabs>
        <w:spacing w:line="240" w:lineRule="auto"/>
        <w:ind w:right="31"/>
        <w:rPr>
          <w:rFonts w:ascii="Arial" w:hAnsi="Arial" w:cs="Arial"/>
          <w:sz w:val="24"/>
          <w:szCs w:val="24"/>
        </w:rPr>
      </w:pPr>
      <w:r w:rsidRPr="00315335">
        <w:rPr>
          <w:rFonts w:ascii="Arial" w:hAnsi="Arial" w:cs="Arial"/>
          <w:sz w:val="24"/>
          <w:szCs w:val="24"/>
        </w:rPr>
        <w:tab/>
        <w:t>În anul 2018, valorile medii anuale în urma măsurătorilor sunt situate sub valoarea limită de 40 µg/m</w:t>
      </w:r>
      <w:r w:rsidRPr="00315335">
        <w:rPr>
          <w:rFonts w:ascii="Arial" w:hAnsi="Arial" w:cs="Arial"/>
          <w:sz w:val="24"/>
          <w:szCs w:val="24"/>
          <w:vertAlign w:val="superscript"/>
        </w:rPr>
        <w:t>3</w:t>
      </w:r>
      <w:r w:rsidRPr="00315335">
        <w:rPr>
          <w:rFonts w:ascii="Arial" w:hAnsi="Arial" w:cs="Arial"/>
          <w:sz w:val="24"/>
          <w:szCs w:val="24"/>
        </w:rPr>
        <w:t xml:space="preserve"> admisă de către Legea nr.104/2011.</w:t>
      </w:r>
    </w:p>
    <w:p w:rsidR="00F40E00" w:rsidRPr="00315335" w:rsidRDefault="00F40E00" w:rsidP="00F40E00">
      <w:pPr>
        <w:tabs>
          <w:tab w:val="left" w:pos="709"/>
        </w:tabs>
        <w:spacing w:after="0" w:line="240" w:lineRule="auto"/>
        <w:ind w:left="720" w:right="31"/>
        <w:rPr>
          <w:rFonts w:ascii="Arial" w:hAnsi="Arial" w:cs="Arial"/>
          <w:b/>
          <w:sz w:val="24"/>
          <w:szCs w:val="24"/>
        </w:rPr>
      </w:pPr>
      <w:r w:rsidRPr="00315335">
        <w:rPr>
          <w:rFonts w:ascii="Arial" w:hAnsi="Arial" w:cs="Arial"/>
          <w:b/>
          <w:sz w:val="24"/>
          <w:szCs w:val="24"/>
        </w:rPr>
        <w:t>I.1.1.1.2. Dioxid de sulf</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Dioxidul de sulf este un gaz puternic reactiv, provenit în principal din arderea  combustibililor fosili sulfuroşi (cărbuni, păcură) pentru producerea de energie electrică şi termică sau a combustibililor lichizi (motorină) în motoarele cu ardere internă ale autovehiculelor rutiere. </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lastRenderedPageBreak/>
        <w:t>Dioxidul de sulf poate afecta atât sănătatea oamenilor prin efecte asupra sistemului respirator cât şi mediul în general (ecosisteme, materiale, construcţii, monumente) prin efectul de acidifiere.</w:t>
      </w:r>
    </w:p>
    <w:p w:rsidR="00F40E00" w:rsidRPr="00315335" w:rsidRDefault="00F40E00" w:rsidP="00F40E00">
      <w:pPr>
        <w:spacing w:after="0" w:line="240" w:lineRule="auto"/>
        <w:ind w:firstLine="720"/>
        <w:jc w:val="both"/>
        <w:rPr>
          <w:rFonts w:ascii="Arial" w:hAnsi="Arial" w:cs="Arial"/>
          <w:i/>
          <w:sz w:val="24"/>
          <w:szCs w:val="24"/>
        </w:rPr>
      </w:pPr>
      <w:r w:rsidRPr="00315335">
        <w:rPr>
          <w:rFonts w:ascii="Arial" w:hAnsi="Arial" w:cs="Arial"/>
          <w:i/>
          <w:sz w:val="24"/>
          <w:szCs w:val="24"/>
        </w:rPr>
        <w:t>Concentraţiile de SO</w:t>
      </w:r>
      <w:r w:rsidRPr="00315335">
        <w:rPr>
          <w:rFonts w:ascii="Arial" w:hAnsi="Arial" w:cs="Arial"/>
          <w:i/>
          <w:sz w:val="24"/>
          <w:szCs w:val="24"/>
          <w:vertAlign w:val="subscript"/>
        </w:rPr>
        <w:t>2</w:t>
      </w:r>
      <w:r w:rsidRPr="00315335">
        <w:rPr>
          <w:rFonts w:ascii="Arial" w:hAnsi="Arial" w:cs="Arial"/>
          <w:i/>
          <w:sz w:val="24"/>
          <w:szCs w:val="24"/>
        </w:rPr>
        <w:t xml:space="preserve"> din aerul înconjurător se evaluează folosind valoarea limită orară pentru protectia sănătătii umane (350 μg/mc) care nu trebuie depăşită mai mult de 24 ori/an şi valoarea limită zilnică pentru protecţia sănătăţii umane (125 μg/mc) care nu trebuie depăşită mai mult de 3 ori/an.</w:t>
      </w:r>
    </w:p>
    <w:p w:rsidR="00F40E00" w:rsidRPr="00315335" w:rsidRDefault="00F40E00" w:rsidP="00F40E00">
      <w:pPr>
        <w:widowControl w:val="0"/>
        <w:spacing w:after="0" w:line="240" w:lineRule="auto"/>
        <w:jc w:val="both"/>
        <w:rPr>
          <w:rFonts w:ascii="Arial" w:hAnsi="Arial" w:cs="Arial"/>
          <w:i/>
          <w:sz w:val="24"/>
          <w:szCs w:val="24"/>
        </w:rPr>
      </w:pPr>
      <w:r w:rsidRPr="00315335">
        <w:rPr>
          <w:rFonts w:ascii="Arial" w:hAnsi="Arial" w:cs="Arial"/>
          <w:i/>
          <w:sz w:val="24"/>
          <w:szCs w:val="24"/>
        </w:rPr>
        <w:tab/>
        <w:t>Legea nr.104/2011 nu stabileşte valoarea limită anuală pentru dioxidul de sulf, doar valoarea limită orară şi zilnică.</w:t>
      </w:r>
    </w:p>
    <w:p w:rsidR="00F40E00" w:rsidRPr="00315335" w:rsidRDefault="00F40E00" w:rsidP="00F40E00">
      <w:pPr>
        <w:spacing w:after="0" w:line="240" w:lineRule="auto"/>
        <w:ind w:firstLine="720"/>
        <w:jc w:val="both"/>
        <w:rPr>
          <w:rFonts w:ascii="Arial" w:hAnsi="Arial" w:cs="Arial"/>
          <w:b/>
          <w:sz w:val="24"/>
          <w:szCs w:val="24"/>
        </w:rPr>
      </w:pPr>
      <w:r w:rsidRPr="00315335">
        <w:rPr>
          <w:rFonts w:ascii="Arial" w:hAnsi="Arial" w:cs="Arial"/>
          <w:sz w:val="24"/>
          <w:szCs w:val="24"/>
        </w:rPr>
        <w:t>Valoarea maximă orară în anul 2018 a fost de 41,19 μg/m</w:t>
      </w:r>
      <w:r w:rsidRPr="00315335">
        <w:rPr>
          <w:rFonts w:ascii="Arial" w:hAnsi="Arial" w:cs="Arial"/>
          <w:sz w:val="24"/>
          <w:szCs w:val="24"/>
          <w:vertAlign w:val="superscript"/>
        </w:rPr>
        <w:t>3</w:t>
      </w:r>
      <w:r w:rsidRPr="00315335">
        <w:rPr>
          <w:rFonts w:ascii="Arial" w:hAnsi="Arial" w:cs="Arial"/>
          <w:sz w:val="24"/>
          <w:szCs w:val="24"/>
        </w:rPr>
        <w:t>, înregistrată în staţia BR3 în data de 11.02.2018 la ora 06.00, sub valoarea limită orară pentru protecţia sănătăţii umane (350 μg/m</w:t>
      </w:r>
      <w:r w:rsidRPr="00315335">
        <w:rPr>
          <w:rFonts w:ascii="Arial" w:hAnsi="Arial" w:cs="Arial"/>
          <w:sz w:val="24"/>
          <w:szCs w:val="24"/>
          <w:vertAlign w:val="superscript"/>
        </w:rPr>
        <w:t>3</w:t>
      </w:r>
      <w:r w:rsidRPr="00315335">
        <w:rPr>
          <w:rFonts w:ascii="Arial" w:hAnsi="Arial" w:cs="Arial"/>
          <w:sz w:val="24"/>
          <w:szCs w:val="24"/>
        </w:rPr>
        <w:t>) prevăzută în Legea nr.104 din 15 iunie 2011 privind calitatea aerului înconjurător.</w:t>
      </w:r>
    </w:p>
    <w:p w:rsidR="00F40E00" w:rsidRPr="00315335" w:rsidRDefault="00F40E00" w:rsidP="00F40E00">
      <w:pPr>
        <w:spacing w:after="0" w:line="240" w:lineRule="auto"/>
        <w:ind w:firstLine="720"/>
        <w:jc w:val="both"/>
        <w:rPr>
          <w:rFonts w:ascii="Arial" w:hAnsi="Arial" w:cs="Arial"/>
          <w:sz w:val="24"/>
          <w:szCs w:val="24"/>
        </w:rPr>
      </w:pPr>
      <w:r w:rsidRPr="00315335">
        <w:rPr>
          <w:rFonts w:ascii="Arial" w:hAnsi="Arial" w:cs="Arial"/>
          <w:sz w:val="24"/>
          <w:szCs w:val="24"/>
        </w:rPr>
        <w:t>Valoarea maximă zilnică înregistrată în cursul anului 2018 a fost de 16,54 μg/m</w:t>
      </w:r>
      <w:r w:rsidRPr="00315335">
        <w:rPr>
          <w:rFonts w:ascii="Arial" w:hAnsi="Arial" w:cs="Arial"/>
          <w:sz w:val="24"/>
          <w:szCs w:val="24"/>
          <w:vertAlign w:val="superscript"/>
        </w:rPr>
        <w:t>3</w:t>
      </w:r>
      <w:r w:rsidRPr="00315335">
        <w:rPr>
          <w:rFonts w:ascii="Arial" w:hAnsi="Arial" w:cs="Arial"/>
          <w:sz w:val="24"/>
          <w:szCs w:val="24"/>
        </w:rPr>
        <w:t>, înregistrată pe 27.02.2019 în staţia BR4, valoare sub valoarea limită zilnică pentru protecţia sănătăţii umane (</w:t>
      </w:r>
      <w:r w:rsidRPr="00315335">
        <w:rPr>
          <w:rFonts w:ascii="Arial" w:hAnsi="Arial" w:cs="Arial"/>
          <w:bCs/>
          <w:sz w:val="24"/>
          <w:szCs w:val="24"/>
        </w:rPr>
        <w:t>125</w:t>
      </w:r>
      <w:r w:rsidRPr="00315335">
        <w:rPr>
          <w:rFonts w:ascii="Arial" w:hAnsi="Arial" w:cs="Arial"/>
          <w:sz w:val="24"/>
          <w:szCs w:val="24"/>
        </w:rPr>
        <w:t>μg/m</w:t>
      </w:r>
      <w:r w:rsidRPr="00315335">
        <w:rPr>
          <w:rFonts w:ascii="Arial" w:hAnsi="Arial" w:cs="Arial"/>
          <w:sz w:val="24"/>
          <w:szCs w:val="24"/>
          <w:vertAlign w:val="superscript"/>
        </w:rPr>
        <w:t>3</w:t>
      </w:r>
      <w:r w:rsidRPr="00315335">
        <w:rPr>
          <w:rFonts w:ascii="Arial" w:hAnsi="Arial" w:cs="Arial"/>
          <w:sz w:val="24"/>
          <w:szCs w:val="24"/>
        </w:rPr>
        <w:t>) prevăzută în Legea nr.104/2011.</w:t>
      </w:r>
    </w:p>
    <w:p w:rsidR="00F40E00" w:rsidRPr="00315335" w:rsidRDefault="00F40E00" w:rsidP="00F40E00">
      <w:pPr>
        <w:spacing w:after="0" w:line="240" w:lineRule="auto"/>
        <w:ind w:firstLine="720"/>
        <w:jc w:val="both"/>
        <w:rPr>
          <w:rFonts w:ascii="Arial" w:hAnsi="Arial" w:cs="Arial"/>
          <w:b/>
          <w:sz w:val="24"/>
          <w:szCs w:val="24"/>
        </w:rPr>
      </w:pPr>
    </w:p>
    <w:p w:rsidR="00F40E00" w:rsidRPr="00315335" w:rsidRDefault="00F40E00" w:rsidP="00F40E00">
      <w:pPr>
        <w:tabs>
          <w:tab w:val="left" w:pos="709"/>
        </w:tabs>
        <w:spacing w:after="0" w:line="240" w:lineRule="auto"/>
        <w:ind w:left="720" w:right="31"/>
        <w:rPr>
          <w:rFonts w:ascii="Arial" w:hAnsi="Arial" w:cs="Arial"/>
          <w:sz w:val="24"/>
          <w:szCs w:val="24"/>
        </w:rPr>
      </w:pPr>
      <w:r w:rsidRPr="00315335">
        <w:rPr>
          <w:rFonts w:ascii="Arial" w:hAnsi="Arial" w:cs="Arial"/>
          <w:noProof/>
          <w:sz w:val="24"/>
          <w:szCs w:val="24"/>
        </w:rPr>
        <w:drawing>
          <wp:inline distT="0" distB="0" distL="0" distR="0" wp14:anchorId="0AAF0C0C" wp14:editId="786DD949">
            <wp:extent cx="5267325" cy="1809750"/>
            <wp:effectExtent l="0" t="0" r="0" b="0"/>
            <wp:docPr id="12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40E00" w:rsidRPr="00315335" w:rsidRDefault="00F40E00" w:rsidP="00F40E00">
      <w:pPr>
        <w:tabs>
          <w:tab w:val="num" w:pos="0"/>
        </w:tabs>
        <w:spacing w:after="0" w:line="240" w:lineRule="auto"/>
        <w:rPr>
          <w:rFonts w:ascii="Arial" w:hAnsi="Arial" w:cs="Arial"/>
          <w:sz w:val="24"/>
          <w:szCs w:val="24"/>
        </w:rPr>
      </w:pPr>
      <w:r w:rsidRPr="00315335">
        <w:rPr>
          <w:rFonts w:ascii="Arial" w:hAnsi="Arial" w:cs="Arial"/>
          <w:b/>
          <w:sz w:val="24"/>
          <w:szCs w:val="24"/>
        </w:rPr>
        <w:t>Fig. I.1.1.1.2.</w:t>
      </w:r>
      <w:r w:rsidRPr="00315335">
        <w:rPr>
          <w:rFonts w:ascii="Arial" w:hAnsi="Arial" w:cs="Arial"/>
          <w:sz w:val="24"/>
          <w:szCs w:val="24"/>
        </w:rPr>
        <w:t xml:space="preserve"> Concentraţia medie anuală a dioxidului de sulf în anul 2018</w:t>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p>
    <w:p w:rsidR="00F40E00" w:rsidRPr="00315335" w:rsidRDefault="00F40E00" w:rsidP="00F40E00">
      <w:pPr>
        <w:tabs>
          <w:tab w:val="num" w:pos="0"/>
        </w:tabs>
        <w:spacing w:after="0"/>
        <w:jc w:val="right"/>
        <w:rPr>
          <w:rFonts w:ascii="Arial" w:hAnsi="Arial" w:cs="Arial"/>
          <w:b/>
          <w:sz w:val="24"/>
          <w:szCs w:val="24"/>
        </w:rPr>
      </w:pPr>
    </w:p>
    <w:p w:rsidR="00F40E00" w:rsidRPr="00315335" w:rsidRDefault="00F40E00" w:rsidP="00916B06">
      <w:pPr>
        <w:tabs>
          <w:tab w:val="num" w:pos="0"/>
        </w:tabs>
        <w:spacing w:after="0"/>
        <w:jc w:val="center"/>
        <w:rPr>
          <w:rFonts w:ascii="Arial" w:hAnsi="Arial" w:cs="Arial"/>
          <w:b/>
          <w:sz w:val="24"/>
          <w:szCs w:val="24"/>
        </w:rPr>
      </w:pPr>
      <w:r w:rsidRPr="00315335">
        <w:rPr>
          <w:rFonts w:ascii="Arial" w:hAnsi="Arial" w:cs="Arial"/>
          <w:b/>
          <w:sz w:val="24"/>
          <w:szCs w:val="24"/>
        </w:rPr>
        <w:t>Tabel I.1.1.1.2.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1080"/>
        <w:gridCol w:w="1167"/>
        <w:gridCol w:w="1167"/>
        <w:gridCol w:w="1265"/>
        <w:gridCol w:w="1265"/>
      </w:tblGrid>
      <w:tr w:rsidR="00315335" w:rsidRPr="00315335" w:rsidTr="00916B06">
        <w:trPr>
          <w:jc w:val="center"/>
        </w:trPr>
        <w:tc>
          <w:tcPr>
            <w:tcW w:w="2480" w:type="dxa"/>
            <w:shd w:val="clear" w:color="auto" w:fill="E6E6E6"/>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b/>
                <w:sz w:val="24"/>
                <w:szCs w:val="24"/>
              </w:rPr>
              <w:t>SO</w:t>
            </w:r>
            <w:r w:rsidRPr="00315335">
              <w:rPr>
                <w:rFonts w:ascii="Arial" w:hAnsi="Arial" w:cs="Arial"/>
                <w:b/>
                <w:sz w:val="24"/>
                <w:szCs w:val="24"/>
                <w:vertAlign w:val="subscript"/>
              </w:rPr>
              <w:t>2</w:t>
            </w:r>
            <w:r w:rsidRPr="00315335">
              <w:rPr>
                <w:rFonts w:ascii="Arial" w:hAnsi="Arial" w:cs="Arial"/>
                <w:sz w:val="24"/>
                <w:szCs w:val="24"/>
              </w:rPr>
              <w:t xml:space="preserve">  (</w:t>
            </w:r>
            <w:r w:rsidRPr="00315335">
              <w:rPr>
                <w:rFonts w:ascii="Arial" w:hAnsi="Arial" w:cs="Arial"/>
                <w:sz w:val="24"/>
                <w:szCs w:val="24"/>
              </w:rPr>
              <w:sym w:font="Symbol" w:char="F06D"/>
            </w:r>
            <w:r w:rsidRPr="00315335">
              <w:rPr>
                <w:rFonts w:ascii="Arial" w:hAnsi="Arial" w:cs="Arial"/>
                <w:sz w:val="24"/>
                <w:szCs w:val="24"/>
              </w:rPr>
              <w:t>g/mc)</w:t>
            </w:r>
          </w:p>
        </w:tc>
        <w:tc>
          <w:tcPr>
            <w:tcW w:w="1080" w:type="dxa"/>
            <w:shd w:val="clear" w:color="auto" w:fill="E6E6E6"/>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BR1</w:t>
            </w:r>
          </w:p>
        </w:tc>
        <w:tc>
          <w:tcPr>
            <w:tcW w:w="1167" w:type="dxa"/>
            <w:shd w:val="clear" w:color="auto" w:fill="E6E6E6"/>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BR2</w:t>
            </w:r>
          </w:p>
        </w:tc>
        <w:tc>
          <w:tcPr>
            <w:tcW w:w="1167" w:type="dxa"/>
            <w:shd w:val="clear" w:color="auto" w:fill="E6E6E6"/>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BR3</w:t>
            </w:r>
          </w:p>
        </w:tc>
        <w:tc>
          <w:tcPr>
            <w:tcW w:w="1265" w:type="dxa"/>
            <w:shd w:val="clear" w:color="auto" w:fill="E6E6E6"/>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BR4</w:t>
            </w:r>
          </w:p>
        </w:tc>
        <w:tc>
          <w:tcPr>
            <w:tcW w:w="1265" w:type="dxa"/>
            <w:shd w:val="clear" w:color="auto" w:fill="E6E6E6"/>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BR5</w:t>
            </w:r>
          </w:p>
        </w:tc>
      </w:tr>
      <w:tr w:rsidR="00315335" w:rsidRPr="00315335" w:rsidTr="00916B06">
        <w:trPr>
          <w:jc w:val="center"/>
        </w:trPr>
        <w:tc>
          <w:tcPr>
            <w:tcW w:w="2480" w:type="dxa"/>
          </w:tcPr>
          <w:p w:rsidR="00F40E00" w:rsidRPr="00315335" w:rsidRDefault="00F40E00" w:rsidP="00916B06">
            <w:pPr>
              <w:spacing w:after="0" w:line="240" w:lineRule="auto"/>
              <w:rPr>
                <w:rFonts w:ascii="Arial" w:hAnsi="Arial" w:cs="Arial"/>
                <w:sz w:val="24"/>
                <w:szCs w:val="24"/>
              </w:rPr>
            </w:pPr>
            <w:r w:rsidRPr="00315335">
              <w:rPr>
                <w:rFonts w:ascii="Arial" w:hAnsi="Arial" w:cs="Arial"/>
                <w:sz w:val="24"/>
                <w:szCs w:val="24"/>
              </w:rPr>
              <w:t>2018 Medii anuale</w:t>
            </w:r>
          </w:p>
        </w:tc>
        <w:tc>
          <w:tcPr>
            <w:tcW w:w="1080"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sz w:val="24"/>
                <w:szCs w:val="24"/>
              </w:rPr>
            </w:pPr>
            <w:r w:rsidRPr="00315335">
              <w:rPr>
                <w:rFonts w:ascii="Arial" w:eastAsia="Times New Roman" w:hAnsi="Arial" w:cs="Arial"/>
                <w:bCs/>
                <w:sz w:val="24"/>
                <w:szCs w:val="24"/>
              </w:rPr>
              <w:t>5,84</w:t>
            </w:r>
          </w:p>
        </w:tc>
        <w:tc>
          <w:tcPr>
            <w:tcW w:w="1167"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sz w:val="24"/>
                <w:szCs w:val="24"/>
              </w:rPr>
            </w:pPr>
            <w:r w:rsidRPr="00315335">
              <w:rPr>
                <w:rFonts w:ascii="Arial" w:eastAsia="Times New Roman" w:hAnsi="Arial" w:cs="Arial"/>
                <w:bCs/>
                <w:sz w:val="24"/>
                <w:szCs w:val="24"/>
              </w:rPr>
              <w:t>6,27</w:t>
            </w:r>
          </w:p>
        </w:tc>
        <w:tc>
          <w:tcPr>
            <w:tcW w:w="1167"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sz w:val="24"/>
                <w:szCs w:val="24"/>
              </w:rPr>
            </w:pPr>
            <w:r w:rsidRPr="00315335">
              <w:rPr>
                <w:rFonts w:ascii="Arial" w:eastAsia="Times New Roman" w:hAnsi="Arial" w:cs="Arial"/>
                <w:bCs/>
                <w:sz w:val="24"/>
                <w:szCs w:val="24"/>
              </w:rPr>
              <w:t>5,40</w:t>
            </w:r>
          </w:p>
        </w:tc>
        <w:tc>
          <w:tcPr>
            <w:tcW w:w="1265"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sz w:val="24"/>
                <w:szCs w:val="24"/>
              </w:rPr>
            </w:pPr>
            <w:r w:rsidRPr="00315335">
              <w:rPr>
                <w:rFonts w:ascii="Arial" w:eastAsia="Times New Roman" w:hAnsi="Arial" w:cs="Arial"/>
                <w:bCs/>
                <w:sz w:val="24"/>
                <w:szCs w:val="24"/>
              </w:rPr>
              <w:t>5,04</w:t>
            </w:r>
          </w:p>
        </w:tc>
        <w:tc>
          <w:tcPr>
            <w:tcW w:w="1265"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sz w:val="24"/>
                <w:szCs w:val="24"/>
              </w:rPr>
            </w:pPr>
            <w:r w:rsidRPr="00315335">
              <w:rPr>
                <w:rFonts w:ascii="Arial" w:eastAsia="Times New Roman" w:hAnsi="Arial" w:cs="Arial"/>
                <w:bCs/>
                <w:sz w:val="24"/>
                <w:szCs w:val="24"/>
              </w:rPr>
              <w:t>3,74</w:t>
            </w:r>
          </w:p>
        </w:tc>
      </w:tr>
    </w:tbl>
    <w:p w:rsidR="00F40E00" w:rsidRPr="00315335" w:rsidRDefault="00F40E00" w:rsidP="00F40E00">
      <w:pPr>
        <w:tabs>
          <w:tab w:val="num" w:pos="0"/>
        </w:tabs>
        <w:spacing w:after="0"/>
        <w:jc w:val="both"/>
        <w:rPr>
          <w:rFonts w:ascii="Arial" w:hAnsi="Arial" w:cs="Arial"/>
          <w:sz w:val="24"/>
          <w:szCs w:val="24"/>
        </w:rPr>
      </w:pPr>
      <w:r w:rsidRPr="00315335">
        <w:rPr>
          <w:rFonts w:ascii="Arial" w:hAnsi="Arial" w:cs="Arial"/>
          <w:b/>
          <w:sz w:val="24"/>
          <w:szCs w:val="24"/>
          <w:lang w:val="pl-PL"/>
        </w:rPr>
        <w:t>*</w:t>
      </w:r>
      <w:r w:rsidRPr="00315335">
        <w:rPr>
          <w:rFonts w:ascii="Arial" w:hAnsi="Arial" w:cs="Arial"/>
          <w:sz w:val="24"/>
          <w:szCs w:val="24"/>
          <w:lang w:val="pl-PL"/>
        </w:rPr>
        <w:t>Nota – Valoarea medie anuală prezentată pentru staţia BR4 în anul 2018 este orientativă deoarece nu au fost îndeplinite cerinţele privind captura de date minimă</w:t>
      </w:r>
    </w:p>
    <w:p w:rsidR="00F40E00" w:rsidRPr="00315335" w:rsidRDefault="00F40E00" w:rsidP="00F40E00">
      <w:pPr>
        <w:tabs>
          <w:tab w:val="num" w:pos="0"/>
        </w:tabs>
        <w:spacing w:after="0"/>
        <w:rPr>
          <w:rFonts w:ascii="Arial" w:hAnsi="Arial" w:cs="Arial"/>
          <w:sz w:val="24"/>
          <w:szCs w:val="24"/>
          <w:highlight w:val="cyan"/>
        </w:rPr>
      </w:pPr>
    </w:p>
    <w:p w:rsidR="00F40E00" w:rsidRPr="00315335" w:rsidRDefault="00F40E00" w:rsidP="00F40E00">
      <w:pPr>
        <w:tabs>
          <w:tab w:val="num" w:pos="0"/>
        </w:tabs>
        <w:spacing w:after="0" w:line="240" w:lineRule="auto"/>
        <w:jc w:val="both"/>
        <w:rPr>
          <w:rFonts w:ascii="Arial" w:hAnsi="Arial" w:cs="Arial"/>
          <w:b/>
          <w:sz w:val="24"/>
          <w:szCs w:val="24"/>
        </w:rPr>
      </w:pPr>
      <w:r w:rsidRPr="00315335">
        <w:rPr>
          <w:rFonts w:ascii="Arial" w:hAnsi="Arial" w:cs="Arial"/>
          <w:sz w:val="24"/>
          <w:szCs w:val="24"/>
        </w:rPr>
        <w:tab/>
      </w:r>
      <w:r w:rsidRPr="00315335">
        <w:rPr>
          <w:rFonts w:ascii="Arial" w:hAnsi="Arial" w:cs="Arial"/>
          <w:b/>
          <w:sz w:val="24"/>
          <w:szCs w:val="24"/>
        </w:rPr>
        <w:t>I.1.1.1.3. Pulberi în suspensie – PM</w:t>
      </w:r>
      <w:r w:rsidRPr="00315335">
        <w:rPr>
          <w:rFonts w:ascii="Arial" w:hAnsi="Arial" w:cs="Arial"/>
          <w:b/>
          <w:sz w:val="24"/>
          <w:szCs w:val="24"/>
          <w:vertAlign w:val="subscript"/>
        </w:rPr>
        <w:t>10</w:t>
      </w:r>
      <w:r w:rsidRPr="00315335">
        <w:rPr>
          <w:rFonts w:ascii="Arial" w:hAnsi="Arial" w:cs="Arial"/>
          <w:b/>
          <w:sz w:val="24"/>
          <w:szCs w:val="24"/>
        </w:rPr>
        <w:t xml:space="preserve"> şi PM</w:t>
      </w:r>
      <w:r w:rsidRPr="00315335">
        <w:rPr>
          <w:rFonts w:ascii="Arial" w:hAnsi="Arial" w:cs="Arial"/>
          <w:b/>
          <w:sz w:val="24"/>
          <w:szCs w:val="24"/>
          <w:vertAlign w:val="subscript"/>
        </w:rPr>
        <w:t xml:space="preserve">2,5 </w:t>
      </w:r>
      <w:r w:rsidRPr="00315335">
        <w:rPr>
          <w:rFonts w:ascii="Arial" w:hAnsi="Arial" w:cs="Arial"/>
          <w:b/>
          <w:sz w:val="24"/>
          <w:szCs w:val="24"/>
        </w:rPr>
        <w:t>(gravimetric şi nefelometric)</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Particulele în suspensie din atmosferă, sunt poluanţi ce se transportă pe distanţe lungi, proveniţi din cauze naturale, ca de exemplu antrenarea particulelor de la suprafaţa solului de către vânt, sau din surse antropice cum ar fi: arderile din sectorul energetic, procesele de producţie (industria chimică,etc), şantierele de construcţii, transportul rutier, haldele şi depozitele de deşeuri industriale şi municipale, sisteme de încălzire individuale, îndeosebi cele care utilizează combustibili solizi, etc. </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Natura acestor particule este foarte diversă. Astfel, ele pot conţine particule de carbon (funingine), metale grele (plumb, cadmiu, crom, mangan etc.), oxizi de fier, sulfaţi, dar şi alte noxe toxice, unele dintre acestea având efecte cancerigene.</w:t>
      </w:r>
    </w:p>
    <w:p w:rsidR="00F40E00" w:rsidRPr="00315335" w:rsidRDefault="00F40E00" w:rsidP="00F40E00">
      <w:pPr>
        <w:spacing w:after="0" w:line="240" w:lineRule="auto"/>
        <w:ind w:firstLine="720"/>
        <w:jc w:val="both"/>
        <w:rPr>
          <w:rFonts w:ascii="Arial" w:hAnsi="Arial" w:cs="Arial"/>
          <w:sz w:val="24"/>
          <w:szCs w:val="24"/>
        </w:rPr>
      </w:pPr>
      <w:r w:rsidRPr="00315335">
        <w:rPr>
          <w:rFonts w:ascii="Arial" w:hAnsi="Arial" w:cs="Arial"/>
          <w:sz w:val="24"/>
          <w:szCs w:val="24"/>
        </w:rPr>
        <w:t>Monitorizarea particulelor în suspensie s-a realizat pe parcursul anului 2018, în cele cinci staţii automate de monitorizare a calităţii aerului şi a fost urmărită :</w:t>
      </w:r>
    </w:p>
    <w:p w:rsidR="00F40E00" w:rsidRPr="00315335" w:rsidRDefault="00F40E00" w:rsidP="00F40E00">
      <w:pPr>
        <w:numPr>
          <w:ilvl w:val="0"/>
          <w:numId w:val="7"/>
        </w:numPr>
        <w:spacing w:after="0" w:line="240" w:lineRule="auto"/>
        <w:jc w:val="both"/>
        <w:rPr>
          <w:rFonts w:ascii="Arial" w:hAnsi="Arial" w:cs="Arial"/>
          <w:sz w:val="24"/>
          <w:szCs w:val="24"/>
        </w:rPr>
      </w:pPr>
      <w:r w:rsidRPr="00315335">
        <w:rPr>
          <w:rFonts w:ascii="Arial" w:hAnsi="Arial" w:cs="Arial"/>
          <w:sz w:val="24"/>
          <w:szCs w:val="24"/>
        </w:rPr>
        <w:t>fracţia PM</w:t>
      </w:r>
      <w:r w:rsidRPr="00315335">
        <w:rPr>
          <w:rFonts w:ascii="Arial" w:hAnsi="Arial" w:cs="Arial"/>
          <w:sz w:val="24"/>
          <w:szCs w:val="24"/>
          <w:vertAlign w:val="subscript"/>
        </w:rPr>
        <w:t>10</w:t>
      </w:r>
      <w:r w:rsidRPr="00315335">
        <w:rPr>
          <w:rFonts w:ascii="Arial" w:hAnsi="Arial" w:cs="Arial"/>
          <w:sz w:val="24"/>
          <w:szCs w:val="24"/>
        </w:rPr>
        <w:t>, prin măsurări nefelometrice (staţiile BR1, BR2, BR3, BR4, BR5) şi determinări gravimetrice (staţiile BR1, BR2, BR3, BR4).</w:t>
      </w:r>
    </w:p>
    <w:p w:rsidR="00F40E00" w:rsidRPr="00315335" w:rsidRDefault="00F40E00" w:rsidP="00F40E00">
      <w:pPr>
        <w:numPr>
          <w:ilvl w:val="0"/>
          <w:numId w:val="7"/>
        </w:numPr>
        <w:spacing w:after="0" w:line="240" w:lineRule="auto"/>
        <w:jc w:val="both"/>
        <w:rPr>
          <w:rFonts w:ascii="Arial" w:hAnsi="Arial" w:cs="Arial"/>
          <w:sz w:val="24"/>
          <w:szCs w:val="24"/>
        </w:rPr>
      </w:pPr>
      <w:r w:rsidRPr="00315335">
        <w:rPr>
          <w:rFonts w:ascii="Arial" w:hAnsi="Arial" w:cs="Arial"/>
          <w:sz w:val="24"/>
          <w:szCs w:val="24"/>
        </w:rPr>
        <w:t>fracţia PM</w:t>
      </w:r>
      <w:r w:rsidRPr="00315335">
        <w:rPr>
          <w:rFonts w:ascii="Arial" w:hAnsi="Arial" w:cs="Arial"/>
          <w:sz w:val="24"/>
          <w:szCs w:val="24"/>
          <w:vertAlign w:val="subscript"/>
        </w:rPr>
        <w:t xml:space="preserve">2,5 </w:t>
      </w:r>
      <w:r w:rsidRPr="00315335">
        <w:rPr>
          <w:rFonts w:ascii="Arial" w:hAnsi="Arial" w:cs="Arial"/>
          <w:sz w:val="24"/>
          <w:szCs w:val="24"/>
        </w:rPr>
        <w:t>prin determinări gravimetrice la staţia BR2.</w:t>
      </w:r>
    </w:p>
    <w:p w:rsidR="00F40E00" w:rsidRPr="00315335" w:rsidRDefault="00F40E00" w:rsidP="00F40E00">
      <w:pPr>
        <w:autoSpaceDE w:val="0"/>
        <w:autoSpaceDN w:val="0"/>
        <w:adjustRightInd w:val="0"/>
        <w:spacing w:after="0" w:line="240" w:lineRule="auto"/>
        <w:ind w:firstLine="720"/>
        <w:jc w:val="both"/>
        <w:rPr>
          <w:rFonts w:ascii="Arial" w:hAnsi="Arial" w:cs="Arial"/>
          <w:i/>
          <w:sz w:val="24"/>
          <w:szCs w:val="24"/>
          <w:lang w:val="it-IT"/>
        </w:rPr>
      </w:pPr>
      <w:r w:rsidRPr="00315335">
        <w:rPr>
          <w:rFonts w:ascii="Arial" w:hAnsi="Arial" w:cs="Arial"/>
          <w:sz w:val="24"/>
          <w:szCs w:val="24"/>
        </w:rPr>
        <w:t xml:space="preserve">Măsurările automate (prin metoda nefelometrică) au scop informativ, iar depăşirile înregistrate pot fi confirmate/infirmate ulterior de către rezultatul analizei prin metoda de referinţă gravimetrică. </w:t>
      </w:r>
      <w:r w:rsidRPr="00315335">
        <w:rPr>
          <w:rFonts w:ascii="Arial" w:hAnsi="Arial" w:cs="Arial"/>
          <w:sz w:val="24"/>
          <w:szCs w:val="24"/>
          <w:lang w:val="it-IT"/>
        </w:rPr>
        <w:t>Precizăm că măsurările nefelometrice nu constituie bază de prelucrări statistice definitive</w:t>
      </w:r>
      <w:r w:rsidRPr="00315335">
        <w:rPr>
          <w:rFonts w:ascii="Arial" w:hAnsi="Arial" w:cs="Arial"/>
          <w:i/>
          <w:sz w:val="24"/>
          <w:szCs w:val="24"/>
          <w:lang w:val="it-IT"/>
        </w:rPr>
        <w:t xml:space="preserve">. </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lang w:val="it-IT"/>
        </w:rPr>
      </w:pPr>
      <w:r w:rsidRPr="00315335">
        <w:rPr>
          <w:rFonts w:ascii="Arial" w:hAnsi="Arial" w:cs="Arial"/>
          <w:sz w:val="24"/>
          <w:szCs w:val="24"/>
          <w:lang w:val="it-IT"/>
        </w:rPr>
        <w:t>În cazul măsurărilor automate a particulelor PM</w:t>
      </w:r>
      <w:r w:rsidRPr="00315335">
        <w:rPr>
          <w:rFonts w:ascii="Arial" w:hAnsi="Arial" w:cs="Arial"/>
          <w:sz w:val="24"/>
          <w:szCs w:val="24"/>
          <w:vertAlign w:val="subscript"/>
          <w:lang w:val="it-IT"/>
        </w:rPr>
        <w:t>10</w:t>
      </w:r>
      <w:r w:rsidRPr="00315335">
        <w:rPr>
          <w:rFonts w:ascii="Arial" w:hAnsi="Arial" w:cs="Arial"/>
          <w:sz w:val="24"/>
          <w:szCs w:val="24"/>
          <w:lang w:val="it-IT"/>
        </w:rPr>
        <w:t xml:space="preserve"> a fost atins obiectivul de calitate în ceea ce priveşte captura minimă de date conform Anexei 4 la legea 104/2011, la staţiile BR2 – </w:t>
      </w:r>
      <w:r w:rsidRPr="00315335">
        <w:rPr>
          <w:rFonts w:ascii="Arial" w:hAnsi="Arial" w:cs="Arial"/>
          <w:sz w:val="24"/>
          <w:szCs w:val="24"/>
          <w:lang w:val="it-IT"/>
        </w:rPr>
        <w:lastRenderedPageBreak/>
        <w:t>98,60%, BR3 – 92,26%, BR4 – 93,01% şi BR5 – 95,57% din cadrul APM Brăila. Nu a fost atins obiectivul de calitate în ceea ce priveşte captura minimă de date la staţia BR1, unde a fost realizată o captură de date de 45,91%. În cazul măsurărilor gravimetrice nu a fost atins obiectivul de calitate pentru PM</w:t>
      </w:r>
      <w:r w:rsidRPr="00315335">
        <w:rPr>
          <w:rFonts w:ascii="Arial" w:hAnsi="Arial" w:cs="Arial"/>
          <w:sz w:val="24"/>
          <w:szCs w:val="24"/>
          <w:vertAlign w:val="subscript"/>
          <w:lang w:val="it-IT"/>
        </w:rPr>
        <w:t>10</w:t>
      </w:r>
      <w:r w:rsidRPr="00315335">
        <w:rPr>
          <w:rFonts w:ascii="Arial" w:hAnsi="Arial" w:cs="Arial"/>
          <w:sz w:val="24"/>
          <w:szCs w:val="24"/>
          <w:lang w:val="it-IT"/>
        </w:rPr>
        <w:t xml:space="preserve"> la niciuna din staţiile automate de monitorizare, capturile de date realizate fiind următoarele: BR1- 35,61%; BR2 – 18,08%, BR3 – 32,32%, BR4 – 33,97%, iar  pentru particule PM</w:t>
      </w:r>
      <w:r w:rsidRPr="00315335">
        <w:rPr>
          <w:rFonts w:ascii="Arial" w:hAnsi="Arial" w:cs="Arial"/>
          <w:sz w:val="24"/>
          <w:szCs w:val="24"/>
          <w:vertAlign w:val="subscript"/>
          <w:lang w:val="it-IT"/>
        </w:rPr>
        <w:t>2,5</w:t>
      </w:r>
      <w:r w:rsidRPr="00315335">
        <w:rPr>
          <w:rFonts w:ascii="Arial" w:hAnsi="Arial" w:cs="Arial"/>
          <w:sz w:val="24"/>
          <w:szCs w:val="24"/>
          <w:lang w:val="it-IT"/>
        </w:rPr>
        <w:t xml:space="preserve"> s-a realizat în staţia BR2 o captură de 56,16%.</w:t>
      </w:r>
    </w:p>
    <w:p w:rsidR="00F40E00" w:rsidRPr="00315335" w:rsidRDefault="00F40E00" w:rsidP="00F40E00">
      <w:pPr>
        <w:spacing w:after="0" w:line="240" w:lineRule="auto"/>
        <w:ind w:firstLine="720"/>
        <w:jc w:val="both"/>
        <w:rPr>
          <w:rFonts w:ascii="Arial" w:hAnsi="Arial" w:cs="Arial"/>
          <w:b/>
          <w:i/>
          <w:sz w:val="24"/>
          <w:szCs w:val="24"/>
          <w:lang w:val="fr-FR"/>
        </w:rPr>
      </w:pPr>
      <w:r w:rsidRPr="00315335">
        <w:rPr>
          <w:rFonts w:ascii="Arial" w:hAnsi="Arial" w:cs="Arial"/>
          <w:i/>
          <w:sz w:val="24"/>
          <w:szCs w:val="24"/>
          <w:lang w:val="fr-FR"/>
        </w:rPr>
        <w:t>Concentraţiile de particule în suspensie PM</w:t>
      </w:r>
      <w:r w:rsidRPr="00315335">
        <w:rPr>
          <w:rFonts w:ascii="Arial" w:hAnsi="Arial" w:cs="Arial"/>
          <w:i/>
          <w:sz w:val="24"/>
          <w:szCs w:val="24"/>
          <w:vertAlign w:val="subscript"/>
          <w:lang w:val="fr-FR"/>
        </w:rPr>
        <w:t>10</w:t>
      </w:r>
      <w:r w:rsidRPr="00315335">
        <w:rPr>
          <w:rFonts w:ascii="Arial" w:hAnsi="Arial" w:cs="Arial"/>
          <w:i/>
          <w:sz w:val="24"/>
          <w:szCs w:val="24"/>
          <w:lang w:val="fr-FR"/>
        </w:rPr>
        <w:t xml:space="preserve"> din aerul înconjurător se evaluează, conform Legii nr. 104/2011, folosind </w:t>
      </w:r>
      <w:r w:rsidRPr="00315335">
        <w:rPr>
          <w:rFonts w:ascii="Arial" w:hAnsi="Arial" w:cs="Arial"/>
          <w:i/>
          <w:iCs/>
          <w:sz w:val="24"/>
          <w:szCs w:val="24"/>
          <w:lang w:val="fr-FR"/>
        </w:rPr>
        <w:t>valoarea limită zilnică (</w:t>
      </w:r>
      <w:r w:rsidRPr="00315335">
        <w:rPr>
          <w:rFonts w:ascii="Arial" w:hAnsi="Arial" w:cs="Arial"/>
          <w:b/>
          <w:i/>
          <w:iCs/>
          <w:sz w:val="24"/>
          <w:szCs w:val="24"/>
          <w:lang w:val="fr-FR"/>
        </w:rPr>
        <w:t xml:space="preserve">50 </w:t>
      </w:r>
      <w:r w:rsidRPr="00315335">
        <w:rPr>
          <w:rFonts w:ascii="Arial" w:hAnsi="Arial" w:cs="Arial"/>
          <w:b/>
          <w:i/>
          <w:iCs/>
          <w:sz w:val="24"/>
          <w:szCs w:val="24"/>
        </w:rPr>
        <w:t>μ</w:t>
      </w:r>
      <w:r w:rsidRPr="00315335">
        <w:rPr>
          <w:rFonts w:ascii="Arial" w:hAnsi="Arial" w:cs="Arial"/>
          <w:b/>
          <w:i/>
          <w:iCs/>
          <w:sz w:val="24"/>
          <w:szCs w:val="24"/>
          <w:lang w:val="fr-FR"/>
        </w:rPr>
        <w:t>g/mc</w:t>
      </w:r>
      <w:r w:rsidRPr="00315335">
        <w:rPr>
          <w:rFonts w:ascii="Arial" w:hAnsi="Arial" w:cs="Arial"/>
          <w:i/>
          <w:iCs/>
          <w:sz w:val="24"/>
          <w:szCs w:val="24"/>
          <w:lang w:val="fr-FR"/>
        </w:rPr>
        <w:t xml:space="preserve">) </w:t>
      </w:r>
      <w:r w:rsidRPr="00315335">
        <w:rPr>
          <w:rFonts w:ascii="Arial" w:hAnsi="Arial" w:cs="Arial"/>
          <w:i/>
          <w:sz w:val="24"/>
          <w:szCs w:val="24"/>
          <w:lang w:val="fr-FR"/>
        </w:rPr>
        <w:t xml:space="preserve">care nu trebuie depăşită mai mult de 35 ori/an şi </w:t>
      </w:r>
      <w:r w:rsidRPr="00315335">
        <w:rPr>
          <w:rFonts w:ascii="Arial" w:hAnsi="Arial" w:cs="Arial"/>
          <w:i/>
          <w:iCs/>
          <w:sz w:val="24"/>
          <w:szCs w:val="24"/>
          <w:lang w:val="fr-FR"/>
        </w:rPr>
        <w:t>valoarea limită anuală, determinată gravimetric (</w:t>
      </w:r>
      <w:r w:rsidRPr="00315335">
        <w:rPr>
          <w:rFonts w:ascii="Arial" w:hAnsi="Arial" w:cs="Arial"/>
          <w:b/>
          <w:i/>
          <w:iCs/>
          <w:sz w:val="24"/>
          <w:szCs w:val="24"/>
          <w:lang w:val="fr-FR"/>
        </w:rPr>
        <w:t xml:space="preserve">40 </w:t>
      </w:r>
      <w:r w:rsidRPr="00315335">
        <w:rPr>
          <w:rFonts w:ascii="Arial" w:hAnsi="Arial" w:cs="Arial"/>
          <w:b/>
          <w:i/>
          <w:iCs/>
          <w:sz w:val="24"/>
          <w:szCs w:val="24"/>
        </w:rPr>
        <w:t>μ</w:t>
      </w:r>
      <w:r w:rsidRPr="00315335">
        <w:rPr>
          <w:rFonts w:ascii="Arial" w:hAnsi="Arial" w:cs="Arial"/>
          <w:b/>
          <w:i/>
          <w:iCs/>
          <w:sz w:val="24"/>
          <w:szCs w:val="24"/>
          <w:lang w:val="fr-FR"/>
        </w:rPr>
        <w:t>g/mc</w:t>
      </w:r>
      <w:r w:rsidRPr="00315335">
        <w:rPr>
          <w:rFonts w:ascii="Arial" w:hAnsi="Arial" w:cs="Arial"/>
          <w:i/>
          <w:iCs/>
          <w:sz w:val="24"/>
          <w:szCs w:val="24"/>
          <w:lang w:val="fr-FR"/>
        </w:rPr>
        <w:t>).</w:t>
      </w:r>
    </w:p>
    <w:p w:rsidR="00F40E00" w:rsidRPr="00315335" w:rsidRDefault="00F40E00" w:rsidP="00F40E00">
      <w:pPr>
        <w:autoSpaceDE w:val="0"/>
        <w:autoSpaceDN w:val="0"/>
        <w:adjustRightInd w:val="0"/>
        <w:spacing w:after="0" w:line="240" w:lineRule="auto"/>
        <w:rPr>
          <w:rFonts w:ascii="Arial" w:hAnsi="Arial" w:cs="Arial"/>
          <w:b/>
          <w:sz w:val="24"/>
          <w:szCs w:val="24"/>
        </w:rPr>
      </w:pPr>
      <w:r w:rsidRPr="00315335">
        <w:rPr>
          <w:rFonts w:ascii="Arial" w:hAnsi="Arial" w:cs="Arial"/>
          <w:b/>
          <w:sz w:val="24"/>
          <w:szCs w:val="24"/>
          <w:lang w:val="fr-FR"/>
        </w:rPr>
        <w:tab/>
      </w:r>
      <w:r w:rsidRPr="00315335">
        <w:rPr>
          <w:rFonts w:ascii="Arial" w:hAnsi="Arial" w:cs="Arial"/>
          <w:sz w:val="24"/>
          <w:szCs w:val="24"/>
          <w:lang w:val="fr-FR"/>
        </w:rPr>
        <w:t xml:space="preserve">Rezultatele monitorizării calităţii aerului în anul 2018 în municipiul Brăila, au evidenţiat </w:t>
      </w:r>
      <w:r w:rsidRPr="00315335">
        <w:rPr>
          <w:rFonts w:ascii="Arial" w:hAnsi="Arial" w:cs="Arial"/>
          <w:sz w:val="24"/>
          <w:szCs w:val="24"/>
        </w:rPr>
        <w:t xml:space="preserve">un număr total de </w:t>
      </w:r>
      <w:r w:rsidRPr="00315335">
        <w:rPr>
          <w:rFonts w:ascii="Arial" w:hAnsi="Arial" w:cs="Arial"/>
          <w:b/>
          <w:bCs/>
          <w:sz w:val="24"/>
          <w:szCs w:val="24"/>
        </w:rPr>
        <w:t xml:space="preserve">17 </w:t>
      </w:r>
      <w:r w:rsidRPr="00315335">
        <w:rPr>
          <w:rFonts w:ascii="Arial" w:hAnsi="Arial" w:cs="Arial"/>
          <w:sz w:val="24"/>
          <w:szCs w:val="24"/>
        </w:rPr>
        <w:t>depăşiri ale valorii limită zilnice pentru protecţia sănătăţii umane la indicatorul particule în suspensie PM</w:t>
      </w:r>
      <w:r w:rsidRPr="00315335">
        <w:rPr>
          <w:rFonts w:ascii="Arial" w:hAnsi="Arial" w:cs="Arial"/>
          <w:sz w:val="24"/>
          <w:szCs w:val="24"/>
          <w:vertAlign w:val="subscript"/>
        </w:rPr>
        <w:t>10</w:t>
      </w:r>
      <w:r w:rsidRPr="00315335">
        <w:rPr>
          <w:rFonts w:ascii="Arial" w:hAnsi="Arial" w:cs="Arial"/>
          <w:sz w:val="24"/>
          <w:szCs w:val="24"/>
        </w:rPr>
        <w:t xml:space="preserve"> înregistrate la staţiile de monitorizare (BR2 – 3 depăşiri, BR3 - 6 depăşiri, BR4 – 2 depăşiri şi BR5 – 6 depăşiri)</w:t>
      </w:r>
      <w:r w:rsidRPr="00315335">
        <w:rPr>
          <w:rFonts w:ascii="Arial" w:hAnsi="Arial" w:cs="Arial"/>
          <w:b/>
          <w:bCs/>
          <w:i/>
          <w:iCs/>
          <w:sz w:val="24"/>
          <w:szCs w:val="24"/>
        </w:rPr>
        <w:t>.</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În anul 2018 se observă că numărul de depăşiri ale valorii limită zilnice la indicatorul particule în suspensie PM</w:t>
      </w:r>
      <w:r w:rsidRPr="00315335">
        <w:rPr>
          <w:rFonts w:ascii="Arial" w:hAnsi="Arial" w:cs="Arial"/>
          <w:sz w:val="24"/>
          <w:szCs w:val="24"/>
          <w:vertAlign w:val="subscript"/>
        </w:rPr>
        <w:t>10</w:t>
      </w:r>
      <w:r w:rsidRPr="00315335">
        <w:rPr>
          <w:rFonts w:ascii="Arial" w:hAnsi="Arial" w:cs="Arial"/>
          <w:sz w:val="24"/>
          <w:szCs w:val="24"/>
        </w:rPr>
        <w:t xml:space="preserve"> s-a situat sub numărul de 35 stabilit conform Legii nr. 104/2011 privind calitatea aerului înconjurător. Trebuie menţionat faptul că în legislaţia în vigoare referitoare la calitatea aerului ambiental este permis un număr maxim de 35 depăşiri ale valorii limită zilnice, într-un an calendaristic, în fiecare punct de monitorizare.</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În anul 2018, rezultatele monitorizării calităţii aerului, în municipiul Brăila, nu a evidenţiat valori care să depăşească valoarea limită anuală la indicatorul </w:t>
      </w:r>
      <w:r w:rsidRPr="00315335">
        <w:rPr>
          <w:rFonts w:ascii="Arial" w:hAnsi="Arial" w:cs="Arial"/>
          <w:i/>
          <w:sz w:val="24"/>
          <w:szCs w:val="24"/>
        </w:rPr>
        <w:t xml:space="preserve">particule în suspensie </w:t>
      </w:r>
      <w:r w:rsidRPr="00315335">
        <w:rPr>
          <w:rFonts w:ascii="Arial" w:hAnsi="Arial" w:cs="Arial"/>
          <w:i/>
          <w:iCs/>
          <w:sz w:val="24"/>
          <w:szCs w:val="24"/>
        </w:rPr>
        <w:t>PM</w:t>
      </w:r>
      <w:r w:rsidRPr="00315335">
        <w:rPr>
          <w:rFonts w:ascii="Arial" w:hAnsi="Arial" w:cs="Arial"/>
          <w:i/>
          <w:iCs/>
          <w:sz w:val="24"/>
          <w:szCs w:val="24"/>
          <w:vertAlign w:val="subscript"/>
        </w:rPr>
        <w:t>10</w:t>
      </w:r>
      <w:r w:rsidRPr="00315335">
        <w:rPr>
          <w:rFonts w:ascii="Arial" w:hAnsi="Arial" w:cs="Arial"/>
          <w:sz w:val="24"/>
          <w:szCs w:val="24"/>
        </w:rPr>
        <w:t>.</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p>
    <w:p w:rsidR="00F40E00" w:rsidRPr="00315335" w:rsidRDefault="00F40E00" w:rsidP="00F40E00">
      <w:pPr>
        <w:tabs>
          <w:tab w:val="num" w:pos="0"/>
        </w:tabs>
        <w:jc w:val="center"/>
        <w:rPr>
          <w:rFonts w:ascii="Arial" w:hAnsi="Arial" w:cs="Arial"/>
          <w:sz w:val="24"/>
          <w:szCs w:val="24"/>
        </w:rPr>
      </w:pPr>
      <w:r w:rsidRPr="00315335">
        <w:rPr>
          <w:rFonts w:ascii="Arial" w:hAnsi="Arial" w:cs="Arial"/>
          <w:noProof/>
          <w:sz w:val="24"/>
          <w:szCs w:val="24"/>
        </w:rPr>
        <w:drawing>
          <wp:inline distT="0" distB="0" distL="0" distR="0" wp14:anchorId="2935B6D0" wp14:editId="0CB3159E">
            <wp:extent cx="5018567" cy="1903228"/>
            <wp:effectExtent l="0" t="0" r="0" b="0"/>
            <wp:docPr id="12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40E00" w:rsidRPr="00315335" w:rsidRDefault="00F40E00" w:rsidP="00F40E00">
      <w:pPr>
        <w:tabs>
          <w:tab w:val="left" w:pos="0"/>
        </w:tabs>
        <w:ind w:right="31"/>
        <w:jc w:val="center"/>
        <w:rPr>
          <w:rFonts w:ascii="Arial" w:hAnsi="Arial" w:cs="Arial"/>
          <w:b/>
          <w:sz w:val="24"/>
          <w:szCs w:val="24"/>
        </w:rPr>
      </w:pPr>
      <w:r w:rsidRPr="00315335">
        <w:rPr>
          <w:rFonts w:ascii="Arial" w:hAnsi="Arial" w:cs="Arial"/>
          <w:b/>
          <w:sz w:val="24"/>
          <w:szCs w:val="24"/>
        </w:rPr>
        <w:t>Fig.I.1.1.1.3.1</w:t>
      </w:r>
      <w:r w:rsidRPr="00315335">
        <w:rPr>
          <w:rFonts w:ascii="Arial" w:hAnsi="Arial" w:cs="Arial"/>
          <w:sz w:val="24"/>
          <w:szCs w:val="24"/>
        </w:rPr>
        <w:t>. Concentraţia medie anuală PM</w:t>
      </w:r>
      <w:r w:rsidRPr="00315335">
        <w:rPr>
          <w:rFonts w:ascii="Arial" w:hAnsi="Arial" w:cs="Arial"/>
          <w:sz w:val="24"/>
          <w:szCs w:val="24"/>
          <w:vertAlign w:val="subscript"/>
        </w:rPr>
        <w:t xml:space="preserve">10 </w:t>
      </w:r>
      <w:r w:rsidRPr="00315335">
        <w:rPr>
          <w:rFonts w:ascii="Arial" w:hAnsi="Arial" w:cs="Arial"/>
          <w:sz w:val="24"/>
          <w:szCs w:val="24"/>
        </w:rPr>
        <w:t>nefelometric în anul 2018</w:t>
      </w:r>
    </w:p>
    <w:p w:rsidR="00F40E00" w:rsidRPr="00315335" w:rsidRDefault="00F40E00" w:rsidP="00F40E00">
      <w:pPr>
        <w:tabs>
          <w:tab w:val="num" w:pos="0"/>
        </w:tabs>
        <w:spacing w:after="0" w:line="240" w:lineRule="auto"/>
        <w:rPr>
          <w:rFonts w:ascii="Arial" w:hAnsi="Arial" w:cs="Arial"/>
          <w:b/>
          <w:sz w:val="24"/>
          <w:szCs w:val="24"/>
        </w:rPr>
      </w:pPr>
      <w:r w:rsidRPr="00315335">
        <w:rPr>
          <w:rFonts w:ascii="Arial" w:hAnsi="Arial" w:cs="Arial"/>
          <w:b/>
          <w:sz w:val="24"/>
          <w:szCs w:val="24"/>
        </w:rPr>
        <w:t xml:space="preserve">                 Tabel I.1.1.1.3.1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951"/>
        <w:gridCol w:w="951"/>
        <w:gridCol w:w="951"/>
        <w:gridCol w:w="951"/>
        <w:gridCol w:w="951"/>
      </w:tblGrid>
      <w:tr w:rsidR="00315335" w:rsidRPr="00315335" w:rsidTr="00916B06">
        <w:trPr>
          <w:jc w:val="center"/>
        </w:trPr>
        <w:tc>
          <w:tcPr>
            <w:tcW w:w="3381" w:type="dxa"/>
            <w:vAlign w:val="center"/>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b/>
                <w:sz w:val="24"/>
                <w:szCs w:val="24"/>
              </w:rPr>
              <w:t>PM</w:t>
            </w:r>
            <w:r w:rsidRPr="00315335">
              <w:rPr>
                <w:rFonts w:ascii="Arial" w:hAnsi="Arial" w:cs="Arial"/>
                <w:b/>
                <w:sz w:val="24"/>
                <w:szCs w:val="24"/>
                <w:vertAlign w:val="subscript"/>
              </w:rPr>
              <w:t>10</w:t>
            </w:r>
            <w:r w:rsidRPr="00315335">
              <w:rPr>
                <w:rFonts w:ascii="Arial" w:hAnsi="Arial" w:cs="Arial"/>
                <w:b/>
                <w:sz w:val="24"/>
                <w:szCs w:val="24"/>
              </w:rPr>
              <w:t xml:space="preserve"> nefelometric</w:t>
            </w:r>
            <w:r w:rsidRPr="00315335">
              <w:rPr>
                <w:rFonts w:ascii="Arial" w:hAnsi="Arial" w:cs="Arial"/>
                <w:sz w:val="24"/>
                <w:szCs w:val="24"/>
              </w:rPr>
              <w:t xml:space="preserve"> (</w:t>
            </w:r>
            <w:r w:rsidRPr="00315335">
              <w:rPr>
                <w:rFonts w:ascii="Arial" w:hAnsi="Arial" w:cs="Arial"/>
                <w:sz w:val="24"/>
                <w:szCs w:val="24"/>
              </w:rPr>
              <w:sym w:font="Symbol" w:char="F06D"/>
            </w:r>
            <w:r w:rsidRPr="00315335">
              <w:rPr>
                <w:rFonts w:ascii="Arial" w:hAnsi="Arial" w:cs="Arial"/>
                <w:sz w:val="24"/>
                <w:szCs w:val="24"/>
              </w:rPr>
              <w:t>g/mc)</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BR1</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BR2</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BR3</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BR4</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BR5</w:t>
            </w:r>
          </w:p>
        </w:tc>
      </w:tr>
      <w:tr w:rsidR="00F40E00" w:rsidRPr="00315335" w:rsidTr="00916B06">
        <w:trPr>
          <w:jc w:val="center"/>
        </w:trPr>
        <w:tc>
          <w:tcPr>
            <w:tcW w:w="3381" w:type="dxa"/>
            <w:vAlign w:val="center"/>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2018 Medii anuale</w:t>
            </w:r>
          </w:p>
        </w:tc>
        <w:tc>
          <w:tcPr>
            <w:tcW w:w="951" w:type="dxa"/>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13,47</w:t>
            </w:r>
          </w:p>
        </w:tc>
        <w:tc>
          <w:tcPr>
            <w:tcW w:w="951" w:type="dxa"/>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16,14</w:t>
            </w:r>
          </w:p>
        </w:tc>
        <w:tc>
          <w:tcPr>
            <w:tcW w:w="951" w:type="dxa"/>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18,82</w:t>
            </w:r>
          </w:p>
        </w:tc>
        <w:tc>
          <w:tcPr>
            <w:tcW w:w="951" w:type="dxa"/>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15,83</w:t>
            </w:r>
          </w:p>
        </w:tc>
        <w:tc>
          <w:tcPr>
            <w:tcW w:w="951" w:type="dxa"/>
            <w:tcBorders>
              <w:bottom w:val="single" w:sz="4" w:space="0" w:color="auto"/>
            </w:tcBorders>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17,02</w:t>
            </w:r>
          </w:p>
        </w:tc>
      </w:tr>
    </w:tbl>
    <w:p w:rsidR="00F40E00" w:rsidRPr="00315335" w:rsidRDefault="00F40E00" w:rsidP="00F40E00">
      <w:pPr>
        <w:tabs>
          <w:tab w:val="left" w:pos="709"/>
        </w:tabs>
        <w:spacing w:after="0"/>
        <w:ind w:left="720" w:right="31"/>
        <w:rPr>
          <w:rFonts w:ascii="Arial" w:hAnsi="Arial" w:cs="Arial"/>
          <w:b/>
          <w:sz w:val="24"/>
          <w:szCs w:val="24"/>
        </w:rPr>
      </w:pPr>
    </w:p>
    <w:p w:rsidR="00F40E00" w:rsidRPr="00315335" w:rsidRDefault="00F40E00" w:rsidP="00F40E00">
      <w:pPr>
        <w:tabs>
          <w:tab w:val="num" w:pos="0"/>
        </w:tabs>
        <w:jc w:val="center"/>
        <w:rPr>
          <w:rFonts w:ascii="Arial" w:hAnsi="Arial" w:cs="Arial"/>
          <w:sz w:val="24"/>
          <w:szCs w:val="24"/>
        </w:rPr>
      </w:pPr>
      <w:r w:rsidRPr="00315335">
        <w:rPr>
          <w:rFonts w:ascii="Arial" w:hAnsi="Arial" w:cs="Arial"/>
          <w:noProof/>
          <w:sz w:val="24"/>
          <w:szCs w:val="24"/>
        </w:rPr>
        <w:drawing>
          <wp:inline distT="0" distB="0" distL="0" distR="0" wp14:anchorId="4D510FE3" wp14:editId="39DB47DD">
            <wp:extent cx="5429250" cy="2059388"/>
            <wp:effectExtent l="0" t="0" r="0" b="0"/>
            <wp:docPr id="237"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0E00" w:rsidRPr="00315335" w:rsidRDefault="00F40E00" w:rsidP="00F40E00">
      <w:pPr>
        <w:tabs>
          <w:tab w:val="left" w:pos="0"/>
        </w:tabs>
        <w:ind w:right="31"/>
        <w:jc w:val="center"/>
        <w:rPr>
          <w:rFonts w:ascii="Arial" w:hAnsi="Arial" w:cs="Arial"/>
          <w:b/>
          <w:sz w:val="24"/>
          <w:szCs w:val="24"/>
        </w:rPr>
      </w:pPr>
      <w:r w:rsidRPr="00315335">
        <w:rPr>
          <w:rFonts w:ascii="Arial" w:hAnsi="Arial" w:cs="Arial"/>
          <w:b/>
          <w:sz w:val="24"/>
          <w:szCs w:val="24"/>
        </w:rPr>
        <w:t>Fig.I.1.1.1.3.2</w:t>
      </w:r>
      <w:r w:rsidRPr="00315335">
        <w:rPr>
          <w:rFonts w:ascii="Arial" w:hAnsi="Arial" w:cs="Arial"/>
          <w:sz w:val="24"/>
          <w:szCs w:val="24"/>
        </w:rPr>
        <w:t>. Concentraţia medie anuală PM</w:t>
      </w:r>
      <w:r w:rsidRPr="00315335">
        <w:rPr>
          <w:rFonts w:ascii="Arial" w:hAnsi="Arial" w:cs="Arial"/>
          <w:sz w:val="24"/>
          <w:szCs w:val="24"/>
          <w:vertAlign w:val="subscript"/>
        </w:rPr>
        <w:t>10</w:t>
      </w:r>
      <w:r w:rsidRPr="00315335">
        <w:rPr>
          <w:rFonts w:ascii="Arial" w:hAnsi="Arial" w:cs="Arial"/>
          <w:sz w:val="24"/>
          <w:szCs w:val="24"/>
        </w:rPr>
        <w:t xml:space="preserve"> gravimetric în anul 2018</w:t>
      </w:r>
    </w:p>
    <w:p w:rsidR="00F40E00" w:rsidRPr="00315335" w:rsidRDefault="00916B06" w:rsidP="00916B06">
      <w:pPr>
        <w:tabs>
          <w:tab w:val="num" w:pos="0"/>
        </w:tabs>
        <w:spacing w:after="0" w:line="240" w:lineRule="auto"/>
        <w:rPr>
          <w:rFonts w:ascii="Arial" w:hAnsi="Arial" w:cs="Arial"/>
          <w:b/>
          <w:sz w:val="24"/>
          <w:szCs w:val="24"/>
        </w:rPr>
      </w:pPr>
      <w:r>
        <w:rPr>
          <w:rFonts w:ascii="Arial" w:hAnsi="Arial" w:cs="Arial"/>
          <w:b/>
          <w:sz w:val="24"/>
          <w:szCs w:val="24"/>
        </w:rPr>
        <w:t xml:space="preserve">              </w:t>
      </w:r>
      <w:r w:rsidR="00F40E00" w:rsidRPr="00315335">
        <w:rPr>
          <w:rFonts w:ascii="Arial" w:hAnsi="Arial" w:cs="Arial"/>
          <w:b/>
          <w:sz w:val="24"/>
          <w:szCs w:val="24"/>
        </w:rPr>
        <w:t>Tabel I.1.1.1.3.2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951"/>
        <w:gridCol w:w="951"/>
        <w:gridCol w:w="951"/>
        <w:gridCol w:w="951"/>
        <w:gridCol w:w="951"/>
      </w:tblGrid>
      <w:tr w:rsidR="00315335" w:rsidRPr="00315335" w:rsidTr="00916B06">
        <w:trPr>
          <w:jc w:val="center"/>
        </w:trPr>
        <w:tc>
          <w:tcPr>
            <w:tcW w:w="3381" w:type="dxa"/>
            <w:vAlign w:val="center"/>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b/>
                <w:sz w:val="24"/>
                <w:szCs w:val="24"/>
              </w:rPr>
              <w:t>PM</w:t>
            </w:r>
            <w:r w:rsidRPr="00315335">
              <w:rPr>
                <w:rFonts w:ascii="Arial" w:hAnsi="Arial" w:cs="Arial"/>
                <w:b/>
                <w:sz w:val="24"/>
                <w:szCs w:val="24"/>
                <w:vertAlign w:val="subscript"/>
              </w:rPr>
              <w:t>10</w:t>
            </w:r>
            <w:r w:rsidRPr="00315335">
              <w:rPr>
                <w:rFonts w:ascii="Arial" w:hAnsi="Arial" w:cs="Arial"/>
                <w:b/>
                <w:sz w:val="24"/>
                <w:szCs w:val="24"/>
              </w:rPr>
              <w:t xml:space="preserve"> gravimetric</w:t>
            </w:r>
            <w:r w:rsidRPr="00315335">
              <w:rPr>
                <w:rFonts w:ascii="Arial" w:hAnsi="Arial" w:cs="Arial"/>
                <w:sz w:val="24"/>
                <w:szCs w:val="24"/>
              </w:rPr>
              <w:t xml:space="preserve"> (</w:t>
            </w:r>
            <w:r w:rsidRPr="00315335">
              <w:rPr>
                <w:rFonts w:ascii="Arial" w:hAnsi="Arial" w:cs="Arial"/>
                <w:sz w:val="24"/>
                <w:szCs w:val="24"/>
              </w:rPr>
              <w:sym w:font="Symbol" w:char="F06D"/>
            </w:r>
            <w:r w:rsidRPr="00315335">
              <w:rPr>
                <w:rFonts w:ascii="Arial" w:hAnsi="Arial" w:cs="Arial"/>
                <w:sz w:val="24"/>
                <w:szCs w:val="24"/>
              </w:rPr>
              <w:t>g/mc)</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BR1</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BR2</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BR3</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BR4</w:t>
            </w:r>
          </w:p>
        </w:tc>
        <w:tc>
          <w:tcPr>
            <w:tcW w:w="951" w:type="dxa"/>
            <w:vAlign w:val="center"/>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BR5</w:t>
            </w:r>
          </w:p>
        </w:tc>
      </w:tr>
      <w:tr w:rsidR="00315335" w:rsidRPr="00315335" w:rsidTr="00916B06">
        <w:trPr>
          <w:jc w:val="center"/>
        </w:trPr>
        <w:tc>
          <w:tcPr>
            <w:tcW w:w="3381" w:type="dxa"/>
            <w:vAlign w:val="center"/>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2018 Medii anuale</w:t>
            </w:r>
          </w:p>
        </w:tc>
        <w:tc>
          <w:tcPr>
            <w:tcW w:w="951" w:type="dxa"/>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22,72</w:t>
            </w:r>
          </w:p>
        </w:tc>
        <w:tc>
          <w:tcPr>
            <w:tcW w:w="951" w:type="dxa"/>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17,52</w:t>
            </w:r>
          </w:p>
        </w:tc>
        <w:tc>
          <w:tcPr>
            <w:tcW w:w="951" w:type="dxa"/>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20,18</w:t>
            </w:r>
          </w:p>
        </w:tc>
        <w:tc>
          <w:tcPr>
            <w:tcW w:w="951" w:type="dxa"/>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20,35</w:t>
            </w:r>
          </w:p>
        </w:tc>
        <w:tc>
          <w:tcPr>
            <w:tcW w:w="951" w:type="dxa"/>
            <w:tcBorders>
              <w:bottom w:val="single" w:sz="4" w:space="0" w:color="auto"/>
            </w:tcBorders>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r>
    </w:tbl>
    <w:p w:rsidR="00F40E00" w:rsidRPr="00315335" w:rsidRDefault="00F40E00" w:rsidP="00F40E00">
      <w:pPr>
        <w:spacing w:after="0" w:line="240" w:lineRule="auto"/>
        <w:ind w:firstLine="720"/>
        <w:rPr>
          <w:rFonts w:ascii="Arial" w:hAnsi="Arial" w:cs="Arial"/>
          <w:b/>
          <w:sz w:val="24"/>
          <w:szCs w:val="24"/>
          <w:lang w:val="pl-PL"/>
        </w:rPr>
      </w:pPr>
      <w:r w:rsidRPr="00315335">
        <w:rPr>
          <w:rFonts w:ascii="Arial" w:hAnsi="Arial" w:cs="Arial"/>
          <w:b/>
          <w:sz w:val="24"/>
          <w:szCs w:val="24"/>
          <w:lang w:val="pl-PL"/>
        </w:rPr>
        <w:lastRenderedPageBreak/>
        <w:t>*</w:t>
      </w:r>
      <w:r w:rsidRPr="00315335">
        <w:rPr>
          <w:rFonts w:ascii="Arial" w:hAnsi="Arial" w:cs="Arial"/>
          <w:sz w:val="24"/>
          <w:szCs w:val="24"/>
          <w:lang w:val="pl-PL"/>
        </w:rPr>
        <w:t>Notă – Valorile medii anuale prezentate sunt orientative deoarece nu au fost îndeplinite cerinţele privind captura de date minimă.</w:t>
      </w:r>
    </w:p>
    <w:p w:rsidR="00F40E00" w:rsidRPr="00315335" w:rsidRDefault="00F40E00" w:rsidP="00F40E00">
      <w:pPr>
        <w:spacing w:after="0" w:line="240" w:lineRule="auto"/>
        <w:ind w:firstLine="720"/>
        <w:rPr>
          <w:rFonts w:ascii="Arial" w:hAnsi="Arial" w:cs="Arial"/>
          <w:b/>
          <w:sz w:val="24"/>
          <w:szCs w:val="24"/>
          <w:lang w:val="pl-PL"/>
        </w:rPr>
      </w:pPr>
      <w:r w:rsidRPr="00315335">
        <w:rPr>
          <w:rFonts w:ascii="Arial" w:hAnsi="Arial" w:cs="Arial"/>
          <w:b/>
          <w:sz w:val="24"/>
          <w:szCs w:val="24"/>
          <w:lang w:val="pl-PL"/>
        </w:rPr>
        <w:t>Particule în suspensie PM</w:t>
      </w:r>
      <w:r w:rsidRPr="00315335">
        <w:rPr>
          <w:rFonts w:ascii="Arial" w:hAnsi="Arial" w:cs="Arial"/>
          <w:b/>
          <w:sz w:val="24"/>
          <w:szCs w:val="24"/>
          <w:vertAlign w:val="subscript"/>
          <w:lang w:val="pl-PL"/>
        </w:rPr>
        <w:t xml:space="preserve">2,5 </w:t>
      </w:r>
    </w:p>
    <w:p w:rsidR="00F40E00" w:rsidRPr="00315335" w:rsidRDefault="00F40E00" w:rsidP="00F40E00">
      <w:pPr>
        <w:spacing w:after="0" w:line="240" w:lineRule="auto"/>
        <w:ind w:firstLine="720"/>
        <w:jc w:val="both"/>
        <w:rPr>
          <w:rFonts w:ascii="Arial" w:hAnsi="Arial" w:cs="Arial"/>
          <w:sz w:val="24"/>
          <w:szCs w:val="24"/>
          <w:lang w:val="pl-PL"/>
        </w:rPr>
      </w:pPr>
      <w:r w:rsidRPr="00315335">
        <w:rPr>
          <w:rFonts w:ascii="Arial" w:hAnsi="Arial" w:cs="Arial"/>
          <w:iCs/>
          <w:sz w:val="24"/>
          <w:szCs w:val="24"/>
          <w:lang w:val="pl-PL"/>
        </w:rPr>
        <w:t>Fracţiunea de particule PM</w:t>
      </w:r>
      <w:r w:rsidRPr="00315335">
        <w:rPr>
          <w:rFonts w:ascii="Arial" w:hAnsi="Arial" w:cs="Arial"/>
          <w:iCs/>
          <w:sz w:val="24"/>
          <w:szCs w:val="24"/>
          <w:vertAlign w:val="subscript"/>
          <w:lang w:val="pl-PL"/>
        </w:rPr>
        <w:t>2,5</w:t>
      </w:r>
      <w:r w:rsidRPr="00315335">
        <w:rPr>
          <w:rFonts w:ascii="Arial" w:hAnsi="Arial" w:cs="Arial"/>
          <w:iCs/>
          <w:sz w:val="24"/>
          <w:szCs w:val="24"/>
          <w:lang w:val="pl-PL"/>
        </w:rPr>
        <w:t xml:space="preserve"> reprezintă o problemă pentru sănătate, datorită faptului că acestea pot penetra sistemul respirator profund şi pot fi absorbite în sânge.</w:t>
      </w:r>
    </w:p>
    <w:p w:rsidR="00F40E00" w:rsidRPr="00315335" w:rsidRDefault="00F40E00" w:rsidP="00F40E00">
      <w:pPr>
        <w:spacing w:after="0" w:line="240" w:lineRule="auto"/>
        <w:ind w:firstLine="720"/>
        <w:jc w:val="both"/>
        <w:rPr>
          <w:rFonts w:ascii="Arial" w:hAnsi="Arial" w:cs="Arial"/>
          <w:sz w:val="24"/>
          <w:szCs w:val="24"/>
          <w:lang w:val="pl-PL"/>
        </w:rPr>
      </w:pPr>
      <w:r w:rsidRPr="00315335">
        <w:rPr>
          <w:rFonts w:ascii="Arial" w:hAnsi="Arial" w:cs="Arial"/>
          <w:sz w:val="24"/>
          <w:szCs w:val="24"/>
          <w:lang w:val="pl-PL"/>
        </w:rPr>
        <w:t xml:space="preserve">Monitorizarea pulberilor în suspensie este necesară pentru conformarea cu cerinţele Directivei 2008/50/CE privind calitatea aerului înconjurător şi un aer mai curat pentru Europa. </w:t>
      </w:r>
    </w:p>
    <w:p w:rsidR="00F40E00" w:rsidRPr="00315335" w:rsidRDefault="00F40E00" w:rsidP="00F40E00">
      <w:pPr>
        <w:spacing w:after="0" w:line="240" w:lineRule="auto"/>
        <w:ind w:firstLine="720"/>
        <w:jc w:val="both"/>
        <w:rPr>
          <w:rFonts w:ascii="Arial" w:hAnsi="Arial" w:cs="Arial"/>
          <w:i/>
          <w:sz w:val="24"/>
          <w:szCs w:val="24"/>
        </w:rPr>
      </w:pPr>
      <w:r w:rsidRPr="00315335">
        <w:rPr>
          <w:rFonts w:ascii="Arial" w:hAnsi="Arial" w:cs="Arial"/>
          <w:i/>
          <w:sz w:val="24"/>
          <w:szCs w:val="24"/>
        </w:rPr>
        <w:t xml:space="preserve">Valoarea limită, pentru o perioadă de mediere de 1 an calendaristic, stabilită în Legea nr. 104 din 15 iunie 2011 privind calitatea aerului înconjurător, este </w:t>
      </w:r>
      <w:r w:rsidRPr="00315335">
        <w:rPr>
          <w:rFonts w:ascii="Arial" w:hAnsi="Arial" w:cs="Arial"/>
          <w:b/>
          <w:i/>
          <w:sz w:val="24"/>
          <w:szCs w:val="24"/>
        </w:rPr>
        <w:t>25 μg/mc</w:t>
      </w:r>
      <w:r w:rsidRPr="00315335">
        <w:rPr>
          <w:rFonts w:ascii="Arial" w:hAnsi="Arial" w:cs="Arial"/>
          <w:i/>
          <w:sz w:val="24"/>
          <w:szCs w:val="24"/>
        </w:rPr>
        <w:t>.</w:t>
      </w:r>
    </w:p>
    <w:p w:rsidR="00F40E00" w:rsidRPr="00315335" w:rsidRDefault="00F40E00" w:rsidP="00F40E00">
      <w:pPr>
        <w:spacing w:after="0" w:line="240" w:lineRule="auto"/>
        <w:ind w:firstLine="720"/>
        <w:jc w:val="both"/>
        <w:rPr>
          <w:rFonts w:ascii="Arial" w:hAnsi="Arial" w:cs="Arial"/>
          <w:sz w:val="24"/>
          <w:szCs w:val="24"/>
          <w:lang w:val="pt-BR"/>
        </w:rPr>
      </w:pPr>
      <w:r w:rsidRPr="00315335">
        <w:rPr>
          <w:rFonts w:ascii="Arial" w:hAnsi="Arial" w:cs="Arial"/>
          <w:sz w:val="24"/>
          <w:szCs w:val="24"/>
          <w:lang w:val="pt-BR"/>
        </w:rPr>
        <w:t>Media anuală înregistrată a fost de 12,51</w:t>
      </w:r>
      <w:r w:rsidRPr="00315335">
        <w:rPr>
          <w:rFonts w:ascii="Arial" w:hAnsi="Arial" w:cs="Arial"/>
          <w:sz w:val="24"/>
          <w:szCs w:val="24"/>
        </w:rPr>
        <w:t>μg/m</w:t>
      </w:r>
      <w:r w:rsidRPr="00315335">
        <w:rPr>
          <w:rFonts w:ascii="Arial" w:hAnsi="Arial" w:cs="Arial"/>
          <w:sz w:val="24"/>
          <w:szCs w:val="24"/>
          <w:vertAlign w:val="superscript"/>
        </w:rPr>
        <w:t>3</w:t>
      </w:r>
      <w:r w:rsidRPr="00315335">
        <w:rPr>
          <w:rFonts w:ascii="Arial" w:hAnsi="Arial" w:cs="Arial"/>
          <w:sz w:val="24"/>
          <w:szCs w:val="24"/>
        </w:rPr>
        <w:t xml:space="preserve">, fiind doar orientativă, având în vedere faptul că nu a fost atins obiectivul de calitate privind captura de date, aceasta fiind de </w:t>
      </w:r>
      <w:r w:rsidRPr="00315335">
        <w:rPr>
          <w:rFonts w:ascii="Arial" w:hAnsi="Arial" w:cs="Arial"/>
          <w:sz w:val="24"/>
          <w:szCs w:val="24"/>
          <w:lang w:val="it-IT"/>
        </w:rPr>
        <w:t>56,16%.</w:t>
      </w:r>
    </w:p>
    <w:p w:rsidR="00F40E00" w:rsidRPr="00315335" w:rsidRDefault="00F40E00" w:rsidP="00F40E00">
      <w:pPr>
        <w:tabs>
          <w:tab w:val="left" w:pos="709"/>
        </w:tabs>
        <w:spacing w:after="0" w:line="240" w:lineRule="auto"/>
        <w:ind w:left="720" w:right="31"/>
        <w:rPr>
          <w:rFonts w:ascii="Arial" w:hAnsi="Arial" w:cs="Arial"/>
          <w:b/>
          <w:sz w:val="24"/>
          <w:szCs w:val="24"/>
        </w:rPr>
      </w:pPr>
    </w:p>
    <w:p w:rsidR="00F40E00" w:rsidRPr="00315335" w:rsidRDefault="00F40E00" w:rsidP="00F40E00">
      <w:pPr>
        <w:tabs>
          <w:tab w:val="left" w:pos="709"/>
        </w:tabs>
        <w:spacing w:after="0" w:line="240" w:lineRule="auto"/>
        <w:ind w:left="720" w:right="31"/>
        <w:rPr>
          <w:rFonts w:ascii="Arial" w:hAnsi="Arial" w:cs="Arial"/>
          <w:sz w:val="24"/>
          <w:szCs w:val="24"/>
        </w:rPr>
      </w:pPr>
      <w:r w:rsidRPr="00315335">
        <w:rPr>
          <w:rFonts w:ascii="Arial" w:hAnsi="Arial" w:cs="Arial"/>
          <w:b/>
          <w:sz w:val="24"/>
          <w:szCs w:val="24"/>
        </w:rPr>
        <w:t>I.1.1.1.4.Metale grele – plumb</w:t>
      </w:r>
    </w:p>
    <w:p w:rsidR="00F40E00" w:rsidRPr="00315335" w:rsidRDefault="00F40E00" w:rsidP="00F40E00">
      <w:pPr>
        <w:spacing w:after="0" w:line="240" w:lineRule="auto"/>
        <w:ind w:firstLine="720"/>
        <w:jc w:val="both"/>
        <w:rPr>
          <w:rFonts w:ascii="Arial" w:eastAsia="Calibri" w:hAnsi="Arial" w:cs="Arial"/>
          <w:sz w:val="24"/>
          <w:szCs w:val="24"/>
          <w:lang w:val="pl-PL"/>
        </w:rPr>
      </w:pPr>
      <w:r w:rsidRPr="00315335">
        <w:rPr>
          <w:rFonts w:ascii="Arial" w:eastAsia="Calibri" w:hAnsi="Arial" w:cs="Arial"/>
          <w:sz w:val="24"/>
          <w:szCs w:val="24"/>
          <w:lang w:val="pl-PL"/>
        </w:rPr>
        <w:t xml:space="preserve">Metalele grele sunt emise în atmosferă ca rezultat al diferitelor procese de combustie şi a unor activităţi industriale, putând fi incluse sau ataşate de particulele de pulberi emise. Ele se pot depune pe sol sau în apele de suprafaţă, acumulându-se astfel în sol sau sedimente. Metalele grele sunt toxice şi pot afecta numeroase funcţii ale organismului. Pot avea efecte pe termen lung prin capacitatea lor de acumulare în ţesuturi. </w:t>
      </w:r>
    </w:p>
    <w:p w:rsidR="00F40E00" w:rsidRPr="00315335" w:rsidRDefault="00F40E00" w:rsidP="00F40E00">
      <w:pPr>
        <w:tabs>
          <w:tab w:val="num" w:pos="0"/>
        </w:tabs>
        <w:jc w:val="both"/>
        <w:rPr>
          <w:rFonts w:ascii="Arial" w:hAnsi="Arial" w:cs="Arial"/>
          <w:b/>
          <w:sz w:val="24"/>
          <w:szCs w:val="24"/>
        </w:rPr>
      </w:pPr>
      <w:r w:rsidRPr="00315335">
        <w:rPr>
          <w:rFonts w:ascii="Arial" w:hAnsi="Arial" w:cs="Arial"/>
          <w:sz w:val="24"/>
          <w:szCs w:val="24"/>
        </w:rPr>
        <w:tab/>
        <w:t>În anul 2018, nu s-au făcut determinări de metale grele.</w:t>
      </w:r>
    </w:p>
    <w:p w:rsidR="00F40E00" w:rsidRPr="00315335" w:rsidRDefault="00F40E00" w:rsidP="00F40E00">
      <w:pPr>
        <w:tabs>
          <w:tab w:val="num" w:pos="0"/>
        </w:tabs>
        <w:spacing w:after="0" w:line="240" w:lineRule="auto"/>
        <w:ind w:firstLine="720"/>
        <w:rPr>
          <w:rFonts w:ascii="Arial" w:hAnsi="Arial" w:cs="Arial"/>
          <w:b/>
          <w:sz w:val="24"/>
          <w:szCs w:val="24"/>
        </w:rPr>
      </w:pPr>
      <w:r w:rsidRPr="00315335">
        <w:rPr>
          <w:rFonts w:ascii="Arial" w:hAnsi="Arial" w:cs="Arial"/>
          <w:b/>
          <w:sz w:val="24"/>
          <w:szCs w:val="24"/>
        </w:rPr>
        <w:tab/>
        <w:t>I.1.1.1.5. Monoxid de carbon</w:t>
      </w:r>
    </w:p>
    <w:p w:rsidR="00F40E00" w:rsidRPr="00315335" w:rsidRDefault="00F40E00" w:rsidP="00F40E00">
      <w:pPr>
        <w:spacing w:after="0" w:line="240" w:lineRule="auto"/>
        <w:ind w:firstLine="720"/>
        <w:jc w:val="both"/>
        <w:rPr>
          <w:rFonts w:ascii="Arial" w:hAnsi="Arial" w:cs="Arial"/>
          <w:sz w:val="24"/>
          <w:szCs w:val="24"/>
        </w:rPr>
      </w:pPr>
      <w:r w:rsidRPr="00315335">
        <w:rPr>
          <w:rFonts w:ascii="Arial" w:hAnsi="Arial" w:cs="Arial"/>
          <w:sz w:val="24"/>
          <w:szCs w:val="24"/>
        </w:rPr>
        <w:t>Monoxidul de carbon este un gaz incolor şi inodor, la temperatura mediului ambiental.</w:t>
      </w:r>
    </w:p>
    <w:p w:rsidR="00F40E00" w:rsidRPr="00315335" w:rsidRDefault="00F40E00" w:rsidP="00F40E00">
      <w:pPr>
        <w:widowControl w:val="0"/>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b/>
          <w:sz w:val="24"/>
          <w:szCs w:val="24"/>
        </w:rPr>
        <w:t>Surse naturale</w:t>
      </w:r>
      <w:r w:rsidRPr="00315335">
        <w:rPr>
          <w:rFonts w:ascii="Arial" w:hAnsi="Arial" w:cs="Arial"/>
          <w:sz w:val="24"/>
          <w:szCs w:val="24"/>
        </w:rPr>
        <w:t>: incendii spontane de pădure şi descărcările electrice.</w:t>
      </w:r>
    </w:p>
    <w:p w:rsidR="00F40E00" w:rsidRPr="00315335" w:rsidRDefault="00F40E00" w:rsidP="00F40E00">
      <w:pPr>
        <w:widowControl w:val="0"/>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b/>
          <w:sz w:val="24"/>
          <w:szCs w:val="24"/>
        </w:rPr>
        <w:t>Surse antropice</w:t>
      </w:r>
      <w:r w:rsidRPr="00315335">
        <w:rPr>
          <w:rFonts w:ascii="Arial" w:hAnsi="Arial" w:cs="Arial"/>
          <w:sz w:val="24"/>
          <w:szCs w:val="24"/>
        </w:rPr>
        <w:t>: arderea incompletă ce apare în toate procesele de combustie a materiilor combustibile: arderea combustibililor fosili în instalaţii de ardere - centrale termoelectrice şi termice, boilere industriale, instalaţii rezidenţiale (sobe, centrale termice individuale, mai ales cele pe combustibili solizi - cărbuni, lemne, arderea cea mai completă fiind cea a gazului natural), producerea oţelului şi a fontei, rafinarea petrolului, traficul rutier, în principal de la autovehiculele cu benzină în timpul funcţionării la turaţie mică, arderea deşeurilor, incendii, arderea miriştilor etc.</w:t>
      </w:r>
    </w:p>
    <w:p w:rsidR="00F40E00" w:rsidRPr="00315335" w:rsidRDefault="00F40E00" w:rsidP="00F40E00">
      <w:pPr>
        <w:autoSpaceDE w:val="0"/>
        <w:autoSpaceDN w:val="0"/>
        <w:adjustRightInd w:val="0"/>
        <w:spacing w:after="0" w:line="240" w:lineRule="auto"/>
        <w:ind w:firstLine="720"/>
        <w:jc w:val="both"/>
        <w:rPr>
          <w:rFonts w:ascii="Arial" w:hAnsi="Arial" w:cs="Arial"/>
          <w:i/>
          <w:sz w:val="24"/>
          <w:szCs w:val="24"/>
        </w:rPr>
      </w:pPr>
      <w:r w:rsidRPr="00315335">
        <w:rPr>
          <w:rFonts w:ascii="Arial" w:hAnsi="Arial" w:cs="Arial"/>
          <w:i/>
          <w:sz w:val="24"/>
          <w:szCs w:val="24"/>
        </w:rPr>
        <w:t xml:space="preserve">Concentraţiile de CO din aerul înconjurător se evaluează folosind </w:t>
      </w:r>
      <w:r w:rsidRPr="00315335">
        <w:rPr>
          <w:rFonts w:ascii="Arial" w:hAnsi="Arial" w:cs="Arial"/>
          <w:i/>
          <w:iCs/>
          <w:sz w:val="24"/>
          <w:szCs w:val="24"/>
        </w:rPr>
        <w:t xml:space="preserve">valoarea limită pentru protecţia sănătăţii umane </w:t>
      </w:r>
      <w:r w:rsidRPr="00315335">
        <w:rPr>
          <w:rFonts w:ascii="Arial" w:hAnsi="Arial" w:cs="Arial"/>
          <w:i/>
          <w:sz w:val="24"/>
          <w:szCs w:val="24"/>
        </w:rPr>
        <w:t>(</w:t>
      </w:r>
      <w:r w:rsidRPr="00315335">
        <w:rPr>
          <w:rFonts w:ascii="Arial" w:hAnsi="Arial" w:cs="Arial"/>
          <w:b/>
          <w:i/>
          <w:sz w:val="24"/>
          <w:szCs w:val="24"/>
        </w:rPr>
        <w:t xml:space="preserve">10 </w:t>
      </w:r>
      <w:r w:rsidRPr="00315335">
        <w:rPr>
          <w:rFonts w:ascii="Arial" w:hAnsi="Arial" w:cs="Arial"/>
          <w:b/>
          <w:i/>
          <w:iCs/>
          <w:sz w:val="24"/>
          <w:szCs w:val="24"/>
        </w:rPr>
        <w:t>mg/mc</w:t>
      </w:r>
      <w:r w:rsidRPr="00315335">
        <w:rPr>
          <w:rFonts w:ascii="Arial" w:hAnsi="Arial" w:cs="Arial"/>
          <w:i/>
          <w:iCs/>
          <w:sz w:val="24"/>
          <w:szCs w:val="24"/>
        </w:rPr>
        <w:t>)</w:t>
      </w:r>
      <w:r w:rsidRPr="00315335">
        <w:rPr>
          <w:rFonts w:ascii="Arial" w:hAnsi="Arial" w:cs="Arial"/>
          <w:i/>
          <w:sz w:val="24"/>
          <w:szCs w:val="24"/>
        </w:rPr>
        <w:t xml:space="preserve">, calculată ca valoare maximă zilnică a mediilor pe 8 ore (medie mobilă). </w:t>
      </w:r>
    </w:p>
    <w:p w:rsidR="00F40E00" w:rsidRPr="00315335" w:rsidRDefault="00F40E00" w:rsidP="00F40E00">
      <w:pPr>
        <w:autoSpaceDE w:val="0"/>
        <w:autoSpaceDN w:val="0"/>
        <w:adjustRightInd w:val="0"/>
        <w:spacing w:after="0" w:line="240" w:lineRule="auto"/>
        <w:ind w:firstLine="720"/>
        <w:jc w:val="both"/>
        <w:rPr>
          <w:rFonts w:ascii="Arial" w:hAnsi="Arial" w:cs="Arial"/>
          <w:i/>
          <w:sz w:val="24"/>
          <w:szCs w:val="24"/>
        </w:rPr>
      </w:pPr>
      <w:r w:rsidRPr="00315335">
        <w:rPr>
          <w:rFonts w:ascii="Arial" w:hAnsi="Arial" w:cs="Arial"/>
          <w:i/>
          <w:sz w:val="24"/>
          <w:szCs w:val="24"/>
        </w:rPr>
        <w:t>Legea nr. 104/2011 nu stabileşte valoare limită anuală pentru monoxidul de carbon.</w:t>
      </w:r>
    </w:p>
    <w:p w:rsidR="00F40E00" w:rsidRPr="00315335" w:rsidRDefault="00F40E00" w:rsidP="00F40E00">
      <w:pPr>
        <w:autoSpaceDE w:val="0"/>
        <w:autoSpaceDN w:val="0"/>
        <w:adjustRightInd w:val="0"/>
        <w:spacing w:after="0" w:line="240" w:lineRule="auto"/>
        <w:ind w:firstLine="720"/>
        <w:jc w:val="both"/>
        <w:rPr>
          <w:rFonts w:ascii="Arial" w:hAnsi="Arial" w:cs="Arial"/>
          <w:i/>
          <w:sz w:val="24"/>
          <w:szCs w:val="24"/>
        </w:rPr>
      </w:pPr>
      <w:r w:rsidRPr="00315335">
        <w:rPr>
          <w:rFonts w:ascii="Arial" w:hAnsi="Arial" w:cs="Arial"/>
          <w:noProof/>
          <w:sz w:val="24"/>
          <w:szCs w:val="24"/>
        </w:rPr>
        <w:drawing>
          <wp:anchor distT="0" distB="0" distL="114300" distR="114300" simplePos="0" relativeHeight="251651072" behindDoc="0" locked="0" layoutInCell="1" allowOverlap="1" wp14:anchorId="2C60BF4E" wp14:editId="1697DAE5">
            <wp:simplePos x="0" y="0"/>
            <wp:positionH relativeFrom="column">
              <wp:posOffset>746153</wp:posOffset>
            </wp:positionH>
            <wp:positionV relativeFrom="paragraph">
              <wp:posOffset>135503</wp:posOffset>
            </wp:positionV>
            <wp:extent cx="5010150" cy="1828800"/>
            <wp:effectExtent l="0" t="0" r="0" b="0"/>
            <wp:wrapSquare wrapText="bothSides"/>
            <wp:docPr id="126"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F40E00" w:rsidRPr="00315335" w:rsidRDefault="00F40E00" w:rsidP="00F40E00">
      <w:pPr>
        <w:tabs>
          <w:tab w:val="num" w:pos="0"/>
        </w:tabs>
        <w:rPr>
          <w:rFonts w:ascii="Arial" w:hAnsi="Arial" w:cs="Arial"/>
          <w:sz w:val="24"/>
          <w:szCs w:val="24"/>
        </w:rPr>
      </w:pPr>
      <w:r w:rsidRPr="00315335">
        <w:rPr>
          <w:rFonts w:ascii="Arial" w:hAnsi="Arial" w:cs="Arial"/>
          <w:sz w:val="24"/>
          <w:szCs w:val="24"/>
        </w:rPr>
        <w:br w:type="textWrapping" w:clear="all"/>
      </w:r>
      <w:r w:rsidRPr="00315335">
        <w:rPr>
          <w:rFonts w:ascii="Arial" w:hAnsi="Arial" w:cs="Arial"/>
          <w:b/>
          <w:sz w:val="24"/>
          <w:szCs w:val="24"/>
        </w:rPr>
        <w:t>Fig. I.1.1.1.5</w:t>
      </w:r>
      <w:r w:rsidRPr="00315335">
        <w:rPr>
          <w:rFonts w:ascii="Arial" w:hAnsi="Arial" w:cs="Arial"/>
          <w:sz w:val="24"/>
          <w:szCs w:val="24"/>
        </w:rPr>
        <w:t>. Concentraţia medie anuală a monoxidului de carbon 2018</w:t>
      </w:r>
      <w:r w:rsidRPr="00315335">
        <w:rPr>
          <w:rFonts w:ascii="Arial" w:hAnsi="Arial" w:cs="Arial"/>
          <w:sz w:val="24"/>
          <w:szCs w:val="24"/>
        </w:rPr>
        <w:tab/>
      </w:r>
    </w:p>
    <w:p w:rsidR="00F40E00" w:rsidRPr="00315335" w:rsidRDefault="00916B06" w:rsidP="00916B06">
      <w:pPr>
        <w:spacing w:after="0"/>
        <w:rPr>
          <w:rFonts w:ascii="Arial" w:hAnsi="Arial" w:cs="Arial"/>
          <w:b/>
          <w:sz w:val="24"/>
          <w:szCs w:val="24"/>
        </w:rPr>
      </w:pPr>
      <w:r>
        <w:rPr>
          <w:rFonts w:ascii="Arial" w:hAnsi="Arial" w:cs="Arial"/>
          <w:b/>
          <w:sz w:val="24"/>
          <w:szCs w:val="24"/>
        </w:rPr>
        <w:t xml:space="preserve">                   </w:t>
      </w:r>
      <w:r w:rsidR="00F40E00" w:rsidRPr="00315335">
        <w:rPr>
          <w:rFonts w:ascii="Arial" w:hAnsi="Arial" w:cs="Arial"/>
          <w:b/>
          <w:sz w:val="24"/>
          <w:szCs w:val="24"/>
        </w:rPr>
        <w:t>Tabel I.1.1.1.5.1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1080"/>
        <w:gridCol w:w="1167"/>
        <w:gridCol w:w="1029"/>
        <w:gridCol w:w="951"/>
        <w:gridCol w:w="1101"/>
      </w:tblGrid>
      <w:tr w:rsidR="00953A23" w:rsidRPr="00315335" w:rsidTr="00916B06">
        <w:trPr>
          <w:jc w:val="center"/>
        </w:trPr>
        <w:tc>
          <w:tcPr>
            <w:tcW w:w="2204"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b/>
                <w:sz w:val="24"/>
                <w:szCs w:val="24"/>
              </w:rPr>
              <w:t>CO</w:t>
            </w:r>
            <w:r w:rsidRPr="00315335">
              <w:rPr>
                <w:rFonts w:ascii="Arial" w:hAnsi="Arial" w:cs="Arial"/>
                <w:sz w:val="24"/>
                <w:szCs w:val="24"/>
              </w:rPr>
              <w:t xml:space="preserve">    (mg/mc)</w:t>
            </w:r>
          </w:p>
        </w:tc>
        <w:tc>
          <w:tcPr>
            <w:tcW w:w="1080"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BR1</w:t>
            </w:r>
          </w:p>
        </w:tc>
        <w:tc>
          <w:tcPr>
            <w:tcW w:w="1167"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BR2</w:t>
            </w:r>
          </w:p>
        </w:tc>
        <w:tc>
          <w:tcPr>
            <w:tcW w:w="1029"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BR3</w:t>
            </w:r>
          </w:p>
        </w:tc>
        <w:tc>
          <w:tcPr>
            <w:tcW w:w="951"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BR4</w:t>
            </w:r>
          </w:p>
        </w:tc>
        <w:tc>
          <w:tcPr>
            <w:tcW w:w="1101"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BR5</w:t>
            </w:r>
          </w:p>
        </w:tc>
      </w:tr>
      <w:tr w:rsidR="00953A23" w:rsidRPr="00315335" w:rsidTr="00916B06">
        <w:trPr>
          <w:jc w:val="center"/>
        </w:trPr>
        <w:tc>
          <w:tcPr>
            <w:tcW w:w="2204" w:type="dxa"/>
          </w:tcPr>
          <w:p w:rsidR="00F40E00" w:rsidRPr="00315335" w:rsidRDefault="00F40E00" w:rsidP="00916B06">
            <w:pPr>
              <w:tabs>
                <w:tab w:val="num" w:pos="0"/>
              </w:tabs>
              <w:spacing w:after="0" w:line="240" w:lineRule="auto"/>
              <w:rPr>
                <w:rFonts w:ascii="Arial" w:hAnsi="Arial" w:cs="Arial"/>
                <w:sz w:val="24"/>
                <w:szCs w:val="24"/>
              </w:rPr>
            </w:pPr>
            <w:bookmarkStart w:id="0" w:name="_Hlk257118188"/>
            <w:r w:rsidRPr="00315335">
              <w:rPr>
                <w:rFonts w:ascii="Arial" w:hAnsi="Arial" w:cs="Arial"/>
                <w:sz w:val="24"/>
                <w:szCs w:val="24"/>
              </w:rPr>
              <w:t>2018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0,14</w:t>
            </w:r>
          </w:p>
        </w:tc>
        <w:tc>
          <w:tcPr>
            <w:tcW w:w="1167" w:type="dxa"/>
            <w:vAlign w:val="bottom"/>
          </w:tcPr>
          <w:p w:rsidR="00F40E00" w:rsidRPr="00315335" w:rsidRDefault="00F40E00" w:rsidP="00916B06">
            <w:pPr>
              <w:spacing w:after="0" w:line="240" w:lineRule="auto"/>
              <w:jc w:val="center"/>
              <w:rPr>
                <w:rFonts w:ascii="Arial" w:hAnsi="Arial" w:cs="Arial"/>
                <w:bCs/>
                <w:sz w:val="24"/>
                <w:szCs w:val="24"/>
              </w:rPr>
            </w:pPr>
            <w:r w:rsidRPr="00315335">
              <w:rPr>
                <w:rFonts w:ascii="Arial" w:hAnsi="Arial" w:cs="Arial"/>
                <w:bCs/>
                <w:sz w:val="24"/>
                <w:szCs w:val="24"/>
              </w:rPr>
              <w:t>0,09</w:t>
            </w:r>
          </w:p>
        </w:tc>
        <w:tc>
          <w:tcPr>
            <w:tcW w:w="1029" w:type="dxa"/>
            <w:vAlign w:val="bottom"/>
          </w:tcPr>
          <w:p w:rsidR="00F40E00" w:rsidRPr="00315335" w:rsidRDefault="00F40E00" w:rsidP="00916B06">
            <w:pPr>
              <w:spacing w:after="0" w:line="240" w:lineRule="auto"/>
              <w:jc w:val="center"/>
              <w:rPr>
                <w:rFonts w:ascii="Arial" w:hAnsi="Arial" w:cs="Arial"/>
                <w:bCs/>
                <w:sz w:val="24"/>
                <w:szCs w:val="24"/>
              </w:rPr>
            </w:pPr>
            <w:r w:rsidRPr="00315335">
              <w:rPr>
                <w:rFonts w:ascii="Arial" w:hAnsi="Arial" w:cs="Arial"/>
                <w:bCs/>
                <w:sz w:val="24"/>
                <w:szCs w:val="24"/>
              </w:rPr>
              <w:t>0,10</w:t>
            </w:r>
          </w:p>
        </w:tc>
        <w:tc>
          <w:tcPr>
            <w:tcW w:w="951" w:type="dxa"/>
            <w:vAlign w:val="bottom"/>
          </w:tcPr>
          <w:p w:rsidR="00F40E00" w:rsidRPr="00315335" w:rsidRDefault="00F40E00" w:rsidP="00916B06">
            <w:pPr>
              <w:spacing w:after="0" w:line="240" w:lineRule="auto"/>
              <w:jc w:val="center"/>
              <w:rPr>
                <w:rFonts w:ascii="Arial" w:hAnsi="Arial" w:cs="Arial"/>
                <w:bCs/>
                <w:sz w:val="24"/>
                <w:szCs w:val="24"/>
              </w:rPr>
            </w:pPr>
            <w:r w:rsidRPr="00315335">
              <w:rPr>
                <w:rFonts w:ascii="Arial" w:hAnsi="Arial" w:cs="Arial"/>
                <w:bCs/>
                <w:sz w:val="24"/>
                <w:szCs w:val="24"/>
              </w:rPr>
              <w:t>0,09</w:t>
            </w:r>
          </w:p>
        </w:tc>
        <w:tc>
          <w:tcPr>
            <w:tcW w:w="1101" w:type="dxa"/>
            <w:vAlign w:val="bottom"/>
          </w:tcPr>
          <w:p w:rsidR="00F40E00" w:rsidRPr="00315335" w:rsidRDefault="00F40E00" w:rsidP="00916B06">
            <w:pPr>
              <w:spacing w:after="0" w:line="240" w:lineRule="auto"/>
              <w:jc w:val="center"/>
              <w:rPr>
                <w:rFonts w:ascii="Arial" w:hAnsi="Arial" w:cs="Arial"/>
                <w:bCs/>
                <w:sz w:val="24"/>
                <w:szCs w:val="24"/>
              </w:rPr>
            </w:pPr>
            <w:r w:rsidRPr="00315335">
              <w:rPr>
                <w:rFonts w:ascii="Arial" w:hAnsi="Arial" w:cs="Arial"/>
                <w:bCs/>
                <w:sz w:val="24"/>
                <w:szCs w:val="24"/>
              </w:rPr>
              <w:t>0,07</w:t>
            </w:r>
          </w:p>
        </w:tc>
      </w:tr>
    </w:tbl>
    <w:bookmarkEnd w:id="0"/>
    <w:p w:rsidR="00F40E00" w:rsidRPr="00315335" w:rsidRDefault="00F40E00" w:rsidP="00F40E00">
      <w:pPr>
        <w:spacing w:before="120" w:after="0" w:line="240" w:lineRule="auto"/>
        <w:ind w:firstLine="720"/>
        <w:jc w:val="both"/>
        <w:rPr>
          <w:rFonts w:ascii="Arial" w:hAnsi="Arial" w:cs="Arial"/>
          <w:sz w:val="24"/>
          <w:szCs w:val="24"/>
        </w:rPr>
      </w:pPr>
      <w:r w:rsidRPr="00315335">
        <w:rPr>
          <w:rFonts w:ascii="Arial" w:hAnsi="Arial" w:cs="Arial"/>
          <w:sz w:val="24"/>
          <w:szCs w:val="24"/>
        </w:rPr>
        <w:t>În anul 2018 nu au existat valori maxime zilnice a mediilor pe 8 ore care să depăşească valoarea limită de 10 mg/mc, admisă de către Legea 104/2011.</w:t>
      </w:r>
    </w:p>
    <w:p w:rsidR="00F40E00" w:rsidRPr="00315335" w:rsidRDefault="00F40E00" w:rsidP="00F40E00">
      <w:pPr>
        <w:spacing w:before="120" w:after="0" w:line="240" w:lineRule="auto"/>
        <w:ind w:firstLine="720"/>
        <w:jc w:val="both"/>
        <w:rPr>
          <w:rFonts w:ascii="Arial" w:hAnsi="Arial" w:cs="Arial"/>
          <w:sz w:val="24"/>
          <w:szCs w:val="24"/>
        </w:rPr>
      </w:pPr>
    </w:p>
    <w:p w:rsidR="00F40E00" w:rsidRPr="00315335" w:rsidRDefault="00F40E00" w:rsidP="00F40E00">
      <w:pPr>
        <w:spacing w:before="120" w:after="0" w:line="240" w:lineRule="auto"/>
        <w:ind w:firstLine="720"/>
        <w:jc w:val="both"/>
        <w:rPr>
          <w:rFonts w:ascii="Arial" w:hAnsi="Arial" w:cs="Arial"/>
          <w:sz w:val="24"/>
          <w:szCs w:val="24"/>
        </w:rPr>
      </w:pPr>
      <w:r w:rsidRPr="00315335">
        <w:rPr>
          <w:rFonts w:ascii="Arial" w:hAnsi="Arial" w:cs="Arial"/>
          <w:noProof/>
          <w:sz w:val="24"/>
          <w:szCs w:val="24"/>
        </w:rPr>
        <w:lastRenderedPageBreak/>
        <w:drawing>
          <wp:anchor distT="0" distB="0" distL="114300" distR="114300" simplePos="0" relativeHeight="251653632" behindDoc="0" locked="0" layoutInCell="1" allowOverlap="1" wp14:anchorId="5AB54893" wp14:editId="77AE10E2">
            <wp:simplePos x="0" y="0"/>
            <wp:positionH relativeFrom="column">
              <wp:posOffset>845389</wp:posOffset>
            </wp:positionH>
            <wp:positionV relativeFrom="paragraph">
              <wp:posOffset>111533</wp:posOffset>
            </wp:positionV>
            <wp:extent cx="5010150" cy="1828800"/>
            <wp:effectExtent l="0" t="0" r="0" b="0"/>
            <wp:wrapSquare wrapText="bothSides"/>
            <wp:docPr id="4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40E00" w:rsidRPr="00315335" w:rsidRDefault="00F40E00" w:rsidP="00F40E00">
      <w:pPr>
        <w:spacing w:before="120" w:after="0" w:line="240" w:lineRule="auto"/>
        <w:ind w:firstLine="720"/>
        <w:jc w:val="both"/>
        <w:rPr>
          <w:rFonts w:ascii="Arial" w:hAnsi="Arial" w:cs="Arial"/>
          <w:sz w:val="24"/>
          <w:szCs w:val="24"/>
        </w:rPr>
      </w:pPr>
    </w:p>
    <w:p w:rsidR="00F40E00" w:rsidRPr="00315335" w:rsidRDefault="00F40E00" w:rsidP="00F40E00">
      <w:pPr>
        <w:spacing w:before="120" w:after="0" w:line="240" w:lineRule="auto"/>
        <w:ind w:firstLine="720"/>
        <w:jc w:val="both"/>
        <w:rPr>
          <w:rFonts w:ascii="Arial" w:hAnsi="Arial" w:cs="Arial"/>
          <w:sz w:val="24"/>
          <w:szCs w:val="24"/>
        </w:rPr>
      </w:pPr>
    </w:p>
    <w:p w:rsidR="00F40E00" w:rsidRPr="00315335" w:rsidRDefault="00F40E00" w:rsidP="00F40E00">
      <w:pPr>
        <w:spacing w:before="120" w:after="0" w:line="240" w:lineRule="auto"/>
        <w:ind w:firstLine="720"/>
        <w:jc w:val="both"/>
        <w:rPr>
          <w:rFonts w:ascii="Arial" w:hAnsi="Arial" w:cs="Arial"/>
          <w:sz w:val="24"/>
          <w:szCs w:val="24"/>
        </w:rPr>
      </w:pPr>
    </w:p>
    <w:p w:rsidR="00F40E00" w:rsidRPr="00315335" w:rsidRDefault="00F40E00" w:rsidP="00F40E00">
      <w:pPr>
        <w:spacing w:before="120" w:after="0" w:line="240" w:lineRule="auto"/>
        <w:ind w:firstLine="720"/>
        <w:jc w:val="both"/>
        <w:rPr>
          <w:rFonts w:ascii="Arial" w:hAnsi="Arial" w:cs="Arial"/>
          <w:sz w:val="24"/>
          <w:szCs w:val="24"/>
        </w:rPr>
      </w:pPr>
    </w:p>
    <w:p w:rsidR="00F40E00" w:rsidRPr="00315335" w:rsidRDefault="00F40E00" w:rsidP="00F40E00">
      <w:pPr>
        <w:spacing w:before="120" w:after="0" w:line="240" w:lineRule="auto"/>
        <w:ind w:firstLine="720"/>
        <w:jc w:val="both"/>
        <w:rPr>
          <w:rFonts w:ascii="Arial" w:hAnsi="Arial" w:cs="Arial"/>
          <w:sz w:val="24"/>
          <w:szCs w:val="24"/>
        </w:rPr>
      </w:pPr>
    </w:p>
    <w:p w:rsidR="00F40E00" w:rsidRPr="00315335" w:rsidRDefault="00F40E00" w:rsidP="00F40E00">
      <w:pPr>
        <w:spacing w:before="120" w:after="0" w:line="240" w:lineRule="auto"/>
        <w:ind w:firstLine="720"/>
        <w:jc w:val="both"/>
        <w:rPr>
          <w:rFonts w:ascii="Arial" w:hAnsi="Arial" w:cs="Arial"/>
          <w:sz w:val="24"/>
          <w:szCs w:val="24"/>
        </w:rPr>
      </w:pPr>
    </w:p>
    <w:p w:rsidR="00F40E00" w:rsidRPr="00315335" w:rsidRDefault="00F40E00" w:rsidP="00F40E00">
      <w:pPr>
        <w:jc w:val="center"/>
        <w:rPr>
          <w:rFonts w:ascii="Arial" w:hAnsi="Arial" w:cs="Arial"/>
          <w:b/>
          <w:sz w:val="24"/>
          <w:szCs w:val="24"/>
        </w:rPr>
      </w:pPr>
    </w:p>
    <w:p w:rsidR="00916B06" w:rsidRDefault="00F40E00" w:rsidP="00916B06">
      <w:pPr>
        <w:jc w:val="center"/>
        <w:rPr>
          <w:rFonts w:ascii="Arial" w:hAnsi="Arial" w:cs="Arial"/>
          <w:sz w:val="24"/>
          <w:szCs w:val="24"/>
        </w:rPr>
      </w:pPr>
      <w:r w:rsidRPr="00315335">
        <w:rPr>
          <w:rFonts w:ascii="Arial" w:hAnsi="Arial" w:cs="Arial"/>
          <w:b/>
          <w:sz w:val="24"/>
          <w:szCs w:val="24"/>
        </w:rPr>
        <w:t>Fig. I.1.1.1.5.2</w:t>
      </w:r>
      <w:r w:rsidRPr="00315335">
        <w:rPr>
          <w:rFonts w:ascii="Arial" w:hAnsi="Arial" w:cs="Arial"/>
          <w:sz w:val="24"/>
          <w:szCs w:val="24"/>
        </w:rPr>
        <w:t xml:space="preserve"> Concentraţia maxima zilnica a mediilor pe 8 ore a CO in 2018</w:t>
      </w:r>
    </w:p>
    <w:p w:rsidR="00F40E00" w:rsidRPr="00916B06" w:rsidRDefault="00916B06" w:rsidP="00916B06">
      <w:pPr>
        <w:rPr>
          <w:rFonts w:ascii="Arial" w:hAnsi="Arial" w:cs="Arial"/>
          <w:sz w:val="24"/>
          <w:szCs w:val="24"/>
        </w:rPr>
      </w:pPr>
      <w:r>
        <w:rPr>
          <w:rFonts w:ascii="Arial" w:hAnsi="Arial" w:cs="Arial"/>
          <w:b/>
          <w:sz w:val="24"/>
          <w:szCs w:val="24"/>
        </w:rPr>
        <w:t xml:space="preserve">            </w:t>
      </w:r>
      <w:r w:rsidR="00F40E00" w:rsidRPr="00315335">
        <w:rPr>
          <w:rFonts w:ascii="Arial" w:hAnsi="Arial" w:cs="Arial"/>
          <w:b/>
          <w:sz w:val="24"/>
          <w:szCs w:val="24"/>
        </w:rPr>
        <w:t>Tabel I.1.1.1.5.2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5"/>
        <w:gridCol w:w="850"/>
        <w:gridCol w:w="851"/>
        <w:gridCol w:w="709"/>
        <w:gridCol w:w="850"/>
        <w:gridCol w:w="727"/>
      </w:tblGrid>
      <w:tr w:rsidR="00315335" w:rsidRPr="00315335" w:rsidTr="00916B06">
        <w:trPr>
          <w:jc w:val="center"/>
        </w:trPr>
        <w:tc>
          <w:tcPr>
            <w:tcW w:w="445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b/>
                <w:sz w:val="24"/>
                <w:szCs w:val="24"/>
              </w:rPr>
              <w:t>CO</w:t>
            </w:r>
            <w:r w:rsidRPr="00315335">
              <w:rPr>
                <w:rFonts w:ascii="Arial" w:hAnsi="Arial" w:cs="Arial"/>
                <w:sz w:val="24"/>
                <w:szCs w:val="24"/>
              </w:rPr>
              <w:t xml:space="preserve">    (mg/mc)</w:t>
            </w:r>
          </w:p>
        </w:tc>
        <w:tc>
          <w:tcPr>
            <w:tcW w:w="850"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BR1</w:t>
            </w:r>
          </w:p>
        </w:tc>
        <w:tc>
          <w:tcPr>
            <w:tcW w:w="851"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BR2</w:t>
            </w:r>
          </w:p>
        </w:tc>
        <w:tc>
          <w:tcPr>
            <w:tcW w:w="709"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BR3</w:t>
            </w:r>
          </w:p>
        </w:tc>
        <w:tc>
          <w:tcPr>
            <w:tcW w:w="850"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BR4</w:t>
            </w:r>
          </w:p>
        </w:tc>
        <w:tc>
          <w:tcPr>
            <w:tcW w:w="727"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BR5</w:t>
            </w:r>
          </w:p>
        </w:tc>
      </w:tr>
      <w:tr w:rsidR="00F40E00" w:rsidRPr="00315335" w:rsidTr="00916B06">
        <w:trPr>
          <w:jc w:val="center"/>
        </w:trPr>
        <w:tc>
          <w:tcPr>
            <w:tcW w:w="4455" w:type="dxa"/>
            <w:shd w:val="clear" w:color="auto" w:fill="auto"/>
            <w:vAlign w:val="center"/>
          </w:tcPr>
          <w:p w:rsidR="00F40E00" w:rsidRPr="00315335" w:rsidRDefault="00F40E00" w:rsidP="00916B06">
            <w:pPr>
              <w:tabs>
                <w:tab w:val="num" w:pos="0"/>
              </w:tabs>
              <w:spacing w:after="0" w:line="240" w:lineRule="auto"/>
              <w:jc w:val="center"/>
              <w:rPr>
                <w:rFonts w:ascii="Arial" w:hAnsi="Arial" w:cs="Arial"/>
                <w:sz w:val="24"/>
                <w:szCs w:val="24"/>
              </w:rPr>
            </w:pPr>
            <w:r w:rsidRPr="00315335">
              <w:rPr>
                <w:rFonts w:ascii="Arial" w:hAnsi="Arial" w:cs="Arial"/>
                <w:sz w:val="24"/>
                <w:szCs w:val="24"/>
              </w:rPr>
              <w:t>2018 Maxima zilnică a mediilor pe 8 ore</w:t>
            </w:r>
          </w:p>
        </w:tc>
        <w:tc>
          <w:tcPr>
            <w:tcW w:w="850" w:type="dxa"/>
            <w:shd w:val="clear" w:color="auto" w:fill="auto"/>
            <w:vAlign w:val="center"/>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1,62</w:t>
            </w:r>
          </w:p>
        </w:tc>
        <w:tc>
          <w:tcPr>
            <w:tcW w:w="851" w:type="dxa"/>
            <w:shd w:val="clear" w:color="auto" w:fill="auto"/>
            <w:vAlign w:val="center"/>
          </w:tcPr>
          <w:p w:rsidR="00F40E00" w:rsidRPr="00315335" w:rsidRDefault="00F40E00" w:rsidP="00916B06">
            <w:pPr>
              <w:spacing w:after="0" w:line="240" w:lineRule="auto"/>
              <w:jc w:val="center"/>
              <w:rPr>
                <w:rFonts w:ascii="Arial" w:hAnsi="Arial" w:cs="Arial"/>
                <w:bCs/>
                <w:sz w:val="24"/>
                <w:szCs w:val="24"/>
              </w:rPr>
            </w:pPr>
            <w:r w:rsidRPr="00315335">
              <w:rPr>
                <w:rFonts w:ascii="Arial" w:hAnsi="Arial" w:cs="Arial"/>
                <w:bCs/>
                <w:sz w:val="24"/>
                <w:szCs w:val="24"/>
              </w:rPr>
              <w:t>1,87</w:t>
            </w:r>
          </w:p>
        </w:tc>
        <w:tc>
          <w:tcPr>
            <w:tcW w:w="709" w:type="dxa"/>
            <w:shd w:val="clear" w:color="auto" w:fill="auto"/>
            <w:vAlign w:val="center"/>
          </w:tcPr>
          <w:p w:rsidR="00F40E00" w:rsidRPr="00315335" w:rsidRDefault="00F40E00" w:rsidP="00916B06">
            <w:pPr>
              <w:spacing w:after="0" w:line="240" w:lineRule="auto"/>
              <w:jc w:val="center"/>
              <w:rPr>
                <w:rFonts w:ascii="Arial" w:hAnsi="Arial" w:cs="Arial"/>
                <w:bCs/>
                <w:sz w:val="24"/>
                <w:szCs w:val="24"/>
              </w:rPr>
            </w:pPr>
            <w:r w:rsidRPr="00315335">
              <w:rPr>
                <w:rFonts w:ascii="Arial" w:hAnsi="Arial" w:cs="Arial"/>
                <w:bCs/>
                <w:sz w:val="24"/>
                <w:szCs w:val="24"/>
              </w:rPr>
              <w:t>1,05</w:t>
            </w:r>
          </w:p>
        </w:tc>
        <w:tc>
          <w:tcPr>
            <w:tcW w:w="850" w:type="dxa"/>
            <w:shd w:val="clear" w:color="auto" w:fill="auto"/>
            <w:vAlign w:val="center"/>
          </w:tcPr>
          <w:p w:rsidR="00F40E00" w:rsidRPr="00315335" w:rsidRDefault="00F40E00" w:rsidP="00916B06">
            <w:pPr>
              <w:spacing w:after="0" w:line="240" w:lineRule="auto"/>
              <w:jc w:val="center"/>
              <w:rPr>
                <w:rFonts w:ascii="Arial" w:hAnsi="Arial" w:cs="Arial"/>
                <w:bCs/>
                <w:sz w:val="24"/>
                <w:szCs w:val="24"/>
              </w:rPr>
            </w:pPr>
            <w:r w:rsidRPr="00315335">
              <w:rPr>
                <w:rFonts w:ascii="Arial" w:hAnsi="Arial" w:cs="Arial"/>
                <w:bCs/>
                <w:sz w:val="24"/>
                <w:szCs w:val="24"/>
              </w:rPr>
              <w:t>1,95</w:t>
            </w:r>
          </w:p>
        </w:tc>
        <w:tc>
          <w:tcPr>
            <w:tcW w:w="727" w:type="dxa"/>
            <w:shd w:val="clear" w:color="auto" w:fill="auto"/>
            <w:vAlign w:val="center"/>
          </w:tcPr>
          <w:p w:rsidR="00F40E00" w:rsidRPr="00315335" w:rsidRDefault="00F40E00" w:rsidP="00916B06">
            <w:pPr>
              <w:spacing w:after="0" w:line="240" w:lineRule="auto"/>
              <w:jc w:val="center"/>
              <w:rPr>
                <w:rFonts w:ascii="Arial" w:hAnsi="Arial" w:cs="Arial"/>
                <w:bCs/>
                <w:sz w:val="24"/>
                <w:szCs w:val="24"/>
              </w:rPr>
            </w:pPr>
            <w:r w:rsidRPr="00315335">
              <w:rPr>
                <w:rFonts w:ascii="Arial" w:hAnsi="Arial" w:cs="Arial"/>
                <w:bCs/>
                <w:sz w:val="24"/>
                <w:szCs w:val="24"/>
              </w:rPr>
              <w:t>0,78</w:t>
            </w:r>
          </w:p>
        </w:tc>
      </w:tr>
    </w:tbl>
    <w:p w:rsidR="00F40E00" w:rsidRPr="00315335" w:rsidRDefault="00F40E00" w:rsidP="00F40E00">
      <w:pPr>
        <w:tabs>
          <w:tab w:val="left" w:pos="709"/>
        </w:tabs>
        <w:spacing w:after="0" w:line="240" w:lineRule="auto"/>
        <w:ind w:left="720" w:right="31"/>
        <w:rPr>
          <w:rFonts w:ascii="Arial" w:hAnsi="Arial" w:cs="Arial"/>
          <w:b/>
          <w:sz w:val="24"/>
          <w:szCs w:val="24"/>
        </w:rPr>
      </w:pPr>
    </w:p>
    <w:p w:rsidR="00F40E00" w:rsidRPr="00315335" w:rsidRDefault="00F40E00" w:rsidP="00F40E00">
      <w:pPr>
        <w:tabs>
          <w:tab w:val="left" w:pos="709"/>
        </w:tabs>
        <w:spacing w:after="0" w:line="240" w:lineRule="auto"/>
        <w:ind w:left="720" w:right="31"/>
        <w:rPr>
          <w:rFonts w:ascii="Arial" w:hAnsi="Arial" w:cs="Arial"/>
          <w:b/>
          <w:sz w:val="24"/>
          <w:szCs w:val="24"/>
        </w:rPr>
      </w:pPr>
      <w:r w:rsidRPr="00315335">
        <w:rPr>
          <w:rFonts w:ascii="Arial" w:hAnsi="Arial" w:cs="Arial"/>
          <w:b/>
          <w:sz w:val="24"/>
          <w:szCs w:val="24"/>
        </w:rPr>
        <w:t>I.1.1.1.6. Benzen</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Benzenul provine, în proporţie de 90%, de la motoarele cu ardere internă (trafic auto), în urma arderilor incomplete, restul rezultă din evaporarea combustibililor la stocare şi transfer, din arderea lemnului (contribuţia de la încălzirea locuinţelor este mică aproximativ 5%) şi din unele procese industriale. </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Efectele asupra sănătăţiii: pot fi de natură mutagenă şi cancerigenă, disconfort olfactiv, iritaţii şi diminuarea capacităţii respiratorii. </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Benzenul este îndepărtat din atmosferă prin dispersie, la apariţia condiţiilor meteorologice favorabile acestui fenomen sau prin reacţii fotochimice la care benzenul este reactant, determinând formarea ozonului. Având timp de remanenţă de câteva zile în atmosferă benzenul poate fi transportat pe distanţe lungi. </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În anul 2018 benzenul a fost monitorizat în staţia BR1 - de Trafic din municipiul Brăila (captura de date a fost de 30,54%), staţia BR2 - de fond urban din municipiul Brăila (captura de date a fost de 58,56%), staţia BR3 - de fond suburban din comuna Cazasu (captura de date a fost de 55,37%), staţia BR5 - de tip industrie din comuna Chiscani (captura de date a fost de 89,87%).</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p>
    <w:p w:rsidR="00F40E00" w:rsidRPr="00315335" w:rsidRDefault="00F40E00" w:rsidP="00F40E00">
      <w:pPr>
        <w:tabs>
          <w:tab w:val="num" w:pos="0"/>
        </w:tabs>
        <w:ind w:firstLine="720"/>
        <w:jc w:val="center"/>
        <w:rPr>
          <w:rFonts w:ascii="Arial" w:hAnsi="Arial" w:cs="Arial"/>
          <w:sz w:val="24"/>
          <w:szCs w:val="24"/>
        </w:rPr>
      </w:pPr>
      <w:r w:rsidRPr="00315335">
        <w:rPr>
          <w:rFonts w:ascii="Arial" w:hAnsi="Arial" w:cs="Arial"/>
          <w:noProof/>
          <w:sz w:val="24"/>
          <w:szCs w:val="24"/>
        </w:rPr>
        <w:drawing>
          <wp:inline distT="0" distB="0" distL="0" distR="0" wp14:anchorId="6BCA9400" wp14:editId="559CC566">
            <wp:extent cx="5067300" cy="1847850"/>
            <wp:effectExtent l="0" t="0" r="0" b="0"/>
            <wp:docPr id="150"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0E00" w:rsidRPr="00315335" w:rsidRDefault="00F40E00" w:rsidP="00F40E00">
      <w:pPr>
        <w:tabs>
          <w:tab w:val="num" w:pos="0"/>
        </w:tabs>
        <w:ind w:firstLine="720"/>
        <w:jc w:val="center"/>
        <w:rPr>
          <w:rFonts w:ascii="Arial" w:hAnsi="Arial" w:cs="Arial"/>
          <w:b/>
          <w:sz w:val="24"/>
          <w:szCs w:val="24"/>
        </w:rPr>
      </w:pPr>
      <w:r w:rsidRPr="00315335">
        <w:rPr>
          <w:rFonts w:ascii="Arial" w:hAnsi="Arial" w:cs="Arial"/>
          <w:b/>
          <w:sz w:val="24"/>
          <w:szCs w:val="24"/>
        </w:rPr>
        <w:t>Fig.I.1.1.1.6</w:t>
      </w:r>
      <w:r w:rsidRPr="00315335">
        <w:rPr>
          <w:rFonts w:ascii="Arial" w:hAnsi="Arial" w:cs="Arial"/>
          <w:sz w:val="24"/>
          <w:szCs w:val="24"/>
        </w:rPr>
        <w:t>. Concentraţia medie anuală de benzen în anul 2018</w:t>
      </w:r>
    </w:p>
    <w:p w:rsidR="00F40E00" w:rsidRPr="00315335" w:rsidRDefault="00916B06" w:rsidP="00916B06">
      <w:pPr>
        <w:tabs>
          <w:tab w:val="num" w:pos="0"/>
        </w:tabs>
        <w:spacing w:after="0" w:line="240" w:lineRule="auto"/>
        <w:rPr>
          <w:rFonts w:ascii="Arial" w:hAnsi="Arial" w:cs="Arial"/>
          <w:b/>
          <w:sz w:val="24"/>
          <w:szCs w:val="24"/>
        </w:rPr>
      </w:pPr>
      <w:r>
        <w:rPr>
          <w:rFonts w:ascii="Arial" w:hAnsi="Arial" w:cs="Arial"/>
          <w:sz w:val="24"/>
          <w:szCs w:val="24"/>
        </w:rPr>
        <w:t xml:space="preserve">                      </w:t>
      </w:r>
      <w:r w:rsidR="00F40E00" w:rsidRPr="00315335">
        <w:rPr>
          <w:rFonts w:ascii="Arial" w:hAnsi="Arial" w:cs="Arial"/>
          <w:b/>
          <w:sz w:val="24"/>
          <w:szCs w:val="24"/>
        </w:rPr>
        <w:t>Tabel I.1.1.1.6.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080"/>
        <w:gridCol w:w="1080"/>
        <w:gridCol w:w="1265"/>
        <w:gridCol w:w="1265"/>
      </w:tblGrid>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b/>
                <w:sz w:val="24"/>
                <w:szCs w:val="24"/>
              </w:rPr>
              <w:t>Benzen</w:t>
            </w:r>
            <w:r w:rsidRPr="00315335">
              <w:rPr>
                <w:rFonts w:ascii="Arial" w:hAnsi="Arial" w:cs="Arial"/>
                <w:sz w:val="24"/>
                <w:szCs w:val="24"/>
              </w:rPr>
              <w:t xml:space="preserve">    (</w:t>
            </w:r>
            <w:r w:rsidRPr="00315335">
              <w:rPr>
                <w:rFonts w:ascii="Arial" w:hAnsi="Arial" w:cs="Arial"/>
                <w:sz w:val="24"/>
                <w:szCs w:val="24"/>
              </w:rPr>
              <w:sym w:font="Symbol" w:char="F06D"/>
            </w:r>
            <w:r w:rsidRPr="00315335">
              <w:rPr>
                <w:rFonts w:ascii="Arial" w:hAnsi="Arial" w:cs="Arial"/>
                <w:sz w:val="24"/>
                <w:szCs w:val="24"/>
              </w:rPr>
              <w:t>g/mc)</w:t>
            </w:r>
          </w:p>
        </w:tc>
        <w:tc>
          <w:tcPr>
            <w:tcW w:w="1080"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BR1</w:t>
            </w:r>
          </w:p>
        </w:tc>
        <w:tc>
          <w:tcPr>
            <w:tcW w:w="1080"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BR2</w:t>
            </w:r>
          </w:p>
        </w:tc>
        <w:tc>
          <w:tcPr>
            <w:tcW w:w="1265"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BR3</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b/>
                <w:sz w:val="24"/>
                <w:szCs w:val="24"/>
              </w:rPr>
              <w:t>BR5</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2018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2,38</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1,33</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2,23</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1,35</w:t>
            </w:r>
          </w:p>
        </w:tc>
      </w:tr>
    </w:tbl>
    <w:p w:rsidR="00F40E00" w:rsidRPr="00315335" w:rsidRDefault="00F40E00" w:rsidP="00F40E00">
      <w:pPr>
        <w:tabs>
          <w:tab w:val="num" w:pos="0"/>
        </w:tabs>
        <w:spacing w:after="0"/>
        <w:jc w:val="both"/>
        <w:rPr>
          <w:rFonts w:ascii="Arial" w:hAnsi="Arial" w:cs="Arial"/>
          <w:sz w:val="24"/>
          <w:szCs w:val="24"/>
        </w:rPr>
      </w:pPr>
      <w:r w:rsidRPr="00315335">
        <w:rPr>
          <w:rFonts w:ascii="Arial" w:hAnsi="Arial" w:cs="Arial"/>
          <w:b/>
          <w:sz w:val="24"/>
          <w:szCs w:val="24"/>
          <w:lang w:val="pl-PL"/>
        </w:rPr>
        <w:tab/>
        <w:t>*</w:t>
      </w:r>
      <w:r w:rsidRPr="00315335">
        <w:rPr>
          <w:rFonts w:ascii="Arial" w:hAnsi="Arial" w:cs="Arial"/>
          <w:sz w:val="24"/>
          <w:szCs w:val="24"/>
          <w:lang w:val="pl-PL"/>
        </w:rPr>
        <w:t>Notă – Valorile medii anuale prezentate sunt orientative deoarece nu au fost îndeplinite cerinţele privind captura de date minimă</w:t>
      </w:r>
    </w:p>
    <w:p w:rsidR="00F40E00" w:rsidRPr="00315335" w:rsidRDefault="00F40E00" w:rsidP="00F40E00">
      <w:pPr>
        <w:ind w:firstLine="720"/>
        <w:jc w:val="both"/>
        <w:rPr>
          <w:rFonts w:ascii="Arial" w:hAnsi="Arial" w:cs="Arial"/>
          <w:b/>
          <w:sz w:val="24"/>
          <w:szCs w:val="24"/>
        </w:rPr>
      </w:pPr>
      <w:r w:rsidRPr="00315335">
        <w:rPr>
          <w:rFonts w:ascii="Arial" w:hAnsi="Arial" w:cs="Arial"/>
          <w:sz w:val="24"/>
          <w:szCs w:val="24"/>
        </w:rPr>
        <w:t>Valorile medii anuale înregistrate s-au situat sub valoarea limită anuală stabilită în Legea nr.104/2011 privind calitatea aerului înconjurător (5 μg/mc).</w:t>
      </w:r>
    </w:p>
    <w:p w:rsidR="00F40E00" w:rsidRPr="00315335" w:rsidRDefault="00F40E00" w:rsidP="00F40E00">
      <w:pPr>
        <w:tabs>
          <w:tab w:val="num" w:pos="0"/>
        </w:tabs>
        <w:spacing w:after="0" w:line="240" w:lineRule="auto"/>
        <w:ind w:firstLine="720"/>
        <w:rPr>
          <w:rFonts w:ascii="Arial" w:hAnsi="Arial" w:cs="Arial"/>
          <w:b/>
          <w:sz w:val="24"/>
          <w:szCs w:val="24"/>
        </w:rPr>
      </w:pPr>
      <w:r w:rsidRPr="00315335">
        <w:rPr>
          <w:rFonts w:ascii="Arial" w:hAnsi="Arial" w:cs="Arial"/>
          <w:b/>
          <w:sz w:val="24"/>
          <w:szCs w:val="24"/>
        </w:rPr>
        <w:lastRenderedPageBreak/>
        <w:t xml:space="preserve">I.1.1.1.7. Ozon </w:t>
      </w:r>
    </w:p>
    <w:p w:rsidR="00F40E00" w:rsidRPr="00315335" w:rsidRDefault="00F40E00" w:rsidP="00F40E00">
      <w:pPr>
        <w:pStyle w:val="Default"/>
        <w:jc w:val="both"/>
        <w:rPr>
          <w:rFonts w:ascii="Arial" w:hAnsi="Arial" w:cs="Arial"/>
          <w:color w:val="auto"/>
        </w:rPr>
      </w:pPr>
      <w:r w:rsidRPr="00315335">
        <w:rPr>
          <w:rFonts w:ascii="Arial" w:hAnsi="Arial" w:cs="Arial"/>
          <w:color w:val="auto"/>
        </w:rPr>
        <w:tab/>
        <w:t xml:space="preserve">Se găseşte în mod natural în concentraţii foarte mici în troposferă. Spre deosebire de ozonul stratosferic, care protejează viaţa pe Pământ, ozonul troposferic (cuprins între sol şi 8-10 km înălţime) este deosebit de toxic, având o acţiune puternic iritantă asupra căilor respiratorii, ochilor şi are potenţial cancerigen. Deasemenea, ozonul are efect toxic şi pentru plante, la care determină inhibarea fotosintezei, producerea de leziuni foliare, necroze. </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Ozonul este un poluant secundar deoarece, spre deosebire de alţi poluanţi, el nu este emis direct de vreo sursă de emisie, ci se formează sub influenţa radiaţiilor ultraviolete, prin reacţii fotochimice în lanţ între o serie de poluanţi primari (precursori ai ozonului) şi anume: oxizii de azot (NOx), compuşii organici volatili (COV), monoxidul de carbon (CO). </w:t>
      </w:r>
    </w:p>
    <w:p w:rsidR="00F40E00" w:rsidRPr="00315335" w:rsidRDefault="00F40E00" w:rsidP="00F40E00">
      <w:pPr>
        <w:autoSpaceDE w:val="0"/>
        <w:autoSpaceDN w:val="0"/>
        <w:adjustRightInd w:val="0"/>
        <w:spacing w:after="0" w:line="240" w:lineRule="auto"/>
        <w:ind w:firstLine="720"/>
        <w:jc w:val="both"/>
        <w:rPr>
          <w:rFonts w:ascii="Arial" w:hAnsi="Arial" w:cs="Arial"/>
          <w:i/>
          <w:sz w:val="24"/>
          <w:szCs w:val="24"/>
        </w:rPr>
      </w:pPr>
      <w:r w:rsidRPr="00315335">
        <w:rPr>
          <w:rFonts w:ascii="Arial" w:hAnsi="Arial" w:cs="Arial"/>
          <w:noProof/>
          <w:sz w:val="24"/>
          <w:szCs w:val="24"/>
        </w:rPr>
        <w:drawing>
          <wp:anchor distT="0" distB="0" distL="114300" distR="114300" simplePos="0" relativeHeight="251652608" behindDoc="0" locked="0" layoutInCell="1" allowOverlap="1" wp14:anchorId="7A4DCE91" wp14:editId="15FA7BD3">
            <wp:simplePos x="0" y="0"/>
            <wp:positionH relativeFrom="column">
              <wp:posOffset>913906</wp:posOffset>
            </wp:positionH>
            <wp:positionV relativeFrom="paragraph">
              <wp:posOffset>1051560</wp:posOffset>
            </wp:positionV>
            <wp:extent cx="5067300" cy="1847850"/>
            <wp:effectExtent l="0" t="0" r="0" b="0"/>
            <wp:wrapSquare wrapText="bothSides"/>
            <wp:docPr id="151"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315335">
        <w:rPr>
          <w:rFonts w:ascii="Arial" w:hAnsi="Arial" w:cs="Arial"/>
          <w:i/>
          <w:sz w:val="24"/>
          <w:szCs w:val="24"/>
        </w:rPr>
        <w:t xml:space="preserve">Concentraţiile de ozon din aerul înconjurător se evaluează folosind </w:t>
      </w:r>
      <w:r w:rsidRPr="00315335">
        <w:rPr>
          <w:rFonts w:ascii="Arial" w:hAnsi="Arial" w:cs="Arial"/>
          <w:b/>
          <w:i/>
          <w:iCs/>
          <w:sz w:val="24"/>
          <w:szCs w:val="24"/>
        </w:rPr>
        <w:t xml:space="preserve">pragul de alertă (240 </w:t>
      </w:r>
      <w:r w:rsidRPr="00315335">
        <w:rPr>
          <w:rFonts w:ascii="Arial" w:hAnsi="Arial" w:cs="Arial"/>
          <w:b/>
          <w:i/>
          <w:sz w:val="24"/>
          <w:szCs w:val="24"/>
        </w:rPr>
        <w:t>µ</w:t>
      </w:r>
      <w:r w:rsidRPr="00315335">
        <w:rPr>
          <w:rFonts w:ascii="Arial" w:hAnsi="Arial" w:cs="Arial"/>
          <w:b/>
          <w:i/>
          <w:iCs/>
          <w:sz w:val="24"/>
          <w:szCs w:val="24"/>
        </w:rPr>
        <w:t>g/mc)</w:t>
      </w:r>
      <w:r w:rsidRPr="00315335">
        <w:rPr>
          <w:rFonts w:ascii="Arial" w:hAnsi="Arial" w:cs="Arial"/>
          <w:i/>
          <w:sz w:val="24"/>
          <w:szCs w:val="24"/>
        </w:rPr>
        <w:t>calculat ca medie a concentraţiilor orare (valoare ce trebuie măsurată timp de 3 ore consecutiv)</w:t>
      </w:r>
      <w:r w:rsidRPr="00315335">
        <w:rPr>
          <w:rFonts w:ascii="Arial" w:hAnsi="Arial" w:cs="Arial"/>
          <w:i/>
          <w:iCs/>
          <w:sz w:val="24"/>
          <w:szCs w:val="24"/>
        </w:rPr>
        <w:t xml:space="preserve">, </w:t>
      </w:r>
      <w:r w:rsidRPr="00315335">
        <w:rPr>
          <w:rFonts w:ascii="Arial" w:hAnsi="Arial" w:cs="Arial"/>
          <w:b/>
          <w:i/>
          <w:iCs/>
          <w:sz w:val="24"/>
          <w:szCs w:val="24"/>
        </w:rPr>
        <w:t xml:space="preserve">pragul de informare (180 </w:t>
      </w:r>
      <w:r w:rsidRPr="00315335">
        <w:rPr>
          <w:rFonts w:ascii="Arial" w:hAnsi="Arial" w:cs="Arial"/>
          <w:b/>
          <w:i/>
          <w:sz w:val="24"/>
          <w:szCs w:val="24"/>
        </w:rPr>
        <w:t>µ</w:t>
      </w:r>
      <w:r w:rsidRPr="00315335">
        <w:rPr>
          <w:rFonts w:ascii="Arial" w:hAnsi="Arial" w:cs="Arial"/>
          <w:b/>
          <w:i/>
          <w:iCs/>
          <w:sz w:val="24"/>
          <w:szCs w:val="24"/>
        </w:rPr>
        <w:t>g/mc)</w:t>
      </w:r>
      <w:r w:rsidRPr="00315335">
        <w:rPr>
          <w:rFonts w:ascii="Arial" w:hAnsi="Arial" w:cs="Arial"/>
          <w:i/>
          <w:sz w:val="24"/>
          <w:szCs w:val="24"/>
        </w:rPr>
        <w:t xml:space="preserve">calculat ca medie a concentraţiilor orare </w:t>
      </w:r>
      <w:r w:rsidRPr="00315335">
        <w:rPr>
          <w:rFonts w:ascii="Arial" w:hAnsi="Arial" w:cs="Arial"/>
          <w:i/>
          <w:iCs/>
          <w:sz w:val="24"/>
          <w:szCs w:val="24"/>
        </w:rPr>
        <w:t xml:space="preserve">şi </w:t>
      </w:r>
      <w:r w:rsidRPr="00315335">
        <w:rPr>
          <w:rFonts w:ascii="Arial" w:hAnsi="Arial" w:cs="Arial"/>
          <w:b/>
          <w:i/>
          <w:iCs/>
          <w:sz w:val="24"/>
          <w:szCs w:val="24"/>
        </w:rPr>
        <w:t>valoarea ţintă</w:t>
      </w:r>
      <w:r w:rsidRPr="00315335">
        <w:rPr>
          <w:rFonts w:ascii="Arial" w:hAnsi="Arial" w:cs="Arial"/>
          <w:i/>
          <w:iCs/>
          <w:sz w:val="24"/>
          <w:szCs w:val="24"/>
        </w:rPr>
        <w:t xml:space="preserve"> pentru protecţia sănătăţii umane </w:t>
      </w:r>
      <w:r w:rsidRPr="00315335">
        <w:rPr>
          <w:rFonts w:ascii="Arial" w:hAnsi="Arial" w:cs="Arial"/>
          <w:b/>
          <w:i/>
          <w:sz w:val="24"/>
          <w:szCs w:val="24"/>
        </w:rPr>
        <w:t>(120 µ</w:t>
      </w:r>
      <w:r w:rsidRPr="00315335">
        <w:rPr>
          <w:rFonts w:ascii="Arial" w:hAnsi="Arial" w:cs="Arial"/>
          <w:b/>
          <w:i/>
          <w:iCs/>
          <w:sz w:val="24"/>
          <w:szCs w:val="24"/>
        </w:rPr>
        <w:t>g/mc)</w:t>
      </w:r>
      <w:r w:rsidRPr="00315335">
        <w:rPr>
          <w:rFonts w:ascii="Arial" w:hAnsi="Arial" w:cs="Arial"/>
          <w:i/>
          <w:sz w:val="24"/>
          <w:szCs w:val="24"/>
        </w:rPr>
        <w:t xml:space="preserve">calculată ca valoare maximă zilnică a mediilor pe 8 ore (medie mobilă), pentru care sunt permise un număr de 25 de depăşiri pe an calendaristic. </w:t>
      </w:r>
    </w:p>
    <w:p w:rsidR="00F40E00" w:rsidRPr="00315335" w:rsidRDefault="00F40E00" w:rsidP="00F40E00">
      <w:pPr>
        <w:tabs>
          <w:tab w:val="num" w:pos="0"/>
        </w:tabs>
        <w:ind w:firstLine="1701"/>
        <w:rPr>
          <w:rFonts w:ascii="Arial" w:hAnsi="Arial" w:cs="Arial"/>
          <w:sz w:val="24"/>
          <w:szCs w:val="24"/>
        </w:rPr>
      </w:pPr>
      <w:r w:rsidRPr="00315335">
        <w:rPr>
          <w:rFonts w:ascii="Arial" w:hAnsi="Arial" w:cs="Arial"/>
          <w:sz w:val="24"/>
          <w:szCs w:val="24"/>
        </w:rPr>
        <w:br w:type="textWrapping" w:clear="all"/>
      </w:r>
      <w:r w:rsidRPr="00315335">
        <w:rPr>
          <w:rFonts w:ascii="Arial" w:hAnsi="Arial" w:cs="Arial"/>
          <w:b/>
          <w:sz w:val="24"/>
          <w:szCs w:val="24"/>
        </w:rPr>
        <w:t xml:space="preserve">                            Fig.I.1.1.1.7.</w:t>
      </w:r>
      <w:r w:rsidRPr="00315335">
        <w:rPr>
          <w:rFonts w:ascii="Arial" w:hAnsi="Arial" w:cs="Arial"/>
          <w:sz w:val="24"/>
          <w:szCs w:val="24"/>
        </w:rPr>
        <w:t xml:space="preserve"> Concentraţia medie anuală de ozon în anul 2018</w:t>
      </w:r>
    </w:p>
    <w:p w:rsidR="00F40E00" w:rsidRPr="00315335" w:rsidRDefault="00916B06" w:rsidP="00916B06">
      <w:pPr>
        <w:tabs>
          <w:tab w:val="num" w:pos="0"/>
        </w:tabs>
        <w:spacing w:after="0" w:line="240" w:lineRule="auto"/>
        <w:rPr>
          <w:rFonts w:ascii="Arial" w:hAnsi="Arial" w:cs="Arial"/>
          <w:b/>
          <w:sz w:val="24"/>
          <w:szCs w:val="24"/>
        </w:rPr>
      </w:pPr>
      <w:r>
        <w:rPr>
          <w:rFonts w:ascii="Arial" w:hAnsi="Arial" w:cs="Arial"/>
          <w:b/>
          <w:sz w:val="24"/>
          <w:szCs w:val="24"/>
        </w:rPr>
        <w:t xml:space="preserve">         </w:t>
      </w:r>
      <w:r w:rsidR="00F40E00" w:rsidRPr="00315335">
        <w:rPr>
          <w:rFonts w:ascii="Arial" w:hAnsi="Arial" w:cs="Arial"/>
          <w:b/>
          <w:sz w:val="24"/>
          <w:szCs w:val="24"/>
        </w:rPr>
        <w:t>Tabel I.1.1.1.7.</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1080"/>
        <w:gridCol w:w="1080"/>
        <w:gridCol w:w="1167"/>
        <w:gridCol w:w="1265"/>
      </w:tblGrid>
      <w:tr w:rsidR="00315335" w:rsidRPr="00315335" w:rsidTr="00916B06">
        <w:tc>
          <w:tcPr>
            <w:tcW w:w="2194" w:type="dxa"/>
          </w:tcPr>
          <w:p w:rsidR="00F40E00" w:rsidRPr="00315335" w:rsidRDefault="00F40E00" w:rsidP="00916B06">
            <w:pPr>
              <w:tabs>
                <w:tab w:val="num" w:pos="0"/>
              </w:tabs>
              <w:spacing w:before="100" w:beforeAutospacing="1" w:after="100" w:afterAutospacing="1" w:line="240" w:lineRule="auto"/>
              <w:jc w:val="center"/>
              <w:rPr>
                <w:rFonts w:ascii="Arial" w:hAnsi="Arial" w:cs="Arial"/>
                <w:sz w:val="24"/>
                <w:szCs w:val="24"/>
              </w:rPr>
            </w:pPr>
            <w:r w:rsidRPr="00315335">
              <w:rPr>
                <w:rFonts w:ascii="Arial" w:hAnsi="Arial" w:cs="Arial"/>
                <w:b/>
                <w:sz w:val="24"/>
                <w:szCs w:val="24"/>
              </w:rPr>
              <w:t>O</w:t>
            </w:r>
            <w:r w:rsidRPr="00315335">
              <w:rPr>
                <w:rFonts w:ascii="Arial" w:hAnsi="Arial" w:cs="Arial"/>
                <w:b/>
                <w:sz w:val="24"/>
                <w:szCs w:val="24"/>
                <w:vertAlign w:val="subscript"/>
              </w:rPr>
              <w:t>3</w:t>
            </w:r>
            <w:r w:rsidRPr="00315335">
              <w:rPr>
                <w:rFonts w:ascii="Arial" w:hAnsi="Arial" w:cs="Arial"/>
                <w:sz w:val="24"/>
                <w:szCs w:val="24"/>
              </w:rPr>
              <w:t xml:space="preserve">  (</w:t>
            </w:r>
            <w:r w:rsidRPr="00315335">
              <w:rPr>
                <w:rFonts w:ascii="Arial" w:hAnsi="Arial" w:cs="Arial"/>
                <w:sz w:val="24"/>
                <w:szCs w:val="24"/>
              </w:rPr>
              <w:sym w:font="Symbol" w:char="F06D"/>
            </w:r>
            <w:r w:rsidRPr="00315335">
              <w:rPr>
                <w:rFonts w:ascii="Arial" w:hAnsi="Arial" w:cs="Arial"/>
                <w:sz w:val="24"/>
                <w:szCs w:val="24"/>
              </w:rPr>
              <w:t>g/mc)</w:t>
            </w:r>
          </w:p>
        </w:tc>
        <w:tc>
          <w:tcPr>
            <w:tcW w:w="1080" w:type="dxa"/>
          </w:tcPr>
          <w:p w:rsidR="00F40E00" w:rsidRPr="00315335" w:rsidRDefault="00F40E00" w:rsidP="00916B06">
            <w:pPr>
              <w:spacing w:before="100" w:beforeAutospacing="1" w:after="100" w:afterAutospacing="1" w:line="240" w:lineRule="auto"/>
              <w:jc w:val="center"/>
              <w:rPr>
                <w:rFonts w:ascii="Arial" w:hAnsi="Arial" w:cs="Arial"/>
                <w:b/>
                <w:sz w:val="24"/>
                <w:szCs w:val="24"/>
              </w:rPr>
            </w:pPr>
            <w:r w:rsidRPr="00315335">
              <w:rPr>
                <w:rFonts w:ascii="Arial" w:hAnsi="Arial" w:cs="Arial"/>
                <w:b/>
                <w:sz w:val="24"/>
                <w:szCs w:val="24"/>
              </w:rPr>
              <w:t>BR2</w:t>
            </w:r>
          </w:p>
        </w:tc>
        <w:tc>
          <w:tcPr>
            <w:tcW w:w="1080" w:type="dxa"/>
          </w:tcPr>
          <w:p w:rsidR="00F40E00" w:rsidRPr="00315335" w:rsidRDefault="00F40E00" w:rsidP="00916B06">
            <w:pPr>
              <w:spacing w:before="100" w:beforeAutospacing="1" w:after="100" w:afterAutospacing="1" w:line="240" w:lineRule="auto"/>
              <w:jc w:val="center"/>
              <w:rPr>
                <w:rFonts w:ascii="Arial" w:hAnsi="Arial" w:cs="Arial"/>
                <w:b/>
                <w:sz w:val="24"/>
                <w:szCs w:val="24"/>
              </w:rPr>
            </w:pPr>
            <w:r w:rsidRPr="00315335">
              <w:rPr>
                <w:rFonts w:ascii="Arial" w:hAnsi="Arial" w:cs="Arial"/>
                <w:b/>
                <w:sz w:val="24"/>
                <w:szCs w:val="24"/>
              </w:rPr>
              <w:t>BR3</w:t>
            </w:r>
          </w:p>
        </w:tc>
        <w:tc>
          <w:tcPr>
            <w:tcW w:w="1167" w:type="dxa"/>
          </w:tcPr>
          <w:p w:rsidR="00F40E00" w:rsidRPr="00315335" w:rsidRDefault="00F40E00" w:rsidP="00916B06">
            <w:pPr>
              <w:spacing w:before="100" w:beforeAutospacing="1" w:after="100" w:afterAutospacing="1" w:line="240" w:lineRule="auto"/>
              <w:jc w:val="center"/>
              <w:rPr>
                <w:rFonts w:ascii="Arial" w:hAnsi="Arial" w:cs="Arial"/>
                <w:b/>
                <w:sz w:val="24"/>
                <w:szCs w:val="24"/>
              </w:rPr>
            </w:pPr>
            <w:r w:rsidRPr="00315335">
              <w:rPr>
                <w:rFonts w:ascii="Arial" w:hAnsi="Arial" w:cs="Arial"/>
                <w:b/>
                <w:sz w:val="24"/>
                <w:szCs w:val="24"/>
              </w:rPr>
              <w:t>BR4</w:t>
            </w:r>
          </w:p>
        </w:tc>
        <w:tc>
          <w:tcPr>
            <w:tcW w:w="1265" w:type="dxa"/>
          </w:tcPr>
          <w:p w:rsidR="00F40E00" w:rsidRPr="00315335" w:rsidRDefault="00F40E00" w:rsidP="00916B06">
            <w:pPr>
              <w:spacing w:before="100" w:beforeAutospacing="1" w:after="100" w:afterAutospacing="1" w:line="240" w:lineRule="auto"/>
              <w:jc w:val="center"/>
              <w:rPr>
                <w:rFonts w:ascii="Arial" w:hAnsi="Arial" w:cs="Arial"/>
                <w:b/>
                <w:sz w:val="24"/>
                <w:szCs w:val="24"/>
              </w:rPr>
            </w:pPr>
            <w:r w:rsidRPr="00315335">
              <w:rPr>
                <w:rFonts w:ascii="Arial" w:hAnsi="Arial" w:cs="Arial"/>
                <w:b/>
                <w:sz w:val="24"/>
                <w:szCs w:val="24"/>
              </w:rPr>
              <w:t>BR5</w:t>
            </w:r>
          </w:p>
        </w:tc>
      </w:tr>
      <w:tr w:rsidR="00315335" w:rsidRPr="00315335" w:rsidTr="00916B06">
        <w:tc>
          <w:tcPr>
            <w:tcW w:w="2194" w:type="dxa"/>
          </w:tcPr>
          <w:p w:rsidR="00F40E00" w:rsidRPr="00315335" w:rsidRDefault="00F40E00" w:rsidP="00916B06">
            <w:pPr>
              <w:tabs>
                <w:tab w:val="num" w:pos="0"/>
              </w:tabs>
              <w:spacing w:before="100" w:beforeAutospacing="1" w:after="100" w:afterAutospacing="1" w:line="240" w:lineRule="auto"/>
              <w:jc w:val="center"/>
              <w:rPr>
                <w:rFonts w:ascii="Arial" w:hAnsi="Arial" w:cs="Arial"/>
                <w:sz w:val="24"/>
                <w:szCs w:val="24"/>
              </w:rPr>
            </w:pPr>
            <w:r w:rsidRPr="00315335">
              <w:rPr>
                <w:rFonts w:ascii="Arial" w:hAnsi="Arial" w:cs="Arial"/>
                <w:sz w:val="24"/>
                <w:szCs w:val="24"/>
              </w:rPr>
              <w:t>2018 Medii anuale</w:t>
            </w:r>
          </w:p>
        </w:tc>
        <w:tc>
          <w:tcPr>
            <w:tcW w:w="1080" w:type="dxa"/>
          </w:tcPr>
          <w:p w:rsidR="00F40E00" w:rsidRPr="00315335" w:rsidRDefault="00F40E00" w:rsidP="00916B06">
            <w:pPr>
              <w:spacing w:before="100" w:beforeAutospacing="1" w:after="100" w:afterAutospacing="1" w:line="240" w:lineRule="auto"/>
              <w:jc w:val="center"/>
              <w:rPr>
                <w:rFonts w:ascii="Arial" w:hAnsi="Arial" w:cs="Arial"/>
                <w:sz w:val="24"/>
                <w:szCs w:val="24"/>
              </w:rPr>
            </w:pPr>
            <w:r w:rsidRPr="00315335">
              <w:rPr>
                <w:rFonts w:ascii="Arial" w:hAnsi="Arial" w:cs="Arial"/>
                <w:sz w:val="24"/>
                <w:szCs w:val="24"/>
              </w:rPr>
              <w:t>75,92</w:t>
            </w:r>
          </w:p>
        </w:tc>
        <w:tc>
          <w:tcPr>
            <w:tcW w:w="1080" w:type="dxa"/>
          </w:tcPr>
          <w:p w:rsidR="00F40E00" w:rsidRPr="00315335" w:rsidRDefault="00F40E00" w:rsidP="00916B06">
            <w:pPr>
              <w:spacing w:before="100" w:beforeAutospacing="1" w:after="100" w:afterAutospacing="1" w:line="240" w:lineRule="auto"/>
              <w:jc w:val="center"/>
              <w:rPr>
                <w:rFonts w:ascii="Arial" w:hAnsi="Arial" w:cs="Arial"/>
                <w:sz w:val="24"/>
                <w:szCs w:val="24"/>
              </w:rPr>
            </w:pPr>
            <w:r w:rsidRPr="00315335">
              <w:rPr>
                <w:rFonts w:ascii="Arial" w:hAnsi="Arial" w:cs="Arial"/>
                <w:sz w:val="24"/>
                <w:szCs w:val="24"/>
              </w:rPr>
              <w:t>58,69</w:t>
            </w:r>
          </w:p>
        </w:tc>
        <w:tc>
          <w:tcPr>
            <w:tcW w:w="1167" w:type="dxa"/>
          </w:tcPr>
          <w:p w:rsidR="00F40E00" w:rsidRPr="00315335" w:rsidRDefault="00F40E00" w:rsidP="00916B06">
            <w:pPr>
              <w:spacing w:before="100" w:beforeAutospacing="1" w:after="100" w:afterAutospacing="1" w:line="240" w:lineRule="auto"/>
              <w:jc w:val="center"/>
              <w:rPr>
                <w:rFonts w:ascii="Arial" w:hAnsi="Arial" w:cs="Arial"/>
                <w:sz w:val="24"/>
                <w:szCs w:val="24"/>
              </w:rPr>
            </w:pPr>
            <w:r w:rsidRPr="00315335">
              <w:rPr>
                <w:rFonts w:ascii="Arial" w:hAnsi="Arial" w:cs="Arial"/>
                <w:sz w:val="24"/>
                <w:szCs w:val="24"/>
              </w:rPr>
              <w:t>49,35</w:t>
            </w:r>
          </w:p>
        </w:tc>
        <w:tc>
          <w:tcPr>
            <w:tcW w:w="1265" w:type="dxa"/>
          </w:tcPr>
          <w:p w:rsidR="00F40E00" w:rsidRPr="00315335" w:rsidRDefault="00F40E00" w:rsidP="00916B06">
            <w:pPr>
              <w:spacing w:before="100" w:beforeAutospacing="1" w:after="100" w:afterAutospacing="1" w:line="240" w:lineRule="auto"/>
              <w:jc w:val="center"/>
              <w:rPr>
                <w:rFonts w:ascii="Arial" w:hAnsi="Arial" w:cs="Arial"/>
                <w:sz w:val="24"/>
                <w:szCs w:val="24"/>
              </w:rPr>
            </w:pPr>
            <w:r w:rsidRPr="00315335">
              <w:rPr>
                <w:rFonts w:ascii="Arial" w:hAnsi="Arial" w:cs="Arial"/>
                <w:sz w:val="24"/>
                <w:szCs w:val="24"/>
              </w:rPr>
              <w:t>65,11</w:t>
            </w:r>
          </w:p>
        </w:tc>
      </w:tr>
    </w:tbl>
    <w:p w:rsidR="00F40E00" w:rsidRPr="00315335" w:rsidRDefault="00F40E00" w:rsidP="00F40E00">
      <w:pPr>
        <w:tabs>
          <w:tab w:val="num" w:pos="0"/>
        </w:tabs>
        <w:spacing w:after="0" w:line="240" w:lineRule="auto"/>
        <w:ind w:firstLine="720"/>
        <w:jc w:val="both"/>
        <w:rPr>
          <w:rFonts w:ascii="Arial" w:hAnsi="Arial" w:cs="Arial"/>
          <w:sz w:val="24"/>
          <w:szCs w:val="24"/>
        </w:rPr>
      </w:pPr>
    </w:p>
    <w:p w:rsidR="00F40E00" w:rsidRPr="00315335" w:rsidRDefault="00F40E00" w:rsidP="00F40E00">
      <w:pPr>
        <w:tabs>
          <w:tab w:val="num" w:pos="0"/>
        </w:tabs>
        <w:spacing w:after="0" w:line="240" w:lineRule="auto"/>
        <w:ind w:firstLine="720"/>
        <w:jc w:val="both"/>
        <w:rPr>
          <w:rFonts w:ascii="Arial" w:hAnsi="Arial" w:cs="Arial"/>
          <w:sz w:val="24"/>
          <w:szCs w:val="24"/>
        </w:rPr>
      </w:pPr>
    </w:p>
    <w:p w:rsidR="00F40E00" w:rsidRPr="00315335" w:rsidRDefault="00F40E00" w:rsidP="00F40E00">
      <w:pPr>
        <w:tabs>
          <w:tab w:val="num" w:pos="0"/>
        </w:tabs>
        <w:spacing w:after="0" w:line="240" w:lineRule="auto"/>
        <w:ind w:firstLine="720"/>
        <w:jc w:val="both"/>
        <w:rPr>
          <w:rFonts w:ascii="Arial" w:hAnsi="Arial" w:cs="Arial"/>
          <w:sz w:val="24"/>
          <w:szCs w:val="24"/>
        </w:rPr>
      </w:pPr>
    </w:p>
    <w:p w:rsidR="00F40E00" w:rsidRPr="00315335" w:rsidRDefault="00F40E00" w:rsidP="00F40E00">
      <w:pPr>
        <w:tabs>
          <w:tab w:val="num" w:pos="0"/>
        </w:tabs>
        <w:spacing w:after="0"/>
        <w:jc w:val="both"/>
        <w:rPr>
          <w:rFonts w:ascii="Arial" w:hAnsi="Arial" w:cs="Arial"/>
          <w:sz w:val="24"/>
          <w:szCs w:val="24"/>
        </w:rPr>
      </w:pPr>
      <w:r w:rsidRPr="00315335">
        <w:rPr>
          <w:rFonts w:ascii="Arial" w:hAnsi="Arial" w:cs="Arial"/>
          <w:b/>
          <w:sz w:val="24"/>
          <w:szCs w:val="24"/>
          <w:lang w:val="pl-PL"/>
        </w:rPr>
        <w:tab/>
        <w:t>*</w:t>
      </w:r>
      <w:r w:rsidRPr="00315335">
        <w:rPr>
          <w:rFonts w:ascii="Arial" w:hAnsi="Arial" w:cs="Arial"/>
          <w:sz w:val="24"/>
          <w:szCs w:val="24"/>
          <w:lang w:val="pl-PL"/>
        </w:rPr>
        <w:t>Notă – Valorile medii anuale în staţia BR2 sunt orientative deoarece nu au fost îndeplinite cerinţele privind captura de date minimă.</w:t>
      </w:r>
    </w:p>
    <w:p w:rsidR="00F40E00" w:rsidRPr="00315335" w:rsidRDefault="00F40E00" w:rsidP="00F40E00">
      <w:pPr>
        <w:tabs>
          <w:tab w:val="num" w:pos="0"/>
        </w:tabs>
        <w:spacing w:after="0" w:line="240" w:lineRule="auto"/>
        <w:ind w:firstLine="720"/>
        <w:jc w:val="both"/>
        <w:rPr>
          <w:rFonts w:ascii="Arial" w:hAnsi="Arial" w:cs="Arial"/>
          <w:sz w:val="24"/>
          <w:szCs w:val="24"/>
        </w:rPr>
      </w:pPr>
      <w:r w:rsidRPr="00315335">
        <w:rPr>
          <w:rFonts w:ascii="Arial" w:hAnsi="Arial" w:cs="Arial"/>
          <w:sz w:val="24"/>
          <w:szCs w:val="24"/>
        </w:rPr>
        <w:t xml:space="preserve">Valorile orare pentru ozon au fost mai mici decât pragul de alertă (240 μg/mc - medie orară), precum şi faţă de pragul de informare (180 μg/mc - medie orară). </w:t>
      </w:r>
    </w:p>
    <w:p w:rsidR="00F40E00" w:rsidRPr="00315335" w:rsidRDefault="00F40E00" w:rsidP="00F40E00">
      <w:pPr>
        <w:tabs>
          <w:tab w:val="num" w:pos="0"/>
        </w:tabs>
        <w:spacing w:after="0" w:line="240" w:lineRule="auto"/>
        <w:ind w:firstLine="720"/>
        <w:jc w:val="both"/>
        <w:rPr>
          <w:rFonts w:ascii="Arial" w:hAnsi="Arial" w:cs="Arial"/>
          <w:sz w:val="24"/>
          <w:szCs w:val="24"/>
        </w:rPr>
      </w:pPr>
      <w:r w:rsidRPr="00315335">
        <w:rPr>
          <w:rFonts w:ascii="Arial" w:hAnsi="Arial" w:cs="Arial"/>
          <w:sz w:val="24"/>
          <w:szCs w:val="24"/>
        </w:rPr>
        <w:t xml:space="preserve">De asemenea, concentraţiile maxime a mediilor pe opt ore au fost sub obiectivul pe termen lung pentru protecţia sănătăţii umane şi respectiv valoarea ţintă pentru anul 2018 (120 </w:t>
      </w:r>
      <w:r w:rsidRPr="00315335">
        <w:rPr>
          <w:rFonts w:ascii="Arial" w:hAnsi="Arial" w:cs="Arial"/>
          <w:sz w:val="24"/>
          <w:szCs w:val="24"/>
        </w:rPr>
        <w:sym w:font="Symbol" w:char="F06D"/>
      </w:r>
      <w:r w:rsidRPr="00315335">
        <w:rPr>
          <w:rFonts w:ascii="Arial" w:hAnsi="Arial" w:cs="Arial"/>
          <w:sz w:val="24"/>
          <w:szCs w:val="24"/>
        </w:rPr>
        <w:t>g/mc).</w:t>
      </w:r>
    </w:p>
    <w:p w:rsidR="00F40E00" w:rsidRPr="00315335" w:rsidRDefault="00F40E00" w:rsidP="00F40E00">
      <w:pPr>
        <w:tabs>
          <w:tab w:val="num" w:pos="0"/>
        </w:tabs>
        <w:spacing w:after="0" w:line="240" w:lineRule="auto"/>
        <w:ind w:firstLine="720"/>
        <w:jc w:val="both"/>
        <w:rPr>
          <w:rFonts w:ascii="Arial" w:hAnsi="Arial" w:cs="Arial"/>
          <w:sz w:val="24"/>
          <w:szCs w:val="24"/>
        </w:rPr>
      </w:pPr>
    </w:p>
    <w:p w:rsidR="00F40E00" w:rsidRPr="00315335" w:rsidRDefault="00F40E00" w:rsidP="00F40E00">
      <w:pPr>
        <w:spacing w:after="0" w:line="240" w:lineRule="auto"/>
        <w:ind w:firstLine="720"/>
        <w:jc w:val="both"/>
        <w:rPr>
          <w:rFonts w:ascii="Arial" w:hAnsi="Arial" w:cs="Arial"/>
          <w:b/>
          <w:sz w:val="24"/>
          <w:szCs w:val="24"/>
        </w:rPr>
      </w:pPr>
      <w:r w:rsidRPr="00315335">
        <w:rPr>
          <w:rFonts w:ascii="Arial" w:hAnsi="Arial" w:cs="Arial"/>
          <w:b/>
          <w:sz w:val="24"/>
          <w:szCs w:val="24"/>
        </w:rPr>
        <w:t>I.1.1.1.8. Pulberi sedimentabile</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bCs/>
          <w:sz w:val="24"/>
          <w:szCs w:val="24"/>
        </w:rPr>
        <w:t xml:space="preserve">Pulberile sedimentabile </w:t>
      </w:r>
      <w:r w:rsidRPr="00315335">
        <w:rPr>
          <w:rFonts w:ascii="Arial" w:hAnsi="Arial" w:cs="Arial"/>
          <w:sz w:val="24"/>
          <w:szCs w:val="24"/>
        </w:rPr>
        <w:t>au diametre de ordinul zecilor sau sutelor de microni, după ce sunt emise în atmosferă, se depun pe sol, vegetaţie, ape, construcţii.</w:t>
      </w:r>
    </w:p>
    <w:p w:rsidR="00F40E00" w:rsidRPr="00315335" w:rsidRDefault="00F40E00" w:rsidP="00F40E00">
      <w:pPr>
        <w:autoSpaceDE w:val="0"/>
        <w:autoSpaceDN w:val="0"/>
        <w:adjustRightInd w:val="0"/>
        <w:spacing w:after="0" w:line="240" w:lineRule="auto"/>
        <w:ind w:firstLine="720"/>
        <w:jc w:val="both"/>
        <w:rPr>
          <w:rFonts w:ascii="Arial" w:hAnsi="Arial" w:cs="Arial"/>
          <w:b/>
          <w:sz w:val="24"/>
          <w:szCs w:val="24"/>
        </w:rPr>
      </w:pPr>
      <w:r w:rsidRPr="00315335">
        <w:rPr>
          <w:rFonts w:ascii="Arial" w:hAnsi="Arial" w:cs="Arial"/>
          <w:sz w:val="24"/>
          <w:szCs w:val="24"/>
        </w:rPr>
        <w:t>Pe teritoriul judeţului Brăila supravegherea concentraţiei de pulberi sedimentabile s-a realizat în anul 2018 într-un număr de 10 puncte, pe raza municipiului și în comunele limitrofe. Concentraţiile medii anuale, pe puncte de prelevare ale pulberilor sedimentabile, din anul 2018, sunt prezentate în tabelul şi figura de mai jos. În punctele de prelevare, valoarea concentrației mediei anuale nu depășește concentrația maximă admisă.</w:t>
      </w:r>
      <w:r w:rsidRPr="00315335">
        <w:rPr>
          <w:rFonts w:ascii="Arial" w:hAnsi="Arial" w:cs="Arial"/>
          <w:sz w:val="24"/>
          <w:szCs w:val="24"/>
        </w:rPr>
        <w:tab/>
      </w:r>
      <w:r w:rsidRPr="00315335">
        <w:rPr>
          <w:rFonts w:ascii="Arial" w:hAnsi="Arial" w:cs="Arial"/>
          <w:sz w:val="24"/>
          <w:szCs w:val="24"/>
        </w:rPr>
        <w:tab/>
      </w:r>
    </w:p>
    <w:p w:rsidR="00F40E00" w:rsidRPr="00315335" w:rsidRDefault="00F40E00" w:rsidP="00F40E00">
      <w:pPr>
        <w:spacing w:after="0" w:line="240" w:lineRule="auto"/>
        <w:jc w:val="center"/>
        <w:rPr>
          <w:rFonts w:ascii="Arial" w:hAnsi="Arial" w:cs="Arial"/>
          <w:b/>
          <w:sz w:val="24"/>
          <w:szCs w:val="24"/>
        </w:rPr>
      </w:pPr>
      <w:r w:rsidRPr="00315335">
        <w:rPr>
          <w:rFonts w:ascii="Arial" w:hAnsi="Arial" w:cs="Arial"/>
          <w:noProof/>
          <w:sz w:val="24"/>
          <w:szCs w:val="24"/>
        </w:rPr>
        <w:lastRenderedPageBreak/>
        <w:drawing>
          <wp:inline distT="0" distB="0" distL="0" distR="0" wp14:anchorId="456D1DE7" wp14:editId="0620EF01">
            <wp:extent cx="6000750" cy="2171700"/>
            <wp:effectExtent l="0" t="0" r="0" b="0"/>
            <wp:docPr id="254"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0E00" w:rsidRPr="00315335" w:rsidRDefault="00F40E00" w:rsidP="00F40E00">
      <w:pPr>
        <w:tabs>
          <w:tab w:val="num" w:pos="0"/>
        </w:tabs>
        <w:spacing w:after="0" w:line="240" w:lineRule="auto"/>
        <w:jc w:val="both"/>
        <w:rPr>
          <w:rFonts w:ascii="Arial" w:hAnsi="Arial" w:cs="Arial"/>
          <w:sz w:val="24"/>
          <w:szCs w:val="24"/>
        </w:rPr>
      </w:pPr>
      <w:r w:rsidRPr="00315335">
        <w:rPr>
          <w:rFonts w:ascii="Arial" w:eastAsia="Times New Roman" w:hAnsi="Arial" w:cs="Arial"/>
          <w:b/>
          <w:iCs/>
          <w:sz w:val="24"/>
          <w:szCs w:val="24"/>
        </w:rPr>
        <w:t>Fig. I.1.1.1.8</w:t>
      </w:r>
      <w:r w:rsidRPr="00315335">
        <w:rPr>
          <w:rFonts w:ascii="Arial" w:eastAsia="Times New Roman" w:hAnsi="Arial" w:cs="Arial"/>
          <w:iCs/>
          <w:sz w:val="24"/>
          <w:szCs w:val="24"/>
        </w:rPr>
        <w:t xml:space="preserve">. </w:t>
      </w:r>
      <w:r w:rsidRPr="00315335">
        <w:rPr>
          <w:rFonts w:ascii="Arial" w:hAnsi="Arial" w:cs="Arial"/>
          <w:sz w:val="24"/>
          <w:szCs w:val="24"/>
        </w:rPr>
        <w:t>Concentraţia medie anuală de pulberi sedimentabile pe anul 2018</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ab/>
      </w:r>
    </w:p>
    <w:p w:rsidR="00F40E00" w:rsidRPr="00315335" w:rsidRDefault="00F40E00" w:rsidP="00F40E00">
      <w:pPr>
        <w:spacing w:after="0" w:line="240" w:lineRule="auto"/>
        <w:jc w:val="right"/>
        <w:rPr>
          <w:rFonts w:ascii="Arial" w:hAnsi="Arial" w:cs="Arial"/>
          <w:sz w:val="24"/>
          <w:szCs w:val="24"/>
        </w:rPr>
      </w:pPr>
      <w:r w:rsidRPr="00315335">
        <w:rPr>
          <w:rFonts w:ascii="Arial" w:hAnsi="Arial" w:cs="Arial"/>
          <w:sz w:val="24"/>
          <w:szCs w:val="24"/>
        </w:rPr>
        <w:tab/>
      </w:r>
      <w:r w:rsidRPr="00315335">
        <w:rPr>
          <w:rFonts w:ascii="Arial" w:hAnsi="Arial" w:cs="Arial"/>
          <w:sz w:val="24"/>
          <w:szCs w:val="24"/>
        </w:rPr>
        <w:tab/>
      </w:r>
    </w:p>
    <w:p w:rsidR="00F40E00" w:rsidRPr="00315335" w:rsidRDefault="00F40E00" w:rsidP="00F40E00">
      <w:pPr>
        <w:spacing w:after="0" w:line="240" w:lineRule="auto"/>
        <w:jc w:val="center"/>
        <w:rPr>
          <w:rFonts w:ascii="Arial" w:hAnsi="Arial" w:cs="Arial"/>
          <w:b/>
          <w:sz w:val="24"/>
          <w:szCs w:val="24"/>
        </w:rPr>
      </w:pPr>
      <w:r w:rsidRPr="00315335">
        <w:rPr>
          <w:rFonts w:ascii="Arial" w:hAnsi="Arial" w:cs="Arial"/>
          <w:b/>
          <w:sz w:val="24"/>
          <w:szCs w:val="24"/>
        </w:rPr>
        <w:t>Tabel I.1.1.1.8.</w:t>
      </w:r>
    </w:p>
    <w:tbl>
      <w:tblPr>
        <w:tblW w:w="6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3"/>
        <w:gridCol w:w="2693"/>
        <w:gridCol w:w="1305"/>
        <w:gridCol w:w="1043"/>
      </w:tblGrid>
      <w:tr w:rsidR="00315335" w:rsidRPr="00315335" w:rsidTr="00916B06">
        <w:trPr>
          <w:trHeight w:val="307"/>
          <w:jc w:val="center"/>
        </w:trPr>
        <w:tc>
          <w:tcPr>
            <w:tcW w:w="1313" w:type="dxa"/>
            <w:vMerge w:val="restart"/>
            <w:shd w:val="clear" w:color="auto" w:fill="D9D9D9"/>
            <w:vAlign w:val="center"/>
          </w:tcPr>
          <w:p w:rsidR="00F40E00" w:rsidRPr="00315335" w:rsidRDefault="00F40E00" w:rsidP="00916B06">
            <w:pPr>
              <w:tabs>
                <w:tab w:val="num" w:pos="0"/>
              </w:tabs>
              <w:spacing w:after="0" w:line="240" w:lineRule="auto"/>
              <w:jc w:val="both"/>
              <w:rPr>
                <w:rFonts w:ascii="Arial" w:hAnsi="Arial" w:cs="Arial"/>
                <w:b/>
              </w:rPr>
            </w:pPr>
            <w:r w:rsidRPr="00315335">
              <w:rPr>
                <w:rFonts w:ascii="Arial" w:hAnsi="Arial" w:cs="Arial"/>
                <w:b/>
              </w:rPr>
              <w:t>JUDEŢUL</w:t>
            </w:r>
          </w:p>
        </w:tc>
        <w:tc>
          <w:tcPr>
            <w:tcW w:w="2693" w:type="dxa"/>
            <w:vMerge w:val="restart"/>
            <w:shd w:val="clear" w:color="auto" w:fill="D9D9D9"/>
            <w:vAlign w:val="center"/>
          </w:tcPr>
          <w:p w:rsidR="00F40E00" w:rsidRPr="00315335" w:rsidRDefault="00F40E00" w:rsidP="00916B06">
            <w:pPr>
              <w:tabs>
                <w:tab w:val="num" w:pos="0"/>
              </w:tabs>
              <w:spacing w:after="0" w:line="240" w:lineRule="auto"/>
              <w:jc w:val="both"/>
              <w:rPr>
                <w:rFonts w:ascii="Arial" w:hAnsi="Arial" w:cs="Arial"/>
                <w:b/>
              </w:rPr>
            </w:pPr>
            <w:r w:rsidRPr="00315335">
              <w:rPr>
                <w:rFonts w:ascii="Arial" w:hAnsi="Arial" w:cs="Arial"/>
                <w:b/>
              </w:rPr>
              <w:t>Punct de prelevare</w:t>
            </w:r>
          </w:p>
        </w:tc>
        <w:tc>
          <w:tcPr>
            <w:tcW w:w="2348" w:type="dxa"/>
            <w:gridSpan w:val="2"/>
            <w:shd w:val="clear" w:color="auto" w:fill="D9D9D9"/>
            <w:vAlign w:val="center"/>
          </w:tcPr>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 xml:space="preserve">Concentraţie medie anuală </w:t>
            </w:r>
            <w:r w:rsidRPr="00315335">
              <w:rPr>
                <w:rFonts w:ascii="Arial" w:hAnsi="Arial" w:cs="Arial"/>
                <w:b/>
                <w:i/>
              </w:rPr>
              <w:t>(g/mp/luna)</w:t>
            </w:r>
          </w:p>
        </w:tc>
      </w:tr>
      <w:tr w:rsidR="00315335" w:rsidRPr="00315335" w:rsidTr="00916B06">
        <w:trPr>
          <w:trHeight w:val="307"/>
          <w:jc w:val="center"/>
        </w:trPr>
        <w:tc>
          <w:tcPr>
            <w:tcW w:w="1313" w:type="dxa"/>
            <w:vMerge/>
            <w:tcBorders>
              <w:bottom w:val="single" w:sz="4" w:space="0" w:color="auto"/>
            </w:tcBorders>
            <w:shd w:val="clear" w:color="auto" w:fill="E0E0E0"/>
            <w:vAlign w:val="center"/>
          </w:tcPr>
          <w:p w:rsidR="00F40E00" w:rsidRPr="00315335" w:rsidRDefault="00F40E00" w:rsidP="00916B06">
            <w:pPr>
              <w:tabs>
                <w:tab w:val="num" w:pos="0"/>
              </w:tabs>
              <w:spacing w:after="0" w:line="240" w:lineRule="auto"/>
              <w:jc w:val="both"/>
              <w:rPr>
                <w:rFonts w:ascii="Arial" w:hAnsi="Arial" w:cs="Arial"/>
                <w:b/>
              </w:rPr>
            </w:pPr>
          </w:p>
        </w:tc>
        <w:tc>
          <w:tcPr>
            <w:tcW w:w="2693" w:type="dxa"/>
            <w:vMerge/>
            <w:shd w:val="clear" w:color="auto" w:fill="E0E0E0"/>
            <w:vAlign w:val="center"/>
          </w:tcPr>
          <w:p w:rsidR="00F40E00" w:rsidRPr="00315335" w:rsidRDefault="00F40E00" w:rsidP="00916B06">
            <w:pPr>
              <w:tabs>
                <w:tab w:val="num" w:pos="0"/>
              </w:tabs>
              <w:spacing w:after="0" w:line="240" w:lineRule="auto"/>
              <w:jc w:val="both"/>
              <w:rPr>
                <w:rFonts w:ascii="Arial" w:hAnsi="Arial" w:cs="Arial"/>
                <w:b/>
              </w:rPr>
            </w:pPr>
          </w:p>
        </w:tc>
        <w:tc>
          <w:tcPr>
            <w:tcW w:w="1305" w:type="dxa"/>
            <w:shd w:val="clear" w:color="auto" w:fill="E0E0E0"/>
            <w:vAlign w:val="center"/>
          </w:tcPr>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2017</w:t>
            </w:r>
          </w:p>
        </w:tc>
        <w:tc>
          <w:tcPr>
            <w:tcW w:w="1043" w:type="dxa"/>
            <w:shd w:val="clear" w:color="auto" w:fill="E0E0E0"/>
            <w:vAlign w:val="center"/>
          </w:tcPr>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2018</w:t>
            </w:r>
          </w:p>
        </w:tc>
      </w:tr>
      <w:tr w:rsidR="00315335" w:rsidRPr="00315335" w:rsidTr="00916B06">
        <w:trPr>
          <w:trHeight w:val="307"/>
          <w:jc w:val="center"/>
        </w:trPr>
        <w:tc>
          <w:tcPr>
            <w:tcW w:w="1313" w:type="dxa"/>
            <w:vMerge w:val="restart"/>
            <w:shd w:val="clear" w:color="auto" w:fill="D9D9D9"/>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Brăila</w:t>
            </w: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Sediu APM</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3,29</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3,14</w:t>
            </w:r>
          </w:p>
        </w:tc>
      </w:tr>
      <w:tr w:rsidR="00315335" w:rsidRPr="00315335" w:rsidTr="00916B06">
        <w:trPr>
          <w:trHeight w:val="307"/>
          <w:jc w:val="center"/>
        </w:trPr>
        <w:tc>
          <w:tcPr>
            <w:tcW w:w="131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Uzina de Apă</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5,87</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5,20</w:t>
            </w:r>
          </w:p>
        </w:tc>
      </w:tr>
      <w:tr w:rsidR="00315335" w:rsidRPr="00315335" w:rsidTr="00916B06">
        <w:trPr>
          <w:trHeight w:val="307"/>
          <w:jc w:val="center"/>
        </w:trPr>
        <w:tc>
          <w:tcPr>
            <w:tcW w:w="131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Vărsătura</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11,58</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13,33</w:t>
            </w:r>
          </w:p>
        </w:tc>
      </w:tr>
      <w:tr w:rsidR="00315335" w:rsidRPr="00315335" w:rsidTr="00916B06">
        <w:trPr>
          <w:trHeight w:val="307"/>
          <w:jc w:val="center"/>
        </w:trPr>
        <w:tc>
          <w:tcPr>
            <w:tcW w:w="131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Str.Gen.Gh.Avramescu</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8,09</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5,17</w:t>
            </w:r>
          </w:p>
        </w:tc>
      </w:tr>
      <w:tr w:rsidR="00315335" w:rsidRPr="00315335" w:rsidTr="00916B06">
        <w:trPr>
          <w:trHeight w:val="307"/>
          <w:jc w:val="center"/>
        </w:trPr>
        <w:tc>
          <w:tcPr>
            <w:tcW w:w="131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Staţia Nord</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5,33</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3,23</w:t>
            </w:r>
          </w:p>
        </w:tc>
      </w:tr>
      <w:tr w:rsidR="00315335" w:rsidRPr="00315335" w:rsidTr="00916B06">
        <w:trPr>
          <w:trHeight w:val="307"/>
          <w:jc w:val="center"/>
        </w:trPr>
        <w:tc>
          <w:tcPr>
            <w:tcW w:w="131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 xml:space="preserve">SC Hercules </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6,60</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8,16</w:t>
            </w:r>
          </w:p>
        </w:tc>
      </w:tr>
      <w:tr w:rsidR="00315335" w:rsidRPr="00315335" w:rsidTr="00916B06">
        <w:trPr>
          <w:trHeight w:val="307"/>
          <w:jc w:val="center"/>
        </w:trPr>
        <w:tc>
          <w:tcPr>
            <w:tcW w:w="131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Termoelectrica Chiscani</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3,98</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4,62</w:t>
            </w:r>
          </w:p>
        </w:tc>
      </w:tr>
      <w:tr w:rsidR="00315335" w:rsidRPr="00315335" w:rsidTr="00916B06">
        <w:trPr>
          <w:trHeight w:val="307"/>
          <w:jc w:val="center"/>
        </w:trPr>
        <w:tc>
          <w:tcPr>
            <w:tcW w:w="131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Str. Galați</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7,27</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6,73</w:t>
            </w:r>
          </w:p>
        </w:tc>
      </w:tr>
      <w:tr w:rsidR="00315335" w:rsidRPr="00315335" w:rsidTr="00916B06">
        <w:trPr>
          <w:trHeight w:val="307"/>
          <w:jc w:val="center"/>
        </w:trPr>
        <w:tc>
          <w:tcPr>
            <w:tcW w:w="131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Cazasu</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4,47</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3,86</w:t>
            </w:r>
          </w:p>
        </w:tc>
      </w:tr>
      <w:tr w:rsidR="00315335" w:rsidRPr="00315335" w:rsidTr="00916B06">
        <w:trPr>
          <w:trHeight w:val="307"/>
          <w:jc w:val="center"/>
        </w:trPr>
        <w:tc>
          <w:tcPr>
            <w:tcW w:w="131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693"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PrimăriaBrăila</w:t>
            </w:r>
          </w:p>
        </w:tc>
        <w:tc>
          <w:tcPr>
            <w:tcW w:w="1305"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5,42</w:t>
            </w:r>
          </w:p>
        </w:tc>
        <w:tc>
          <w:tcPr>
            <w:tcW w:w="1043"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5,22</w:t>
            </w:r>
          </w:p>
        </w:tc>
      </w:tr>
      <w:tr w:rsidR="00315335" w:rsidRPr="00315335" w:rsidTr="00916B06">
        <w:trPr>
          <w:trHeight w:val="307"/>
          <w:jc w:val="center"/>
        </w:trPr>
        <w:tc>
          <w:tcPr>
            <w:tcW w:w="5311" w:type="dxa"/>
            <w:gridSpan w:val="3"/>
            <w:shd w:val="clear" w:color="auto" w:fill="D9D9D9"/>
            <w:vAlign w:val="center"/>
          </w:tcPr>
          <w:p w:rsidR="00F40E00" w:rsidRPr="00315335" w:rsidRDefault="00F40E00" w:rsidP="00916B06">
            <w:pPr>
              <w:tabs>
                <w:tab w:val="num" w:pos="0"/>
              </w:tabs>
              <w:spacing w:after="0" w:line="240" w:lineRule="auto"/>
              <w:jc w:val="both"/>
              <w:rPr>
                <w:rFonts w:ascii="Arial" w:hAnsi="Arial" w:cs="Arial"/>
                <w:b/>
              </w:rPr>
            </w:pPr>
            <w:r w:rsidRPr="00315335">
              <w:rPr>
                <w:rFonts w:ascii="Arial" w:hAnsi="Arial" w:cs="Arial"/>
                <w:b/>
              </w:rPr>
              <w:t>CMA =  17g/mp/luna</w:t>
            </w:r>
          </w:p>
        </w:tc>
        <w:tc>
          <w:tcPr>
            <w:tcW w:w="1043" w:type="dxa"/>
            <w:shd w:val="clear" w:color="auto" w:fill="D9D9D9"/>
            <w:vAlign w:val="center"/>
          </w:tcPr>
          <w:p w:rsidR="00F40E00" w:rsidRPr="00315335" w:rsidRDefault="00F40E00" w:rsidP="00916B06">
            <w:pPr>
              <w:tabs>
                <w:tab w:val="num" w:pos="0"/>
              </w:tabs>
              <w:spacing w:after="0" w:line="240" w:lineRule="auto"/>
              <w:jc w:val="both"/>
              <w:rPr>
                <w:rFonts w:ascii="Arial" w:hAnsi="Arial" w:cs="Arial"/>
                <w:b/>
              </w:rPr>
            </w:pPr>
          </w:p>
        </w:tc>
      </w:tr>
    </w:tbl>
    <w:p w:rsidR="00F40E00" w:rsidRPr="00315335" w:rsidRDefault="00F40E00" w:rsidP="00F40E00">
      <w:pPr>
        <w:tabs>
          <w:tab w:val="num" w:pos="0"/>
        </w:tabs>
        <w:spacing w:after="0" w:line="240" w:lineRule="auto"/>
        <w:jc w:val="both"/>
        <w:rPr>
          <w:rFonts w:ascii="Arial" w:hAnsi="Arial" w:cs="Arial"/>
          <w:sz w:val="24"/>
          <w:szCs w:val="24"/>
        </w:rPr>
      </w:pPr>
    </w:p>
    <w:tbl>
      <w:tblPr>
        <w:tblpPr w:leftFromText="180" w:rightFromText="180" w:vertAnchor="text" w:tblpX="9151" w:tblpY="-1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tblGrid>
      <w:tr w:rsidR="00315335" w:rsidRPr="00315335" w:rsidTr="00916B06">
        <w:trPr>
          <w:trHeight w:val="180"/>
        </w:trPr>
        <w:tc>
          <w:tcPr>
            <w:tcW w:w="435" w:type="dxa"/>
          </w:tcPr>
          <w:p w:rsidR="00F40E00" w:rsidRPr="00315335" w:rsidRDefault="00F40E00" w:rsidP="00916B06">
            <w:pPr>
              <w:tabs>
                <w:tab w:val="num" w:pos="0"/>
              </w:tabs>
              <w:spacing w:after="0" w:line="240" w:lineRule="auto"/>
              <w:jc w:val="both"/>
              <w:rPr>
                <w:rFonts w:ascii="Arial" w:hAnsi="Arial" w:cs="Arial"/>
                <w:sz w:val="24"/>
                <w:szCs w:val="24"/>
              </w:rPr>
            </w:pPr>
          </w:p>
        </w:tc>
      </w:tr>
    </w:tbl>
    <w:p w:rsidR="00F40E00" w:rsidRPr="00315335" w:rsidRDefault="00F40E00" w:rsidP="00F40E00">
      <w:pPr>
        <w:tabs>
          <w:tab w:val="num" w:pos="0"/>
        </w:tabs>
        <w:spacing w:after="0" w:line="240" w:lineRule="auto"/>
        <w:jc w:val="both"/>
        <w:rPr>
          <w:rFonts w:ascii="Arial" w:hAnsi="Arial" w:cs="Arial"/>
          <w:sz w:val="24"/>
          <w:szCs w:val="24"/>
        </w:rPr>
      </w:pPr>
    </w:p>
    <w:p w:rsidR="00F40E00" w:rsidRPr="00315335" w:rsidRDefault="00F40E00" w:rsidP="00F40E00">
      <w:pPr>
        <w:spacing w:after="0" w:line="240" w:lineRule="auto"/>
        <w:ind w:firstLine="708"/>
        <w:jc w:val="both"/>
        <w:rPr>
          <w:rFonts w:ascii="Arial" w:hAnsi="Arial" w:cs="Arial"/>
          <w:sz w:val="24"/>
          <w:szCs w:val="24"/>
        </w:rPr>
      </w:pPr>
      <w:r w:rsidRPr="00315335">
        <w:rPr>
          <w:rFonts w:ascii="Arial" w:hAnsi="Arial" w:cs="Arial"/>
          <w:sz w:val="24"/>
          <w:szCs w:val="24"/>
        </w:rPr>
        <w:t>În anul 2018 în punctele de prelevare, concentraţie medie anuală nu depăşeşte valoarea limită admisă impusă de legislaţie. Măsurătorile efectuate au indicat o calitate corespunzătoare a aerului la nivelul judeţului Brăila.</w:t>
      </w:r>
    </w:p>
    <w:p w:rsidR="00F40E00" w:rsidRPr="00315335" w:rsidRDefault="00F40E00" w:rsidP="00F40E00">
      <w:pPr>
        <w:spacing w:after="0" w:line="240" w:lineRule="auto"/>
        <w:ind w:firstLine="708"/>
        <w:jc w:val="both"/>
        <w:rPr>
          <w:rFonts w:ascii="Arial" w:hAnsi="Arial" w:cs="Arial"/>
          <w:sz w:val="24"/>
          <w:szCs w:val="24"/>
        </w:rPr>
      </w:pPr>
    </w:p>
    <w:p w:rsidR="00F40E00" w:rsidRPr="00315335" w:rsidRDefault="00F40E00" w:rsidP="00F40E00">
      <w:pPr>
        <w:ind w:firstLine="720"/>
        <w:jc w:val="both"/>
        <w:rPr>
          <w:rFonts w:ascii="Arial" w:hAnsi="Arial" w:cs="Arial"/>
          <w:b/>
          <w:sz w:val="24"/>
          <w:szCs w:val="24"/>
        </w:rPr>
      </w:pPr>
      <w:r w:rsidRPr="00315335">
        <w:rPr>
          <w:rFonts w:ascii="Arial" w:hAnsi="Arial" w:cs="Arial"/>
          <w:b/>
          <w:sz w:val="24"/>
          <w:szCs w:val="24"/>
        </w:rPr>
        <w:t>I.1.1.1.9. Calitatea precipitaţiilor atmosferice</w:t>
      </w:r>
    </w:p>
    <w:p w:rsidR="00F40E00" w:rsidRPr="00315335" w:rsidRDefault="00F40E00" w:rsidP="00F40E00">
      <w:pPr>
        <w:pStyle w:val="xl36"/>
        <w:pBdr>
          <w:right w:val="none" w:sz="0" w:space="0" w:color="auto"/>
        </w:pBdr>
        <w:spacing w:before="0" w:beforeAutospacing="0" w:after="0" w:afterAutospacing="0"/>
        <w:jc w:val="both"/>
        <w:rPr>
          <w:rFonts w:ascii="Arial" w:hAnsi="Arial" w:cs="Arial"/>
          <w:b w:val="0"/>
        </w:rPr>
      </w:pPr>
      <w:r w:rsidRPr="00315335">
        <w:rPr>
          <w:rFonts w:ascii="Arial" w:hAnsi="Arial" w:cs="Arial"/>
          <w:b w:val="0"/>
        </w:rPr>
        <w:t xml:space="preserve">      Reţeaua de urmărire a precipitaţiilor  pentru monitorizarea calității aerului este formată din 5 puncte de recoltare a probelor, amplasate la Sediul APM Brăila, în incinta stației automate de măsurare a radioactivității factorilor de mediu și în incinta stațiilor automate de măsurarea calității aerului astfel:</w:t>
      </w:r>
    </w:p>
    <w:p w:rsidR="00F40E00" w:rsidRPr="00315335" w:rsidRDefault="00F40E00" w:rsidP="00F40E00">
      <w:pPr>
        <w:numPr>
          <w:ilvl w:val="0"/>
          <w:numId w:val="2"/>
        </w:numPr>
        <w:spacing w:after="0" w:line="240" w:lineRule="auto"/>
        <w:jc w:val="both"/>
        <w:rPr>
          <w:rFonts w:ascii="Arial" w:hAnsi="Arial" w:cs="Arial"/>
          <w:b/>
          <w:sz w:val="24"/>
          <w:szCs w:val="24"/>
        </w:rPr>
      </w:pPr>
      <w:r w:rsidRPr="00315335">
        <w:rPr>
          <w:rFonts w:ascii="Arial" w:hAnsi="Arial" w:cs="Arial"/>
          <w:b/>
          <w:sz w:val="24"/>
          <w:szCs w:val="24"/>
        </w:rPr>
        <w:t>Sediul Agenţiei pentru Protecţia Mediului Brăila.</w:t>
      </w:r>
    </w:p>
    <w:p w:rsidR="00F40E00" w:rsidRPr="00315335" w:rsidRDefault="00F40E00" w:rsidP="00F40E00">
      <w:pPr>
        <w:numPr>
          <w:ilvl w:val="0"/>
          <w:numId w:val="2"/>
        </w:numPr>
        <w:tabs>
          <w:tab w:val="left" w:pos="1440"/>
        </w:tabs>
        <w:spacing w:after="0" w:line="240" w:lineRule="auto"/>
        <w:jc w:val="both"/>
        <w:rPr>
          <w:rFonts w:ascii="Arial" w:hAnsi="Arial" w:cs="Arial"/>
          <w:sz w:val="24"/>
          <w:szCs w:val="24"/>
        </w:rPr>
      </w:pPr>
      <w:r w:rsidRPr="00315335">
        <w:rPr>
          <w:rFonts w:ascii="Arial" w:hAnsi="Arial" w:cs="Arial"/>
          <w:b/>
          <w:sz w:val="24"/>
          <w:szCs w:val="24"/>
        </w:rPr>
        <w:t xml:space="preserve">Staţia Brăila 1- </w:t>
      </w:r>
      <w:r w:rsidRPr="00315335">
        <w:rPr>
          <w:rFonts w:ascii="Arial" w:hAnsi="Arial" w:cs="Arial"/>
          <w:bCs/>
          <w:sz w:val="24"/>
          <w:szCs w:val="24"/>
        </w:rPr>
        <w:t>Staţia de monitorizare a calităţii aerului de tip – trafic, care este amplasată pe Calea Galaţi nr. 52</w:t>
      </w:r>
    </w:p>
    <w:p w:rsidR="00F40E00" w:rsidRPr="00315335" w:rsidRDefault="00F40E00" w:rsidP="00F40E00">
      <w:pPr>
        <w:numPr>
          <w:ilvl w:val="0"/>
          <w:numId w:val="2"/>
        </w:numPr>
        <w:tabs>
          <w:tab w:val="left" w:pos="1440"/>
        </w:tabs>
        <w:spacing w:after="0" w:line="240" w:lineRule="auto"/>
        <w:jc w:val="both"/>
        <w:rPr>
          <w:rFonts w:ascii="Arial" w:hAnsi="Arial" w:cs="Arial"/>
          <w:sz w:val="24"/>
          <w:szCs w:val="24"/>
        </w:rPr>
      </w:pPr>
      <w:r w:rsidRPr="00315335">
        <w:rPr>
          <w:rFonts w:ascii="Arial" w:hAnsi="Arial" w:cs="Arial"/>
          <w:b/>
          <w:sz w:val="24"/>
          <w:szCs w:val="24"/>
        </w:rPr>
        <w:t xml:space="preserve">Staţia Brăila 3 - </w:t>
      </w:r>
      <w:r w:rsidRPr="00315335">
        <w:rPr>
          <w:rFonts w:ascii="Arial" w:hAnsi="Arial" w:cs="Arial"/>
          <w:sz w:val="24"/>
          <w:szCs w:val="24"/>
        </w:rPr>
        <w:t xml:space="preserve">Staţia </w:t>
      </w:r>
      <w:r w:rsidRPr="00315335">
        <w:rPr>
          <w:rFonts w:ascii="Arial" w:hAnsi="Arial" w:cs="Arial"/>
          <w:bCs/>
          <w:sz w:val="24"/>
          <w:szCs w:val="24"/>
        </w:rPr>
        <w:t>de monitorizare a calităţii aerului de tip –</w:t>
      </w:r>
      <w:r w:rsidRPr="00315335">
        <w:rPr>
          <w:rFonts w:ascii="Arial" w:hAnsi="Arial" w:cs="Arial"/>
          <w:sz w:val="24"/>
          <w:szCs w:val="24"/>
        </w:rPr>
        <w:t xml:space="preserve"> suburban, care este situată în Comuna Cazasu, jud. Brăila;</w:t>
      </w:r>
    </w:p>
    <w:p w:rsidR="00F40E00" w:rsidRPr="00315335" w:rsidRDefault="00F40E00" w:rsidP="00F40E00">
      <w:pPr>
        <w:numPr>
          <w:ilvl w:val="0"/>
          <w:numId w:val="2"/>
        </w:numPr>
        <w:tabs>
          <w:tab w:val="left" w:pos="1440"/>
        </w:tabs>
        <w:spacing w:after="0" w:line="240" w:lineRule="auto"/>
        <w:jc w:val="both"/>
        <w:rPr>
          <w:rFonts w:ascii="Arial" w:hAnsi="Arial" w:cs="Arial"/>
          <w:sz w:val="24"/>
          <w:szCs w:val="24"/>
        </w:rPr>
      </w:pPr>
      <w:r w:rsidRPr="00315335">
        <w:rPr>
          <w:rFonts w:ascii="Arial" w:hAnsi="Arial" w:cs="Arial"/>
          <w:b/>
          <w:sz w:val="24"/>
          <w:szCs w:val="24"/>
        </w:rPr>
        <w:t xml:space="preserve">Staţia Brăila 4 - </w:t>
      </w:r>
      <w:r w:rsidRPr="00315335">
        <w:rPr>
          <w:rFonts w:ascii="Arial" w:hAnsi="Arial" w:cs="Arial"/>
          <w:sz w:val="24"/>
          <w:szCs w:val="24"/>
        </w:rPr>
        <w:t xml:space="preserve">Staţia </w:t>
      </w:r>
      <w:r w:rsidRPr="00315335">
        <w:rPr>
          <w:rFonts w:ascii="Arial" w:hAnsi="Arial" w:cs="Arial"/>
          <w:bCs/>
          <w:sz w:val="24"/>
          <w:szCs w:val="24"/>
        </w:rPr>
        <w:t xml:space="preserve">de monitorizare a calităţii aerului de tip – industrial, care </w:t>
      </w:r>
      <w:r w:rsidRPr="00315335">
        <w:rPr>
          <w:rFonts w:ascii="Arial" w:hAnsi="Arial" w:cs="Arial"/>
          <w:sz w:val="24"/>
          <w:szCs w:val="24"/>
        </w:rPr>
        <w:t xml:space="preserve">este amplasată pe Şoseaua Baldovineşti (Staţia Nord). </w:t>
      </w:r>
    </w:p>
    <w:p w:rsidR="00F40E00" w:rsidRPr="00315335" w:rsidRDefault="00F40E00" w:rsidP="00F40E00">
      <w:pPr>
        <w:pStyle w:val="Listparagraf"/>
        <w:numPr>
          <w:ilvl w:val="0"/>
          <w:numId w:val="2"/>
        </w:numPr>
        <w:tabs>
          <w:tab w:val="left" w:pos="1440"/>
        </w:tabs>
        <w:jc w:val="both"/>
        <w:rPr>
          <w:rFonts w:ascii="Arial" w:hAnsi="Arial" w:cs="Arial"/>
        </w:rPr>
      </w:pPr>
      <w:r w:rsidRPr="00315335">
        <w:rPr>
          <w:rFonts w:ascii="Arial" w:hAnsi="Arial" w:cs="Arial"/>
          <w:b/>
        </w:rPr>
        <w:t xml:space="preserve">Staţia Brăila 5 - </w:t>
      </w:r>
      <w:r w:rsidRPr="00315335">
        <w:rPr>
          <w:rFonts w:ascii="Arial" w:hAnsi="Arial" w:cs="Arial"/>
        </w:rPr>
        <w:t xml:space="preserve">Staţia </w:t>
      </w:r>
      <w:r w:rsidRPr="00315335">
        <w:rPr>
          <w:rFonts w:ascii="Arial" w:hAnsi="Arial" w:cs="Arial"/>
          <w:bCs/>
        </w:rPr>
        <w:t xml:space="preserve">de monitorizare a calităţii aerului de tip – </w:t>
      </w:r>
      <w:r w:rsidRPr="00315335">
        <w:rPr>
          <w:rFonts w:ascii="Arial" w:hAnsi="Arial" w:cs="Arial"/>
          <w:bCs/>
          <w:i/>
        </w:rPr>
        <w:t xml:space="preserve">industrial, care </w:t>
      </w:r>
      <w:r w:rsidRPr="00315335">
        <w:rPr>
          <w:rFonts w:ascii="Arial" w:hAnsi="Arial" w:cs="Arial"/>
          <w:i/>
        </w:rPr>
        <w:t>este amplasată în Comuna Chiscani, în vecinătatea SC.</w:t>
      </w:r>
      <w:r w:rsidRPr="00315335">
        <w:rPr>
          <w:rFonts w:ascii="Arial" w:hAnsi="Arial" w:cs="Arial"/>
        </w:rPr>
        <w:t xml:space="preserve"> Termoelectrica S.A.</w:t>
      </w:r>
    </w:p>
    <w:p w:rsidR="00F40E00" w:rsidRPr="00315335" w:rsidRDefault="00F40E00" w:rsidP="00F40E00">
      <w:pPr>
        <w:pStyle w:val="Titlu4"/>
        <w:tabs>
          <w:tab w:val="left" w:pos="420"/>
        </w:tabs>
        <w:jc w:val="both"/>
        <w:rPr>
          <w:rFonts w:ascii="Arial" w:hAnsi="Arial" w:cs="Arial"/>
          <w:b w:val="0"/>
          <w:i/>
          <w:sz w:val="24"/>
          <w:szCs w:val="24"/>
          <w:lang w:val="ro-RO"/>
        </w:rPr>
      </w:pPr>
      <w:r w:rsidRPr="00315335">
        <w:rPr>
          <w:rFonts w:ascii="Arial" w:hAnsi="Arial" w:cs="Arial"/>
          <w:b w:val="0"/>
          <w:sz w:val="24"/>
          <w:szCs w:val="24"/>
          <w:lang w:val="fr-FR"/>
        </w:rPr>
        <w:lastRenderedPageBreak/>
        <w:t>Indicatorii monitorizaţi în anul 201</w:t>
      </w:r>
      <w:r w:rsidR="00F64FFA" w:rsidRPr="00315335">
        <w:rPr>
          <w:rFonts w:ascii="Arial" w:hAnsi="Arial" w:cs="Arial"/>
          <w:b w:val="0"/>
          <w:sz w:val="24"/>
          <w:szCs w:val="24"/>
          <w:lang w:val="fr-FR"/>
        </w:rPr>
        <w:t>8</w:t>
      </w:r>
      <w:r w:rsidRPr="00315335">
        <w:rPr>
          <w:rFonts w:ascii="Arial" w:hAnsi="Arial" w:cs="Arial"/>
          <w:b w:val="0"/>
          <w:sz w:val="24"/>
          <w:szCs w:val="24"/>
          <w:lang w:val="fr-FR"/>
        </w:rPr>
        <w:t>  au fost: pH, conductivitate, cloruri, sulfaţi, fosfati, azotaţi, azotiţi, amoniu, alcalinitate-aciditate</w:t>
      </w:r>
      <w:r w:rsidRPr="00315335">
        <w:rPr>
          <w:rFonts w:ascii="Arial" w:hAnsi="Arial" w:cs="Arial"/>
          <w:b w:val="0"/>
          <w:sz w:val="24"/>
          <w:szCs w:val="24"/>
          <w:lang w:val="ro-RO"/>
        </w:rPr>
        <w:t>.</w:t>
      </w:r>
    </w:p>
    <w:p w:rsidR="00F40E00" w:rsidRPr="00315335" w:rsidRDefault="00F40E00" w:rsidP="00F40E00">
      <w:pPr>
        <w:pStyle w:val="Corptext2"/>
        <w:ind w:left="420"/>
        <w:jc w:val="center"/>
        <w:rPr>
          <w:sz w:val="22"/>
          <w:szCs w:val="22"/>
          <w:lang w:val="pt-BR"/>
        </w:rPr>
      </w:pPr>
      <w:r w:rsidRPr="00315335">
        <w:rPr>
          <w:noProof/>
          <w:lang w:val="ro-RO" w:eastAsia="ro-RO"/>
        </w:rPr>
        <w:drawing>
          <wp:inline distT="0" distB="0" distL="0" distR="0" wp14:anchorId="387DA2CD" wp14:editId="46DB571B">
            <wp:extent cx="5685183" cy="2671638"/>
            <wp:effectExtent l="0" t="0" r="0" b="0"/>
            <wp:docPr id="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0E00" w:rsidRPr="00315335" w:rsidRDefault="00F40E00" w:rsidP="00F40E00">
      <w:pPr>
        <w:pStyle w:val="Corptext2"/>
        <w:spacing w:after="0" w:line="240" w:lineRule="auto"/>
        <w:ind w:left="420"/>
        <w:jc w:val="center"/>
        <w:rPr>
          <w:rFonts w:ascii="Arial" w:hAnsi="Arial" w:cs="Arial"/>
          <w:lang w:val="ro-RO"/>
        </w:rPr>
      </w:pPr>
      <w:r w:rsidRPr="00315335">
        <w:rPr>
          <w:rFonts w:ascii="Arial" w:hAnsi="Arial" w:cs="Arial"/>
          <w:b/>
          <w:lang w:val="pt-BR"/>
        </w:rPr>
        <w:t xml:space="preserve">Fig. nr. </w:t>
      </w:r>
      <w:r w:rsidRPr="00315335">
        <w:rPr>
          <w:rFonts w:ascii="Arial" w:hAnsi="Arial" w:cs="Arial"/>
          <w:b/>
          <w:lang w:val="ro-RO"/>
        </w:rPr>
        <w:t>I.1.1.1.9</w:t>
      </w:r>
      <w:r w:rsidRPr="00315335">
        <w:rPr>
          <w:rFonts w:ascii="Arial" w:hAnsi="Arial" w:cs="Arial"/>
          <w:lang w:val="ro-RO"/>
        </w:rPr>
        <w:t>. Evoluţia lunară a calităţii precipitaţiilor- municipiul Brăila - anul 2018</w:t>
      </w:r>
    </w:p>
    <w:p w:rsidR="00F40E00" w:rsidRPr="00315335" w:rsidRDefault="00F40E00" w:rsidP="00F40E00">
      <w:pPr>
        <w:pStyle w:val="Corptext2"/>
        <w:spacing w:after="0" w:line="240" w:lineRule="auto"/>
        <w:ind w:firstLine="720"/>
        <w:jc w:val="both"/>
        <w:rPr>
          <w:rFonts w:ascii="Arial" w:hAnsi="Arial" w:cs="Arial"/>
          <w:lang w:val="ro-RO"/>
        </w:rPr>
      </w:pPr>
    </w:p>
    <w:p w:rsidR="00F40E00" w:rsidRPr="00315335" w:rsidRDefault="00F40E00" w:rsidP="00F40E00">
      <w:pPr>
        <w:pStyle w:val="Corptext2"/>
        <w:spacing w:after="0" w:line="240" w:lineRule="auto"/>
        <w:ind w:firstLine="720"/>
        <w:jc w:val="both"/>
        <w:rPr>
          <w:rFonts w:ascii="Arial" w:hAnsi="Arial" w:cs="Arial"/>
          <w:lang w:val="ro-RO"/>
        </w:rPr>
      </w:pPr>
      <w:r w:rsidRPr="00315335">
        <w:rPr>
          <w:rFonts w:ascii="Arial" w:hAnsi="Arial" w:cs="Arial"/>
          <w:lang w:val="ro-RO"/>
        </w:rPr>
        <w:t xml:space="preserve">Pe parcursul anului 2018 nu s-au semnalat precipitaţii acide (precipitaţiile acide sunt cele care au un pH mai mic decât 5,6 unit. pH) </w:t>
      </w:r>
    </w:p>
    <w:p w:rsidR="00F40E00" w:rsidRPr="00315335" w:rsidRDefault="00F40E00" w:rsidP="00F40E00">
      <w:pPr>
        <w:spacing w:after="0" w:line="240" w:lineRule="auto"/>
        <w:ind w:firstLine="720"/>
        <w:jc w:val="both"/>
        <w:rPr>
          <w:rFonts w:ascii="Arial" w:hAnsi="Arial" w:cs="Arial"/>
          <w:b/>
          <w:sz w:val="24"/>
          <w:szCs w:val="24"/>
        </w:rPr>
      </w:pPr>
    </w:p>
    <w:p w:rsidR="00F40E00" w:rsidRPr="00315335" w:rsidRDefault="00F40E00" w:rsidP="00F40E00">
      <w:pPr>
        <w:tabs>
          <w:tab w:val="left" w:leader="dot" w:pos="9356"/>
        </w:tabs>
        <w:spacing w:after="0" w:line="240" w:lineRule="auto"/>
        <w:jc w:val="both"/>
        <w:rPr>
          <w:rFonts w:ascii="Arial" w:hAnsi="Arial" w:cs="Arial"/>
          <w:sz w:val="24"/>
          <w:szCs w:val="24"/>
        </w:rPr>
      </w:pPr>
      <w:r w:rsidRPr="00315335">
        <w:rPr>
          <w:rFonts w:ascii="Arial" w:hAnsi="Arial" w:cs="Arial"/>
          <w:b/>
          <w:sz w:val="24"/>
          <w:szCs w:val="24"/>
        </w:rPr>
        <w:t>I.1.1.2. Tendinţe privind concentraţiile medii anuale ale anumitor poluanţi atmosferici</w:t>
      </w:r>
    </w:p>
    <w:p w:rsidR="00F40E00" w:rsidRPr="00315335" w:rsidRDefault="00F40E00" w:rsidP="00F40E00">
      <w:pPr>
        <w:tabs>
          <w:tab w:val="left" w:pos="709"/>
        </w:tabs>
        <w:spacing w:after="0" w:line="240" w:lineRule="auto"/>
        <w:jc w:val="both"/>
        <w:rPr>
          <w:rFonts w:ascii="Arial" w:hAnsi="Arial" w:cs="Arial"/>
          <w:sz w:val="24"/>
          <w:szCs w:val="24"/>
        </w:rPr>
      </w:pPr>
      <w:r w:rsidRPr="00315335">
        <w:rPr>
          <w:rFonts w:ascii="Arial" w:hAnsi="Arial" w:cs="Arial"/>
          <w:sz w:val="24"/>
          <w:szCs w:val="24"/>
        </w:rPr>
        <w:tab/>
      </w:r>
    </w:p>
    <w:p w:rsidR="00F40E00" w:rsidRPr="00315335" w:rsidRDefault="00F40E00" w:rsidP="00F40E00">
      <w:pPr>
        <w:tabs>
          <w:tab w:val="left" w:pos="709"/>
        </w:tabs>
        <w:spacing w:after="0" w:line="240" w:lineRule="auto"/>
        <w:jc w:val="both"/>
        <w:rPr>
          <w:rFonts w:ascii="Arial" w:hAnsi="Arial" w:cs="Arial"/>
          <w:sz w:val="24"/>
          <w:szCs w:val="24"/>
        </w:rPr>
      </w:pPr>
      <w:r w:rsidRPr="00315335">
        <w:rPr>
          <w:rFonts w:ascii="Arial" w:hAnsi="Arial" w:cs="Arial"/>
          <w:sz w:val="24"/>
          <w:szCs w:val="24"/>
        </w:rPr>
        <w:t>În Tabelul I.1.1.2. sunt prezentate datele statistice rezultate din staţiile automate de monitorizare a calităţii aerului din judeţul Brăila</w:t>
      </w:r>
    </w:p>
    <w:p w:rsidR="00F40E00" w:rsidRPr="00315335" w:rsidRDefault="00F40E00" w:rsidP="00F40E00">
      <w:pPr>
        <w:tabs>
          <w:tab w:val="left" w:pos="709"/>
        </w:tabs>
        <w:spacing w:after="0" w:line="240" w:lineRule="auto"/>
        <w:jc w:val="both"/>
        <w:rPr>
          <w:rFonts w:ascii="Arial" w:hAnsi="Arial" w:cs="Arial"/>
          <w:b/>
          <w:sz w:val="24"/>
          <w:szCs w:val="24"/>
        </w:rPr>
      </w:pP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r w:rsidRPr="00315335">
        <w:rPr>
          <w:rFonts w:ascii="Arial" w:hAnsi="Arial" w:cs="Arial"/>
          <w:b/>
          <w:sz w:val="24"/>
          <w:szCs w:val="24"/>
        </w:rPr>
        <w:t>Tabelul I.1.1.2.</w:t>
      </w:r>
    </w:p>
    <w:tbl>
      <w:tblPr>
        <w:tblW w:w="375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25"/>
        <w:gridCol w:w="1122"/>
        <w:gridCol w:w="881"/>
        <w:gridCol w:w="784"/>
        <w:gridCol w:w="784"/>
        <w:gridCol w:w="840"/>
        <w:gridCol w:w="840"/>
        <w:gridCol w:w="1249"/>
      </w:tblGrid>
      <w:tr w:rsidR="00315335" w:rsidRPr="00315335" w:rsidTr="00916B06">
        <w:trPr>
          <w:trHeight w:val="255"/>
          <w:jc w:val="center"/>
        </w:trPr>
        <w:tc>
          <w:tcPr>
            <w:tcW w:w="846" w:type="pct"/>
            <w:vMerge w:val="restart"/>
            <w:tcBorders>
              <w:top w:val="single" w:sz="12"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b/>
                <w:sz w:val="20"/>
                <w:szCs w:val="20"/>
              </w:rPr>
            </w:pPr>
            <w:r w:rsidRPr="00315335">
              <w:rPr>
                <w:rFonts w:ascii="Arial" w:hAnsi="Arial" w:cs="Arial"/>
                <w:b/>
                <w:sz w:val="20"/>
                <w:szCs w:val="20"/>
              </w:rPr>
              <w:t>POLUANT</w:t>
            </w:r>
          </w:p>
        </w:tc>
        <w:tc>
          <w:tcPr>
            <w:tcW w:w="717" w:type="pct"/>
            <w:vMerge w:val="restart"/>
            <w:tcBorders>
              <w:top w:val="single" w:sz="12"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b/>
                <w:sz w:val="20"/>
                <w:szCs w:val="20"/>
              </w:rPr>
            </w:pPr>
            <w:r w:rsidRPr="00315335">
              <w:rPr>
                <w:rFonts w:ascii="Arial" w:hAnsi="Arial" w:cs="Arial"/>
                <w:b/>
                <w:sz w:val="20"/>
                <w:szCs w:val="20"/>
              </w:rPr>
              <w:t>Tip staţie</w:t>
            </w:r>
          </w:p>
        </w:tc>
        <w:tc>
          <w:tcPr>
            <w:tcW w:w="3437" w:type="pct"/>
            <w:gridSpan w:val="6"/>
            <w:tcBorders>
              <w:top w:val="single" w:sz="12" w:space="0" w:color="000000"/>
              <w:left w:val="single" w:sz="6" w:space="0" w:color="000000"/>
              <w:bottom w:val="single" w:sz="6" w:space="0" w:color="000000"/>
              <w:right w:val="single" w:sz="12" w:space="0" w:color="000000"/>
            </w:tcBorders>
            <w:vAlign w:val="center"/>
          </w:tcPr>
          <w:p w:rsidR="00F40E00" w:rsidRPr="00315335" w:rsidRDefault="00F40E00" w:rsidP="00916B06">
            <w:pPr>
              <w:tabs>
                <w:tab w:val="center" w:pos="4680"/>
                <w:tab w:val="right" w:pos="9000"/>
              </w:tabs>
              <w:spacing w:after="0"/>
              <w:jc w:val="center"/>
              <w:rPr>
                <w:rFonts w:ascii="Arial" w:hAnsi="Arial" w:cs="Arial"/>
                <w:b/>
                <w:sz w:val="20"/>
                <w:szCs w:val="20"/>
              </w:rPr>
            </w:pPr>
            <w:r w:rsidRPr="00315335">
              <w:rPr>
                <w:rFonts w:ascii="Arial" w:hAnsi="Arial" w:cs="Arial"/>
                <w:b/>
                <w:sz w:val="20"/>
                <w:szCs w:val="20"/>
              </w:rPr>
              <w:t>Concentraţia medie anuală</w:t>
            </w:r>
          </w:p>
        </w:tc>
      </w:tr>
      <w:tr w:rsidR="00315335" w:rsidRPr="00315335" w:rsidTr="00916B06">
        <w:trPr>
          <w:trHeight w:val="386"/>
          <w:jc w:val="center"/>
        </w:trPr>
        <w:tc>
          <w:tcPr>
            <w:tcW w:w="846" w:type="pct"/>
            <w:vMerge/>
            <w:tcBorders>
              <w:top w:val="single" w:sz="12"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vMerge/>
            <w:tcBorders>
              <w:top w:val="single" w:sz="12" w:space="0" w:color="000000"/>
              <w:left w:val="single" w:sz="6"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tabs>
                <w:tab w:val="center" w:pos="4680"/>
                <w:tab w:val="right" w:pos="9000"/>
              </w:tabs>
              <w:spacing w:after="0"/>
              <w:jc w:val="center"/>
              <w:rPr>
                <w:rFonts w:ascii="Arial" w:hAnsi="Arial" w:cs="Arial"/>
                <w:b/>
                <w:sz w:val="20"/>
                <w:szCs w:val="20"/>
              </w:rPr>
            </w:pPr>
            <w:r w:rsidRPr="00315335">
              <w:rPr>
                <w:rFonts w:ascii="Arial" w:hAnsi="Arial" w:cs="Arial"/>
                <w:b/>
                <w:sz w:val="20"/>
                <w:szCs w:val="20"/>
              </w:rPr>
              <w:t>2014</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tabs>
                <w:tab w:val="center" w:pos="4680"/>
                <w:tab w:val="right" w:pos="9000"/>
              </w:tabs>
              <w:spacing w:after="0"/>
              <w:jc w:val="center"/>
              <w:rPr>
                <w:rFonts w:ascii="Arial" w:hAnsi="Arial" w:cs="Arial"/>
                <w:b/>
                <w:sz w:val="20"/>
                <w:szCs w:val="20"/>
              </w:rPr>
            </w:pPr>
            <w:r w:rsidRPr="00315335">
              <w:rPr>
                <w:rFonts w:ascii="Arial" w:hAnsi="Arial" w:cs="Arial"/>
                <w:b/>
                <w:sz w:val="20"/>
                <w:szCs w:val="20"/>
              </w:rPr>
              <w:t>2015</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tabs>
                <w:tab w:val="center" w:pos="4680"/>
                <w:tab w:val="right" w:pos="9000"/>
              </w:tabs>
              <w:spacing w:after="0"/>
              <w:jc w:val="center"/>
              <w:rPr>
                <w:rFonts w:ascii="Arial" w:hAnsi="Arial" w:cs="Arial"/>
                <w:b/>
                <w:sz w:val="20"/>
                <w:szCs w:val="20"/>
              </w:rPr>
            </w:pPr>
            <w:r w:rsidRPr="00315335">
              <w:rPr>
                <w:rFonts w:ascii="Arial" w:hAnsi="Arial" w:cs="Arial"/>
                <w:b/>
                <w:sz w:val="20"/>
                <w:szCs w:val="20"/>
              </w:rPr>
              <w:t>2016</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tabs>
                <w:tab w:val="center" w:pos="4680"/>
                <w:tab w:val="right" w:pos="9000"/>
              </w:tabs>
              <w:spacing w:after="0"/>
              <w:jc w:val="center"/>
              <w:rPr>
                <w:rFonts w:ascii="Arial" w:hAnsi="Arial" w:cs="Arial"/>
                <w:b/>
                <w:sz w:val="20"/>
                <w:szCs w:val="20"/>
              </w:rPr>
            </w:pPr>
            <w:r w:rsidRPr="00315335">
              <w:rPr>
                <w:rFonts w:ascii="Arial" w:hAnsi="Arial" w:cs="Arial"/>
                <w:b/>
                <w:sz w:val="20"/>
                <w:szCs w:val="20"/>
              </w:rPr>
              <w:t>2017</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tabs>
                <w:tab w:val="center" w:pos="4680"/>
                <w:tab w:val="right" w:pos="9000"/>
              </w:tabs>
              <w:spacing w:after="0"/>
              <w:jc w:val="center"/>
              <w:rPr>
                <w:rFonts w:ascii="Arial" w:hAnsi="Arial" w:cs="Arial"/>
                <w:b/>
                <w:sz w:val="20"/>
                <w:szCs w:val="20"/>
              </w:rPr>
            </w:pPr>
            <w:r w:rsidRPr="00315335">
              <w:rPr>
                <w:rFonts w:ascii="Arial" w:hAnsi="Arial" w:cs="Arial"/>
                <w:b/>
                <w:sz w:val="20"/>
                <w:szCs w:val="20"/>
              </w:rPr>
              <w:t>2018</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observatii</w:t>
            </w:r>
          </w:p>
        </w:tc>
      </w:tr>
      <w:tr w:rsidR="00315335" w:rsidRPr="00315335" w:rsidTr="00916B06">
        <w:trPr>
          <w:trHeight w:val="255"/>
          <w:jc w:val="center"/>
        </w:trPr>
        <w:tc>
          <w:tcPr>
            <w:tcW w:w="846"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vertAlign w:val="subscript"/>
              </w:rPr>
            </w:pPr>
            <w:r w:rsidRPr="00315335">
              <w:rPr>
                <w:rFonts w:ascii="Arial" w:hAnsi="Arial" w:cs="Arial"/>
                <w:sz w:val="20"/>
                <w:szCs w:val="20"/>
              </w:rPr>
              <w:t>SO</w:t>
            </w:r>
            <w:r w:rsidRPr="00315335">
              <w:rPr>
                <w:rFonts w:ascii="Arial" w:hAnsi="Arial" w:cs="Arial"/>
                <w:sz w:val="20"/>
                <w:szCs w:val="20"/>
                <w:vertAlign w:val="subscript"/>
              </w:rPr>
              <w:t>2</w:t>
            </w:r>
          </w:p>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(µg/mc)</w:t>
            </w: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Fd urban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3.59</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4,41</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6,27</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In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4.50</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4,97</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4,39</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T</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5.09</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5,08</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5,84</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 xml:space="preserve">PM10 nef </w:t>
            </w:r>
          </w:p>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(µg/mc)</w:t>
            </w: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FD urban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36,68</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21.91</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19,11</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16,14</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In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46,03</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27.93</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20,70</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16,42</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T</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24.31</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21,79</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13,47</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val="restart"/>
            <w:tcBorders>
              <w:top w:val="single" w:sz="6" w:space="0" w:color="000000"/>
              <w:left w:val="single" w:sz="12"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 xml:space="preserve">PM10 grv. </w:t>
            </w:r>
          </w:p>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(µg/mc)</w:t>
            </w: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FD urban</w:t>
            </w:r>
          </w:p>
        </w:tc>
        <w:tc>
          <w:tcPr>
            <w:tcW w:w="563" w:type="pct"/>
            <w:tcBorders>
              <w:top w:val="single" w:sz="6" w:space="0" w:color="000000"/>
              <w:left w:val="single" w:sz="8" w:space="0" w:color="000000"/>
              <w:bottom w:val="single" w:sz="6" w:space="0" w:color="000000"/>
              <w:right w:val="single" w:sz="6" w:space="0" w:color="000000"/>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17,12</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17,52</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orientativ</w:t>
            </w:r>
          </w:p>
        </w:tc>
      </w:tr>
      <w:tr w:rsidR="00315335" w:rsidRPr="00315335" w:rsidTr="00916B06">
        <w:trPr>
          <w:trHeight w:val="255"/>
          <w:jc w:val="center"/>
        </w:trPr>
        <w:tc>
          <w:tcPr>
            <w:tcW w:w="846" w:type="pct"/>
            <w:vMerge/>
            <w:tcBorders>
              <w:left w:val="single" w:sz="12" w:space="0" w:color="000000"/>
              <w:right w:val="single" w:sz="6" w:space="0" w:color="000000"/>
            </w:tcBorders>
            <w:noWrap/>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In</w:t>
            </w:r>
          </w:p>
        </w:tc>
        <w:tc>
          <w:tcPr>
            <w:tcW w:w="563" w:type="pct"/>
            <w:tcBorders>
              <w:top w:val="single" w:sz="6" w:space="0" w:color="000000"/>
              <w:left w:val="single" w:sz="8" w:space="0" w:color="000000"/>
              <w:bottom w:val="single" w:sz="6" w:space="0" w:color="000000"/>
              <w:right w:val="single" w:sz="6" w:space="0" w:color="000000"/>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19,18</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10,17</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left w:val="single" w:sz="12" w:space="0" w:color="000000"/>
              <w:bottom w:val="single" w:sz="6" w:space="0" w:color="000000"/>
              <w:right w:val="single" w:sz="6" w:space="0" w:color="000000"/>
            </w:tcBorders>
            <w:noWrap/>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T</w:t>
            </w:r>
          </w:p>
        </w:tc>
        <w:tc>
          <w:tcPr>
            <w:tcW w:w="563" w:type="pct"/>
            <w:tcBorders>
              <w:top w:val="single" w:sz="6" w:space="0" w:color="000000"/>
              <w:left w:val="single" w:sz="8" w:space="0" w:color="000000"/>
              <w:bottom w:val="single" w:sz="6" w:space="0" w:color="000000"/>
              <w:right w:val="single" w:sz="6" w:space="0" w:color="000000"/>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22,98</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22,72</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vertAlign w:val="subscript"/>
              </w:rPr>
            </w:pPr>
            <w:r w:rsidRPr="00315335">
              <w:rPr>
                <w:rFonts w:ascii="Arial" w:hAnsi="Arial" w:cs="Arial"/>
                <w:sz w:val="20"/>
                <w:szCs w:val="20"/>
              </w:rPr>
              <w:t>O</w:t>
            </w:r>
            <w:r w:rsidRPr="00315335">
              <w:rPr>
                <w:rFonts w:ascii="Arial" w:hAnsi="Arial" w:cs="Arial"/>
                <w:sz w:val="20"/>
                <w:szCs w:val="20"/>
                <w:vertAlign w:val="subscript"/>
              </w:rPr>
              <w:t xml:space="preserve">3 </w:t>
            </w:r>
          </w:p>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(µg/mc)</w:t>
            </w: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Fd urban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20,02</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53,23</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36.48</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43,37</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58,69</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In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48,24</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44,13</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50.25</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58,21</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57,23</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T</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vertAlign w:val="subscript"/>
              </w:rPr>
            </w:pPr>
            <w:r w:rsidRPr="00315335">
              <w:rPr>
                <w:rFonts w:ascii="Arial" w:hAnsi="Arial" w:cs="Arial"/>
                <w:sz w:val="20"/>
                <w:szCs w:val="20"/>
              </w:rPr>
              <w:t>NO</w:t>
            </w:r>
            <w:r w:rsidRPr="00315335">
              <w:rPr>
                <w:rFonts w:ascii="Arial" w:hAnsi="Arial" w:cs="Arial"/>
                <w:sz w:val="20"/>
                <w:szCs w:val="20"/>
                <w:vertAlign w:val="subscript"/>
              </w:rPr>
              <w:t xml:space="preserve">2 </w:t>
            </w:r>
          </w:p>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(µg/mc)</w:t>
            </w: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Fd urban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15.5</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12,83</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20.22</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17,17</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18,42</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In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12,31</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12.68</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10,90</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13,80</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highlight w:val="yellow"/>
              </w:rPr>
            </w:pPr>
            <w:r w:rsidRPr="00315335">
              <w:rPr>
                <w:rFonts w:ascii="Arial" w:hAnsi="Arial" w:cs="Arial"/>
                <w:sz w:val="20"/>
                <w:szCs w:val="20"/>
              </w:rPr>
              <w:t>orientativ</w:t>
            </w: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T</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20.25</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26,25</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25,51</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vertAlign w:val="subscript"/>
              </w:rPr>
            </w:pPr>
            <w:r w:rsidRPr="00315335">
              <w:rPr>
                <w:rFonts w:ascii="Arial" w:hAnsi="Arial" w:cs="Arial"/>
                <w:sz w:val="20"/>
                <w:szCs w:val="20"/>
              </w:rPr>
              <w:t>NO</w:t>
            </w:r>
            <w:r w:rsidRPr="00315335">
              <w:rPr>
                <w:rFonts w:ascii="Arial" w:hAnsi="Arial" w:cs="Arial"/>
                <w:sz w:val="20"/>
                <w:szCs w:val="20"/>
                <w:vertAlign w:val="subscript"/>
              </w:rPr>
              <w:t xml:space="preserve">x </w:t>
            </w:r>
          </w:p>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(µg/mc)</w:t>
            </w: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Fd urban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20,8</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22,30</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22,30</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25,92</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28,28</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In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19,78</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19,78</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16,71</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18,90</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highlight w:val="yellow"/>
              </w:rPr>
            </w:pPr>
            <w:r w:rsidRPr="00315335">
              <w:rPr>
                <w:rFonts w:ascii="Arial" w:hAnsi="Arial" w:cs="Arial"/>
                <w:sz w:val="20"/>
                <w:szCs w:val="20"/>
              </w:rPr>
              <w:t>orientativ</w:t>
            </w: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T</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25.23</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41,51</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40,99</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 xml:space="preserve">CO </w:t>
            </w:r>
          </w:p>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(mg/mc)</w:t>
            </w: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Fd urban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0,22</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0,11</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0.11</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0,09</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0,09</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tabs>
                <w:tab w:val="center" w:pos="4680"/>
                <w:tab w:val="right" w:pos="9000"/>
              </w:tabs>
              <w:spacing w:after="0"/>
              <w:jc w:val="center"/>
              <w:rPr>
                <w:rFonts w:ascii="Arial" w:hAnsi="Arial" w:cs="Arial"/>
                <w:sz w:val="20"/>
                <w:szCs w:val="20"/>
              </w:rPr>
            </w:pPr>
            <w:r w:rsidRPr="00315335">
              <w:rPr>
                <w:rFonts w:ascii="Arial" w:hAnsi="Arial" w:cs="Arial"/>
                <w:sz w:val="20"/>
                <w:szCs w:val="20"/>
              </w:rPr>
              <w:t>In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0,08</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0,07</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0.09</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0,085</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0,08</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T</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0,34</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0.19</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0,16</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0,14</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val="restart"/>
            <w:tcBorders>
              <w:top w:val="single" w:sz="6" w:space="0" w:color="000000"/>
              <w:left w:val="single" w:sz="12"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Benzen</w:t>
            </w:r>
          </w:p>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 xml:space="preserve"> (µg/mc)</w:t>
            </w: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Fd urban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1.2</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1,4</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1,33</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top w:val="single" w:sz="6" w:space="0" w:color="000000"/>
              <w:left w:val="single" w:sz="12"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T</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1.93</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2,39</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1,33</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highlight w:val="yellow"/>
              </w:rPr>
            </w:pPr>
            <w:r w:rsidRPr="00315335">
              <w:rPr>
                <w:rFonts w:ascii="Arial" w:hAnsi="Arial" w:cs="Arial"/>
                <w:sz w:val="20"/>
                <w:szCs w:val="20"/>
              </w:rPr>
              <w:t>orientativ</w:t>
            </w:r>
          </w:p>
        </w:tc>
      </w:tr>
      <w:tr w:rsidR="00315335" w:rsidRPr="00315335" w:rsidTr="00916B06">
        <w:trPr>
          <w:trHeight w:val="255"/>
          <w:jc w:val="center"/>
        </w:trPr>
        <w:tc>
          <w:tcPr>
            <w:tcW w:w="846" w:type="pct"/>
            <w:vMerge w:val="restart"/>
            <w:tcBorders>
              <w:top w:val="single" w:sz="6" w:space="0" w:color="000000"/>
              <w:left w:val="single" w:sz="12"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vertAlign w:val="subscript"/>
              </w:rPr>
            </w:pPr>
            <w:r w:rsidRPr="00315335">
              <w:rPr>
                <w:rFonts w:ascii="Arial" w:hAnsi="Arial" w:cs="Arial"/>
                <w:sz w:val="20"/>
                <w:szCs w:val="20"/>
              </w:rPr>
              <w:t>PM</w:t>
            </w:r>
            <w:r w:rsidRPr="00315335">
              <w:rPr>
                <w:rFonts w:ascii="Arial" w:hAnsi="Arial" w:cs="Arial"/>
                <w:sz w:val="20"/>
                <w:szCs w:val="20"/>
                <w:vertAlign w:val="subscript"/>
              </w:rPr>
              <w:t xml:space="preserve">2.5 </w:t>
            </w:r>
          </w:p>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(µg/mc)</w:t>
            </w:r>
          </w:p>
        </w:tc>
        <w:tc>
          <w:tcPr>
            <w:tcW w:w="717" w:type="pct"/>
            <w:tcBorders>
              <w:top w:val="single" w:sz="6" w:space="0" w:color="000000"/>
              <w:left w:val="single" w:sz="6" w:space="0" w:color="000000"/>
              <w:bottom w:val="single" w:sz="6"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Fd urban</w:t>
            </w:r>
          </w:p>
        </w:tc>
        <w:tc>
          <w:tcPr>
            <w:tcW w:w="563" w:type="pct"/>
            <w:tcBorders>
              <w:top w:val="single" w:sz="6" w:space="0" w:color="000000"/>
              <w:left w:val="single" w:sz="8" w:space="0" w:color="000000"/>
              <w:bottom w:val="single" w:sz="6"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13,56</w:t>
            </w:r>
          </w:p>
        </w:tc>
        <w:tc>
          <w:tcPr>
            <w:tcW w:w="537" w:type="pct"/>
            <w:tcBorders>
              <w:top w:val="single" w:sz="6" w:space="0" w:color="000000"/>
              <w:left w:val="single" w:sz="4" w:space="0" w:color="auto"/>
              <w:bottom w:val="single" w:sz="6"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2,38</w:t>
            </w:r>
          </w:p>
        </w:tc>
        <w:tc>
          <w:tcPr>
            <w:tcW w:w="797" w:type="pct"/>
            <w:tcBorders>
              <w:top w:val="single" w:sz="6" w:space="0" w:color="000000"/>
              <w:left w:val="single" w:sz="4" w:space="0" w:color="auto"/>
              <w:bottom w:val="single" w:sz="6"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r w:rsidR="00315335" w:rsidRPr="00315335" w:rsidTr="00916B06">
        <w:trPr>
          <w:trHeight w:val="255"/>
          <w:jc w:val="center"/>
        </w:trPr>
        <w:tc>
          <w:tcPr>
            <w:tcW w:w="846" w:type="pct"/>
            <w:vMerge/>
            <w:tcBorders>
              <w:left w:val="single" w:sz="12" w:space="0" w:color="000000"/>
              <w:bottom w:val="single" w:sz="12"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p>
        </w:tc>
        <w:tc>
          <w:tcPr>
            <w:tcW w:w="717" w:type="pct"/>
            <w:tcBorders>
              <w:top w:val="single" w:sz="6" w:space="0" w:color="000000"/>
              <w:left w:val="single" w:sz="6" w:space="0" w:color="000000"/>
              <w:bottom w:val="single" w:sz="12" w:space="0" w:color="000000"/>
              <w:right w:val="single" w:sz="6" w:space="0" w:color="000000"/>
            </w:tcBorders>
            <w:noWrap/>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T</w:t>
            </w:r>
          </w:p>
        </w:tc>
        <w:tc>
          <w:tcPr>
            <w:tcW w:w="563" w:type="pct"/>
            <w:tcBorders>
              <w:top w:val="single" w:sz="6" w:space="0" w:color="000000"/>
              <w:left w:val="single" w:sz="8" w:space="0" w:color="000000"/>
              <w:bottom w:val="single" w:sz="12" w:space="0" w:color="000000"/>
              <w:right w:val="single" w:sz="6" w:space="0" w:color="000000"/>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6" w:space="0" w:color="000000"/>
              <w:bottom w:val="single" w:sz="12"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01" w:type="pct"/>
            <w:tcBorders>
              <w:top w:val="single" w:sz="6" w:space="0" w:color="000000"/>
              <w:left w:val="single" w:sz="4" w:space="0" w:color="auto"/>
              <w:bottom w:val="single" w:sz="12"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37" w:type="pct"/>
            <w:tcBorders>
              <w:top w:val="single" w:sz="6" w:space="0" w:color="000000"/>
              <w:left w:val="single" w:sz="4" w:space="0" w:color="auto"/>
              <w:bottom w:val="single" w:sz="12"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537" w:type="pct"/>
            <w:tcBorders>
              <w:top w:val="single" w:sz="6" w:space="0" w:color="000000"/>
              <w:left w:val="single" w:sz="4" w:space="0" w:color="auto"/>
              <w:bottom w:val="single" w:sz="12" w:space="0" w:color="000000"/>
              <w:right w:val="single" w:sz="4" w:space="0" w:color="auto"/>
            </w:tcBorders>
            <w:vAlign w:val="center"/>
          </w:tcPr>
          <w:p w:rsidR="00F40E00" w:rsidRPr="00315335" w:rsidRDefault="00F40E00" w:rsidP="00916B06">
            <w:pPr>
              <w:spacing w:after="0"/>
              <w:jc w:val="center"/>
              <w:rPr>
                <w:rFonts w:ascii="Arial" w:hAnsi="Arial" w:cs="Arial"/>
                <w:sz w:val="20"/>
                <w:szCs w:val="20"/>
              </w:rPr>
            </w:pPr>
            <w:r w:rsidRPr="00315335">
              <w:rPr>
                <w:rFonts w:ascii="Arial" w:hAnsi="Arial" w:cs="Arial"/>
                <w:sz w:val="20"/>
                <w:szCs w:val="20"/>
              </w:rPr>
              <w:t>-</w:t>
            </w:r>
          </w:p>
        </w:tc>
        <w:tc>
          <w:tcPr>
            <w:tcW w:w="797" w:type="pct"/>
            <w:tcBorders>
              <w:top w:val="single" w:sz="6" w:space="0" w:color="000000"/>
              <w:left w:val="single" w:sz="4" w:space="0" w:color="auto"/>
              <w:bottom w:val="single" w:sz="12" w:space="0" w:color="000000"/>
              <w:right w:val="single" w:sz="12" w:space="0" w:color="000000"/>
            </w:tcBorders>
          </w:tcPr>
          <w:p w:rsidR="00F40E00" w:rsidRPr="00315335" w:rsidRDefault="00F40E00" w:rsidP="00916B06">
            <w:pPr>
              <w:spacing w:after="0"/>
              <w:jc w:val="center"/>
              <w:rPr>
                <w:rFonts w:ascii="Arial" w:hAnsi="Arial" w:cs="Arial"/>
                <w:sz w:val="20"/>
                <w:szCs w:val="20"/>
              </w:rPr>
            </w:pPr>
          </w:p>
        </w:tc>
      </w:tr>
    </w:tbl>
    <w:p w:rsidR="00F40E00" w:rsidRPr="00315335" w:rsidRDefault="00F40E00" w:rsidP="00F40E00">
      <w:pPr>
        <w:tabs>
          <w:tab w:val="left" w:pos="709"/>
        </w:tabs>
        <w:spacing w:line="240" w:lineRule="auto"/>
        <w:jc w:val="both"/>
        <w:rPr>
          <w:rFonts w:ascii="Arial" w:hAnsi="Arial" w:cs="Arial"/>
          <w:sz w:val="24"/>
          <w:szCs w:val="24"/>
        </w:rPr>
      </w:pPr>
      <w:r w:rsidRPr="00315335">
        <w:rPr>
          <w:rFonts w:ascii="Arial" w:hAnsi="Arial" w:cs="Arial"/>
          <w:sz w:val="24"/>
          <w:szCs w:val="24"/>
        </w:rPr>
        <w:lastRenderedPageBreak/>
        <w:tab/>
      </w:r>
      <w:r w:rsidRPr="00315335">
        <w:rPr>
          <w:rFonts w:ascii="Arial" w:hAnsi="Arial" w:cs="Arial"/>
          <w:sz w:val="24"/>
          <w:szCs w:val="24"/>
        </w:rPr>
        <w:tab/>
        <w:t>Din cauza defecţiunilor apărute la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F40E00" w:rsidRPr="00315335" w:rsidRDefault="00F40E00" w:rsidP="00F40E00">
      <w:pPr>
        <w:tabs>
          <w:tab w:val="left" w:pos="709"/>
        </w:tabs>
        <w:spacing w:line="240" w:lineRule="auto"/>
        <w:jc w:val="both"/>
        <w:rPr>
          <w:rFonts w:ascii="Arial" w:hAnsi="Arial" w:cs="Arial"/>
          <w:b/>
          <w:sz w:val="24"/>
          <w:szCs w:val="24"/>
        </w:rPr>
      </w:pPr>
      <w:r w:rsidRPr="00315335">
        <w:rPr>
          <w:rFonts w:ascii="Arial" w:hAnsi="Arial" w:cs="Arial"/>
          <w:sz w:val="24"/>
          <w:szCs w:val="24"/>
        </w:rPr>
        <w:tab/>
      </w:r>
      <w:r w:rsidRPr="00315335">
        <w:rPr>
          <w:rFonts w:ascii="Arial" w:hAnsi="Arial" w:cs="Arial"/>
          <w:b/>
          <w:sz w:val="24"/>
          <w:szCs w:val="24"/>
        </w:rPr>
        <w:t>I.1.1.2.1.Dioxidul de azot</w:t>
      </w:r>
    </w:p>
    <w:p w:rsidR="00F40E00" w:rsidRPr="00315335" w:rsidRDefault="00F40E00" w:rsidP="00F40E00">
      <w:pPr>
        <w:tabs>
          <w:tab w:val="num" w:pos="0"/>
        </w:tabs>
        <w:ind w:firstLine="720"/>
        <w:jc w:val="center"/>
        <w:rPr>
          <w:rFonts w:ascii="Arial" w:hAnsi="Arial" w:cs="Arial"/>
          <w:sz w:val="24"/>
          <w:szCs w:val="24"/>
        </w:rPr>
      </w:pPr>
      <w:r w:rsidRPr="00315335">
        <w:rPr>
          <w:rFonts w:ascii="Arial" w:hAnsi="Arial" w:cs="Arial"/>
          <w:noProof/>
          <w:sz w:val="24"/>
          <w:szCs w:val="24"/>
        </w:rPr>
        <w:drawing>
          <wp:inline distT="0" distB="0" distL="0" distR="0" wp14:anchorId="67A98F55" wp14:editId="6EEC98A0">
            <wp:extent cx="5524500" cy="2124075"/>
            <wp:effectExtent l="0" t="0" r="0" b="0"/>
            <wp:docPr id="15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40E00" w:rsidRPr="00315335" w:rsidRDefault="00F40E00" w:rsidP="00F40E00">
      <w:pPr>
        <w:tabs>
          <w:tab w:val="num" w:pos="0"/>
        </w:tabs>
        <w:jc w:val="center"/>
        <w:rPr>
          <w:rFonts w:ascii="Arial" w:hAnsi="Arial" w:cs="Arial"/>
          <w:sz w:val="24"/>
          <w:szCs w:val="24"/>
        </w:rPr>
      </w:pPr>
      <w:r w:rsidRPr="00315335">
        <w:rPr>
          <w:rFonts w:ascii="Arial" w:hAnsi="Arial" w:cs="Arial"/>
          <w:b/>
          <w:sz w:val="24"/>
          <w:szCs w:val="24"/>
        </w:rPr>
        <w:t>Fig. I.1.1.2.1.</w:t>
      </w:r>
      <w:r w:rsidRPr="00315335">
        <w:rPr>
          <w:rFonts w:ascii="Arial" w:hAnsi="Arial" w:cs="Arial"/>
          <w:sz w:val="24"/>
          <w:szCs w:val="24"/>
        </w:rPr>
        <w:t>Concentraţia medie anuală a dioxidului de azot în perioada 2014 - 2018</w:t>
      </w:r>
    </w:p>
    <w:p w:rsidR="00F40E00" w:rsidRPr="00315335" w:rsidRDefault="00F40E00" w:rsidP="00F40E00">
      <w:pPr>
        <w:tabs>
          <w:tab w:val="num" w:pos="0"/>
        </w:tabs>
        <w:spacing w:after="0" w:line="240" w:lineRule="auto"/>
        <w:ind w:firstLine="720"/>
        <w:rPr>
          <w:rFonts w:ascii="Arial" w:hAnsi="Arial" w:cs="Arial"/>
          <w:b/>
          <w:sz w:val="24"/>
          <w:szCs w:val="24"/>
        </w:rPr>
      </w:pPr>
      <w:r w:rsidRPr="00315335">
        <w:rPr>
          <w:rFonts w:ascii="Arial" w:hAnsi="Arial" w:cs="Arial"/>
          <w:b/>
          <w:sz w:val="24"/>
          <w:szCs w:val="24"/>
        </w:rPr>
        <w:t xml:space="preserve">            Tabel I.1.1.2.1.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1080"/>
        <w:gridCol w:w="951"/>
        <w:gridCol w:w="1007"/>
        <w:gridCol w:w="951"/>
        <w:gridCol w:w="951"/>
      </w:tblGrid>
      <w:tr w:rsidR="00315335" w:rsidRPr="00315335" w:rsidTr="00916B06">
        <w:trPr>
          <w:jc w:val="center"/>
        </w:trPr>
        <w:tc>
          <w:tcPr>
            <w:tcW w:w="2207" w:type="dxa"/>
            <w:shd w:val="clear" w:color="auto" w:fill="E6E6E6"/>
          </w:tcPr>
          <w:p w:rsidR="00F40E00" w:rsidRPr="00315335" w:rsidRDefault="00F40E00" w:rsidP="00916B06">
            <w:pPr>
              <w:tabs>
                <w:tab w:val="num" w:pos="0"/>
              </w:tabs>
              <w:spacing w:after="0" w:line="240" w:lineRule="auto"/>
              <w:rPr>
                <w:rFonts w:ascii="Arial" w:hAnsi="Arial" w:cs="Arial"/>
              </w:rPr>
            </w:pPr>
            <w:r w:rsidRPr="00315335">
              <w:rPr>
                <w:rFonts w:ascii="Arial" w:hAnsi="Arial" w:cs="Arial"/>
                <w:b/>
              </w:rPr>
              <w:t>NO</w:t>
            </w:r>
            <w:r w:rsidRPr="00315335">
              <w:rPr>
                <w:rFonts w:ascii="Arial" w:hAnsi="Arial" w:cs="Arial"/>
                <w:b/>
                <w:vertAlign w:val="subscript"/>
              </w:rPr>
              <w:t>2</w:t>
            </w:r>
            <w:r w:rsidRPr="00315335">
              <w:rPr>
                <w:rFonts w:ascii="Arial" w:hAnsi="Arial" w:cs="Arial"/>
              </w:rPr>
              <w:t xml:space="preserve">    (</w:t>
            </w:r>
            <w:r w:rsidRPr="00315335">
              <w:rPr>
                <w:rFonts w:ascii="Arial" w:hAnsi="Arial" w:cs="Arial"/>
              </w:rPr>
              <w:sym w:font="Symbol" w:char="F06D"/>
            </w:r>
            <w:r w:rsidRPr="00315335">
              <w:rPr>
                <w:rFonts w:ascii="Arial" w:hAnsi="Arial" w:cs="Arial"/>
              </w:rPr>
              <w:t>g/mc)</w:t>
            </w:r>
          </w:p>
        </w:tc>
        <w:tc>
          <w:tcPr>
            <w:tcW w:w="1080"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BR1</w:t>
            </w:r>
          </w:p>
        </w:tc>
        <w:tc>
          <w:tcPr>
            <w:tcW w:w="951"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BR2</w:t>
            </w:r>
          </w:p>
        </w:tc>
        <w:tc>
          <w:tcPr>
            <w:tcW w:w="1007"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BR3</w:t>
            </w:r>
          </w:p>
        </w:tc>
        <w:tc>
          <w:tcPr>
            <w:tcW w:w="951"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BR4</w:t>
            </w:r>
          </w:p>
        </w:tc>
        <w:tc>
          <w:tcPr>
            <w:tcW w:w="951"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BR5</w:t>
            </w:r>
          </w:p>
        </w:tc>
      </w:tr>
      <w:tr w:rsidR="00315335" w:rsidRPr="00315335" w:rsidTr="00916B06">
        <w:trPr>
          <w:jc w:val="center"/>
        </w:trPr>
        <w:tc>
          <w:tcPr>
            <w:tcW w:w="220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2014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15,50</w:t>
            </w:r>
          </w:p>
        </w:tc>
        <w:tc>
          <w:tcPr>
            <w:tcW w:w="1007" w:type="dxa"/>
          </w:tcPr>
          <w:p w:rsidR="00F40E00" w:rsidRPr="00315335" w:rsidRDefault="00F40E00" w:rsidP="00916B06">
            <w:pPr>
              <w:spacing w:after="0" w:line="240" w:lineRule="auto"/>
              <w:jc w:val="center"/>
              <w:rPr>
                <w:rFonts w:ascii="Arial" w:hAnsi="Arial" w:cs="Arial"/>
              </w:rPr>
            </w:pPr>
            <w:r w:rsidRPr="00315335">
              <w:rPr>
                <w:rFonts w:ascii="Arial" w:hAnsi="Arial" w:cs="Arial"/>
              </w:rPr>
              <w:t>7,41</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r>
      <w:tr w:rsidR="00315335" w:rsidRPr="00315335" w:rsidTr="00916B06">
        <w:trPr>
          <w:jc w:val="center"/>
        </w:trPr>
        <w:tc>
          <w:tcPr>
            <w:tcW w:w="220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2015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12,83</w:t>
            </w:r>
          </w:p>
        </w:tc>
        <w:tc>
          <w:tcPr>
            <w:tcW w:w="1007"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12,31</w:t>
            </w:r>
          </w:p>
        </w:tc>
      </w:tr>
      <w:tr w:rsidR="00315335" w:rsidRPr="00315335" w:rsidTr="00916B06">
        <w:trPr>
          <w:jc w:val="center"/>
        </w:trPr>
        <w:tc>
          <w:tcPr>
            <w:tcW w:w="220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2016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20,25</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20,22</w:t>
            </w:r>
          </w:p>
        </w:tc>
        <w:tc>
          <w:tcPr>
            <w:tcW w:w="1007" w:type="dxa"/>
          </w:tcPr>
          <w:p w:rsidR="00F40E00" w:rsidRPr="00315335" w:rsidRDefault="00F40E00" w:rsidP="00916B06">
            <w:pPr>
              <w:spacing w:after="0" w:line="240" w:lineRule="auto"/>
              <w:jc w:val="center"/>
              <w:rPr>
                <w:rFonts w:ascii="Arial" w:hAnsi="Arial" w:cs="Arial"/>
              </w:rPr>
            </w:pPr>
            <w:r w:rsidRPr="00315335">
              <w:rPr>
                <w:rFonts w:ascii="Arial" w:hAnsi="Arial" w:cs="Arial"/>
              </w:rPr>
              <w:t>17,68</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12,92</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12,45</w:t>
            </w:r>
          </w:p>
        </w:tc>
      </w:tr>
      <w:tr w:rsidR="00315335" w:rsidRPr="00315335" w:rsidTr="00916B06">
        <w:trPr>
          <w:jc w:val="center"/>
        </w:trPr>
        <w:tc>
          <w:tcPr>
            <w:tcW w:w="220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2017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20,26</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17,17</w:t>
            </w:r>
          </w:p>
        </w:tc>
        <w:tc>
          <w:tcPr>
            <w:tcW w:w="1007" w:type="dxa"/>
          </w:tcPr>
          <w:p w:rsidR="00F40E00" w:rsidRPr="00315335" w:rsidRDefault="00F40E00" w:rsidP="00916B06">
            <w:pPr>
              <w:spacing w:after="0" w:line="240" w:lineRule="auto"/>
              <w:jc w:val="center"/>
              <w:rPr>
                <w:rFonts w:ascii="Arial" w:hAnsi="Arial" w:cs="Arial"/>
              </w:rPr>
            </w:pPr>
            <w:r w:rsidRPr="00315335">
              <w:rPr>
                <w:rFonts w:ascii="Arial" w:hAnsi="Arial" w:cs="Arial"/>
              </w:rPr>
              <w:t>12,13</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11,05</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10,75</w:t>
            </w:r>
          </w:p>
        </w:tc>
      </w:tr>
      <w:tr w:rsidR="00315335" w:rsidRPr="00315335" w:rsidTr="00916B06">
        <w:trPr>
          <w:jc w:val="center"/>
        </w:trPr>
        <w:tc>
          <w:tcPr>
            <w:tcW w:w="220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2018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25,51</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18,42</w:t>
            </w:r>
          </w:p>
        </w:tc>
        <w:tc>
          <w:tcPr>
            <w:tcW w:w="1007" w:type="dxa"/>
          </w:tcPr>
          <w:p w:rsidR="00F40E00" w:rsidRPr="00315335" w:rsidRDefault="00F40E00" w:rsidP="00916B06">
            <w:pPr>
              <w:spacing w:after="0" w:line="240" w:lineRule="auto"/>
              <w:jc w:val="center"/>
              <w:rPr>
                <w:rFonts w:ascii="Arial" w:hAnsi="Arial" w:cs="Arial"/>
              </w:rPr>
            </w:pPr>
            <w:r w:rsidRPr="00315335">
              <w:rPr>
                <w:rFonts w:ascii="Arial" w:hAnsi="Arial" w:cs="Arial"/>
              </w:rPr>
              <w:t>14,60</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16,09</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10,08</w:t>
            </w:r>
          </w:p>
        </w:tc>
      </w:tr>
    </w:tbl>
    <w:p w:rsidR="00F40E00" w:rsidRPr="00315335" w:rsidRDefault="00F40E00" w:rsidP="00F40E00">
      <w:pPr>
        <w:tabs>
          <w:tab w:val="num" w:pos="0"/>
        </w:tabs>
        <w:spacing w:after="0"/>
        <w:jc w:val="both"/>
        <w:rPr>
          <w:rFonts w:ascii="Arial" w:hAnsi="Arial" w:cs="Arial"/>
          <w:sz w:val="24"/>
          <w:szCs w:val="24"/>
        </w:rPr>
      </w:pPr>
      <w:r w:rsidRPr="00315335">
        <w:rPr>
          <w:rFonts w:ascii="Arial" w:hAnsi="Arial" w:cs="Arial"/>
          <w:b/>
          <w:sz w:val="24"/>
          <w:szCs w:val="24"/>
          <w:lang w:val="pl-PL"/>
        </w:rPr>
        <w:tab/>
        <w:t>*</w:t>
      </w:r>
      <w:r w:rsidRPr="00315335">
        <w:rPr>
          <w:rFonts w:ascii="Arial" w:hAnsi="Arial" w:cs="Arial"/>
          <w:sz w:val="24"/>
          <w:szCs w:val="24"/>
          <w:lang w:val="pl-PL"/>
        </w:rPr>
        <w:t>Notă – Valorile medii anuale în 2018 la staţia BR4 sunt orientative deoarece nu au fost îndeplinite cerinţele privind captura de date minimă.</w:t>
      </w:r>
    </w:p>
    <w:p w:rsidR="00F40E00" w:rsidRPr="00315335" w:rsidRDefault="00F40E00" w:rsidP="00F40E00">
      <w:pPr>
        <w:tabs>
          <w:tab w:val="num" w:pos="0"/>
        </w:tabs>
        <w:spacing w:after="0"/>
        <w:rPr>
          <w:rFonts w:ascii="Arial" w:hAnsi="Arial" w:cs="Arial"/>
          <w:sz w:val="24"/>
          <w:szCs w:val="24"/>
        </w:rPr>
      </w:pPr>
    </w:p>
    <w:p w:rsidR="00F40E00" w:rsidRPr="00315335" w:rsidRDefault="00F40E00" w:rsidP="00F40E00">
      <w:pPr>
        <w:tabs>
          <w:tab w:val="num" w:pos="0"/>
        </w:tabs>
        <w:spacing w:after="0"/>
        <w:jc w:val="center"/>
        <w:rPr>
          <w:rFonts w:ascii="Arial" w:hAnsi="Arial" w:cs="Arial"/>
          <w:sz w:val="24"/>
          <w:szCs w:val="24"/>
        </w:rPr>
      </w:pPr>
    </w:p>
    <w:p w:rsidR="00F40E00" w:rsidRPr="00315335" w:rsidRDefault="00F40E00" w:rsidP="00F40E00">
      <w:pPr>
        <w:tabs>
          <w:tab w:val="left" w:pos="709"/>
        </w:tabs>
        <w:ind w:left="720" w:right="31"/>
        <w:rPr>
          <w:rFonts w:ascii="Arial" w:hAnsi="Arial" w:cs="Arial"/>
          <w:b/>
          <w:sz w:val="24"/>
          <w:szCs w:val="24"/>
        </w:rPr>
      </w:pPr>
      <w:r w:rsidRPr="00315335">
        <w:rPr>
          <w:rFonts w:ascii="Arial" w:hAnsi="Arial" w:cs="Arial"/>
          <w:b/>
          <w:sz w:val="24"/>
          <w:szCs w:val="24"/>
        </w:rPr>
        <w:t>I.1.1.2.2.Dioxid de sulf</w:t>
      </w:r>
    </w:p>
    <w:p w:rsidR="00F40E00" w:rsidRPr="00315335" w:rsidRDefault="00F40E00" w:rsidP="00F40E00">
      <w:pPr>
        <w:tabs>
          <w:tab w:val="num" w:pos="0"/>
        </w:tabs>
        <w:jc w:val="center"/>
        <w:rPr>
          <w:rFonts w:ascii="Arial" w:hAnsi="Arial" w:cs="Arial"/>
          <w:sz w:val="24"/>
          <w:szCs w:val="24"/>
        </w:rPr>
      </w:pPr>
      <w:r w:rsidRPr="00315335">
        <w:rPr>
          <w:rFonts w:ascii="Arial" w:hAnsi="Arial" w:cs="Arial"/>
          <w:noProof/>
          <w:sz w:val="24"/>
          <w:szCs w:val="24"/>
        </w:rPr>
        <w:drawing>
          <wp:inline distT="0" distB="0" distL="0" distR="0" wp14:anchorId="05A82FC9" wp14:editId="203DD6A9">
            <wp:extent cx="5019675" cy="2047875"/>
            <wp:effectExtent l="0" t="0" r="0" b="0"/>
            <wp:docPr id="15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0E00" w:rsidRPr="00315335" w:rsidRDefault="00F40E00" w:rsidP="00F40E00">
      <w:pPr>
        <w:tabs>
          <w:tab w:val="num" w:pos="0"/>
        </w:tabs>
        <w:jc w:val="center"/>
        <w:rPr>
          <w:rFonts w:ascii="Arial" w:hAnsi="Arial" w:cs="Arial"/>
          <w:sz w:val="24"/>
          <w:szCs w:val="24"/>
        </w:rPr>
      </w:pPr>
      <w:r w:rsidRPr="00315335">
        <w:rPr>
          <w:rFonts w:ascii="Arial" w:hAnsi="Arial" w:cs="Arial"/>
          <w:b/>
          <w:sz w:val="24"/>
          <w:szCs w:val="24"/>
        </w:rPr>
        <w:t>Fig. I.1.1.2.2</w:t>
      </w:r>
      <w:r w:rsidRPr="00315335">
        <w:rPr>
          <w:rFonts w:ascii="Arial" w:hAnsi="Arial" w:cs="Arial"/>
          <w:sz w:val="24"/>
          <w:szCs w:val="24"/>
        </w:rPr>
        <w:t>. Concentraţia medie anuală a dioxidului de sulf în perioada 2014- 2018</w:t>
      </w:r>
    </w:p>
    <w:p w:rsidR="00F40E00" w:rsidRPr="00315335" w:rsidRDefault="00F40E00" w:rsidP="00BC4D9E">
      <w:pPr>
        <w:tabs>
          <w:tab w:val="num" w:pos="0"/>
        </w:tabs>
        <w:spacing w:after="0" w:line="240" w:lineRule="auto"/>
        <w:ind w:firstLine="720"/>
        <w:rPr>
          <w:rFonts w:ascii="Arial" w:hAnsi="Arial" w:cs="Arial"/>
          <w:sz w:val="24"/>
          <w:szCs w:val="24"/>
        </w:rPr>
      </w:pPr>
      <w:r w:rsidRPr="00315335">
        <w:rPr>
          <w:rFonts w:ascii="Arial" w:hAnsi="Arial" w:cs="Arial"/>
          <w:b/>
          <w:sz w:val="24"/>
          <w:szCs w:val="24"/>
        </w:rPr>
        <w:t>Tabel I.1.1.2.2</w:t>
      </w:r>
      <w:r w:rsidRPr="00315335">
        <w:rPr>
          <w:rFonts w:ascii="Arial" w:hAnsi="Arial" w:cs="Arial"/>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992"/>
        <w:gridCol w:w="993"/>
        <w:gridCol w:w="1109"/>
        <w:gridCol w:w="1134"/>
        <w:gridCol w:w="1134"/>
      </w:tblGrid>
      <w:tr w:rsidR="00315335" w:rsidRPr="00315335" w:rsidTr="00916B06">
        <w:trPr>
          <w:jc w:val="center"/>
        </w:trPr>
        <w:tc>
          <w:tcPr>
            <w:tcW w:w="2177" w:type="dxa"/>
            <w:shd w:val="clear" w:color="auto" w:fill="E6E6E6"/>
          </w:tcPr>
          <w:p w:rsidR="00F40E00" w:rsidRPr="00315335" w:rsidRDefault="00F40E00" w:rsidP="00916B06">
            <w:pPr>
              <w:tabs>
                <w:tab w:val="num" w:pos="0"/>
              </w:tabs>
              <w:spacing w:after="0" w:line="240" w:lineRule="auto"/>
              <w:rPr>
                <w:rFonts w:ascii="Arial" w:hAnsi="Arial" w:cs="Arial"/>
              </w:rPr>
            </w:pPr>
            <w:r w:rsidRPr="00315335">
              <w:rPr>
                <w:rFonts w:ascii="Arial" w:hAnsi="Arial" w:cs="Arial"/>
                <w:b/>
              </w:rPr>
              <w:t>SO</w:t>
            </w:r>
            <w:r w:rsidRPr="00315335">
              <w:rPr>
                <w:rFonts w:ascii="Arial" w:hAnsi="Arial" w:cs="Arial"/>
                <w:b/>
                <w:vertAlign w:val="subscript"/>
              </w:rPr>
              <w:t>2</w:t>
            </w:r>
            <w:r w:rsidRPr="00315335">
              <w:rPr>
                <w:rFonts w:ascii="Arial" w:hAnsi="Arial" w:cs="Arial"/>
              </w:rPr>
              <w:t xml:space="preserve">  (</w:t>
            </w:r>
            <w:r w:rsidRPr="00315335">
              <w:rPr>
                <w:rFonts w:ascii="Arial" w:hAnsi="Arial" w:cs="Arial"/>
              </w:rPr>
              <w:sym w:font="Symbol" w:char="F06D"/>
            </w:r>
            <w:r w:rsidRPr="00315335">
              <w:rPr>
                <w:rFonts w:ascii="Arial" w:hAnsi="Arial" w:cs="Arial"/>
              </w:rPr>
              <w:t>g/mc)</w:t>
            </w:r>
          </w:p>
        </w:tc>
        <w:tc>
          <w:tcPr>
            <w:tcW w:w="992"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BR1</w:t>
            </w:r>
          </w:p>
        </w:tc>
        <w:tc>
          <w:tcPr>
            <w:tcW w:w="993"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BR2</w:t>
            </w:r>
          </w:p>
        </w:tc>
        <w:tc>
          <w:tcPr>
            <w:tcW w:w="1109"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BR3</w:t>
            </w:r>
          </w:p>
        </w:tc>
        <w:tc>
          <w:tcPr>
            <w:tcW w:w="1134"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BR4</w:t>
            </w:r>
          </w:p>
        </w:tc>
        <w:tc>
          <w:tcPr>
            <w:tcW w:w="1134" w:type="dxa"/>
            <w:shd w:val="clear" w:color="auto" w:fill="E6E6E6"/>
          </w:tcPr>
          <w:p w:rsidR="00F40E00" w:rsidRPr="00315335" w:rsidRDefault="00F40E00" w:rsidP="00916B06">
            <w:pPr>
              <w:spacing w:after="0" w:line="240" w:lineRule="auto"/>
              <w:jc w:val="center"/>
              <w:rPr>
                <w:rFonts w:ascii="Arial" w:hAnsi="Arial" w:cs="Arial"/>
                <w:b/>
              </w:rPr>
            </w:pPr>
            <w:r w:rsidRPr="00315335">
              <w:rPr>
                <w:rFonts w:ascii="Arial" w:hAnsi="Arial" w:cs="Arial"/>
                <w:b/>
              </w:rPr>
              <w:t>BR5</w:t>
            </w:r>
          </w:p>
        </w:tc>
      </w:tr>
      <w:tr w:rsidR="00315335" w:rsidRPr="00315335" w:rsidTr="00916B06">
        <w:trPr>
          <w:jc w:val="center"/>
        </w:trPr>
        <w:tc>
          <w:tcPr>
            <w:tcW w:w="2177" w:type="dxa"/>
          </w:tcPr>
          <w:p w:rsidR="00F40E00" w:rsidRPr="00315335" w:rsidRDefault="00F40E00" w:rsidP="00916B06">
            <w:pPr>
              <w:spacing w:after="0" w:line="240" w:lineRule="auto"/>
              <w:rPr>
                <w:rFonts w:ascii="Arial" w:hAnsi="Arial" w:cs="Arial"/>
              </w:rPr>
            </w:pPr>
            <w:r w:rsidRPr="00315335">
              <w:rPr>
                <w:rFonts w:ascii="Arial" w:hAnsi="Arial" w:cs="Arial"/>
              </w:rPr>
              <w:t>2014 Medii anuale</w:t>
            </w:r>
          </w:p>
        </w:tc>
        <w:tc>
          <w:tcPr>
            <w:tcW w:w="992"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93"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1109"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1134"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1134"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r>
      <w:tr w:rsidR="00315335" w:rsidRPr="00315335" w:rsidTr="00916B06">
        <w:trPr>
          <w:jc w:val="center"/>
        </w:trPr>
        <w:tc>
          <w:tcPr>
            <w:tcW w:w="2177" w:type="dxa"/>
          </w:tcPr>
          <w:p w:rsidR="00F40E00" w:rsidRPr="00315335" w:rsidRDefault="00F40E00" w:rsidP="00916B06">
            <w:pPr>
              <w:spacing w:after="0" w:line="240" w:lineRule="auto"/>
              <w:rPr>
                <w:rFonts w:ascii="Arial" w:hAnsi="Arial" w:cs="Arial"/>
              </w:rPr>
            </w:pPr>
            <w:r w:rsidRPr="00315335">
              <w:rPr>
                <w:rFonts w:ascii="Arial" w:hAnsi="Arial" w:cs="Arial"/>
              </w:rPr>
              <w:t>2015 Medii anuale</w:t>
            </w:r>
          </w:p>
        </w:tc>
        <w:tc>
          <w:tcPr>
            <w:tcW w:w="992"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93"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1109" w:type="dxa"/>
          </w:tcPr>
          <w:p w:rsidR="00F40E00" w:rsidRPr="00315335" w:rsidRDefault="00F40E00" w:rsidP="00916B06">
            <w:pPr>
              <w:spacing w:after="0" w:line="240" w:lineRule="auto"/>
              <w:jc w:val="center"/>
              <w:rPr>
                <w:rFonts w:ascii="Arial" w:hAnsi="Arial" w:cs="Arial"/>
              </w:rPr>
            </w:pPr>
            <w:r w:rsidRPr="00315335">
              <w:rPr>
                <w:rFonts w:ascii="Arial" w:hAnsi="Arial" w:cs="Arial"/>
              </w:rPr>
              <w:t>8,31</w:t>
            </w:r>
          </w:p>
        </w:tc>
        <w:tc>
          <w:tcPr>
            <w:tcW w:w="1134"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1134"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r>
      <w:tr w:rsidR="00315335" w:rsidRPr="00315335" w:rsidTr="00916B06">
        <w:trPr>
          <w:jc w:val="center"/>
        </w:trPr>
        <w:tc>
          <w:tcPr>
            <w:tcW w:w="2177" w:type="dxa"/>
          </w:tcPr>
          <w:p w:rsidR="00F40E00" w:rsidRPr="00315335" w:rsidRDefault="00F40E00" w:rsidP="00916B06">
            <w:pPr>
              <w:spacing w:after="0" w:line="240" w:lineRule="auto"/>
              <w:rPr>
                <w:rFonts w:ascii="Arial" w:hAnsi="Arial" w:cs="Arial"/>
              </w:rPr>
            </w:pPr>
            <w:r w:rsidRPr="00315335">
              <w:rPr>
                <w:rFonts w:ascii="Arial" w:hAnsi="Arial" w:cs="Arial"/>
              </w:rPr>
              <w:t>2016 Medii anuale</w:t>
            </w:r>
          </w:p>
        </w:tc>
        <w:tc>
          <w:tcPr>
            <w:tcW w:w="992"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5,09</w:t>
            </w:r>
          </w:p>
        </w:tc>
        <w:tc>
          <w:tcPr>
            <w:tcW w:w="993"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3,59</w:t>
            </w:r>
          </w:p>
        </w:tc>
        <w:tc>
          <w:tcPr>
            <w:tcW w:w="1109"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2,77</w:t>
            </w:r>
          </w:p>
        </w:tc>
        <w:tc>
          <w:tcPr>
            <w:tcW w:w="1134"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5,45</w:t>
            </w:r>
          </w:p>
        </w:tc>
        <w:tc>
          <w:tcPr>
            <w:tcW w:w="1134"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3,56</w:t>
            </w:r>
          </w:p>
        </w:tc>
      </w:tr>
      <w:tr w:rsidR="00315335" w:rsidRPr="00315335" w:rsidTr="00916B06">
        <w:trPr>
          <w:jc w:val="center"/>
        </w:trPr>
        <w:tc>
          <w:tcPr>
            <w:tcW w:w="2177" w:type="dxa"/>
          </w:tcPr>
          <w:p w:rsidR="00F40E00" w:rsidRPr="00315335" w:rsidRDefault="00F40E00" w:rsidP="00916B06">
            <w:pPr>
              <w:spacing w:after="0" w:line="240" w:lineRule="auto"/>
              <w:rPr>
                <w:rFonts w:ascii="Arial" w:hAnsi="Arial" w:cs="Arial"/>
              </w:rPr>
            </w:pPr>
            <w:r w:rsidRPr="00315335">
              <w:rPr>
                <w:rFonts w:ascii="Arial" w:hAnsi="Arial" w:cs="Arial"/>
              </w:rPr>
              <w:t>2017 Medii anuale</w:t>
            </w:r>
          </w:p>
        </w:tc>
        <w:tc>
          <w:tcPr>
            <w:tcW w:w="992"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5,08</w:t>
            </w:r>
          </w:p>
        </w:tc>
        <w:tc>
          <w:tcPr>
            <w:tcW w:w="993"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4,41</w:t>
            </w:r>
          </w:p>
        </w:tc>
        <w:tc>
          <w:tcPr>
            <w:tcW w:w="1109"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5,27</w:t>
            </w:r>
          </w:p>
        </w:tc>
        <w:tc>
          <w:tcPr>
            <w:tcW w:w="1134"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5,36</w:t>
            </w:r>
          </w:p>
        </w:tc>
        <w:tc>
          <w:tcPr>
            <w:tcW w:w="1134"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4,59</w:t>
            </w:r>
          </w:p>
        </w:tc>
      </w:tr>
      <w:tr w:rsidR="00F40E00" w:rsidRPr="00315335" w:rsidTr="00916B06">
        <w:trPr>
          <w:jc w:val="center"/>
        </w:trPr>
        <w:tc>
          <w:tcPr>
            <w:tcW w:w="2177" w:type="dxa"/>
          </w:tcPr>
          <w:p w:rsidR="00F40E00" w:rsidRPr="00315335" w:rsidRDefault="00F40E00" w:rsidP="00916B06">
            <w:pPr>
              <w:spacing w:after="0" w:line="240" w:lineRule="auto"/>
              <w:rPr>
                <w:rFonts w:ascii="Arial" w:hAnsi="Arial" w:cs="Arial"/>
              </w:rPr>
            </w:pPr>
            <w:r w:rsidRPr="00315335">
              <w:rPr>
                <w:rFonts w:ascii="Arial" w:hAnsi="Arial" w:cs="Arial"/>
              </w:rPr>
              <w:t>2018 Medii anuale</w:t>
            </w:r>
          </w:p>
        </w:tc>
        <w:tc>
          <w:tcPr>
            <w:tcW w:w="992"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5,84</w:t>
            </w:r>
          </w:p>
        </w:tc>
        <w:tc>
          <w:tcPr>
            <w:tcW w:w="993"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6,27</w:t>
            </w:r>
          </w:p>
        </w:tc>
        <w:tc>
          <w:tcPr>
            <w:tcW w:w="1109"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5,40</w:t>
            </w:r>
          </w:p>
        </w:tc>
        <w:tc>
          <w:tcPr>
            <w:tcW w:w="1134"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5,04</w:t>
            </w:r>
          </w:p>
        </w:tc>
        <w:tc>
          <w:tcPr>
            <w:tcW w:w="1134" w:type="dxa"/>
            <w:vAlign w:val="center"/>
          </w:tcPr>
          <w:p w:rsidR="00F40E00" w:rsidRPr="00315335" w:rsidRDefault="00F40E00" w:rsidP="00916B06">
            <w:pPr>
              <w:autoSpaceDE w:val="0"/>
              <w:autoSpaceDN w:val="0"/>
              <w:adjustRightInd w:val="0"/>
              <w:spacing w:after="0" w:line="240" w:lineRule="auto"/>
              <w:jc w:val="center"/>
              <w:rPr>
                <w:rFonts w:ascii="Arial" w:eastAsia="Times New Roman" w:hAnsi="Arial" w:cs="Arial"/>
                <w:bCs/>
              </w:rPr>
            </w:pPr>
            <w:r w:rsidRPr="00315335">
              <w:rPr>
                <w:rFonts w:ascii="Arial" w:eastAsia="Times New Roman" w:hAnsi="Arial" w:cs="Arial"/>
                <w:bCs/>
              </w:rPr>
              <w:t>3,74</w:t>
            </w:r>
          </w:p>
        </w:tc>
      </w:tr>
    </w:tbl>
    <w:p w:rsidR="00F40E00" w:rsidRPr="00315335" w:rsidRDefault="00F40E00" w:rsidP="00F40E00">
      <w:pPr>
        <w:tabs>
          <w:tab w:val="num" w:pos="0"/>
        </w:tabs>
        <w:spacing w:after="0"/>
        <w:rPr>
          <w:rFonts w:ascii="Arial" w:hAnsi="Arial" w:cs="Arial"/>
          <w:sz w:val="24"/>
          <w:szCs w:val="24"/>
          <w:highlight w:val="cyan"/>
        </w:rPr>
      </w:pPr>
    </w:p>
    <w:p w:rsidR="00F40E00" w:rsidRPr="00315335" w:rsidRDefault="00F40E00" w:rsidP="00F40E00">
      <w:pPr>
        <w:tabs>
          <w:tab w:val="num" w:pos="0"/>
        </w:tabs>
        <w:spacing w:after="0"/>
        <w:rPr>
          <w:rFonts w:ascii="Arial" w:hAnsi="Arial" w:cs="Arial"/>
          <w:sz w:val="24"/>
          <w:szCs w:val="24"/>
          <w:highlight w:val="cyan"/>
        </w:rPr>
      </w:pPr>
    </w:p>
    <w:p w:rsidR="00F40E00" w:rsidRPr="00315335" w:rsidRDefault="00F40E00" w:rsidP="00F40E00">
      <w:pPr>
        <w:tabs>
          <w:tab w:val="num" w:pos="0"/>
        </w:tabs>
        <w:spacing w:after="0" w:line="240" w:lineRule="auto"/>
        <w:jc w:val="both"/>
        <w:rPr>
          <w:rFonts w:ascii="Arial" w:hAnsi="Arial" w:cs="Arial"/>
          <w:b/>
          <w:sz w:val="24"/>
          <w:szCs w:val="24"/>
        </w:rPr>
      </w:pPr>
      <w:r w:rsidRPr="00315335">
        <w:rPr>
          <w:rFonts w:ascii="Arial" w:hAnsi="Arial" w:cs="Arial"/>
          <w:sz w:val="24"/>
          <w:szCs w:val="24"/>
        </w:rPr>
        <w:tab/>
      </w:r>
      <w:r w:rsidRPr="00315335">
        <w:rPr>
          <w:rFonts w:ascii="Arial" w:hAnsi="Arial" w:cs="Arial"/>
          <w:b/>
          <w:sz w:val="24"/>
          <w:szCs w:val="24"/>
        </w:rPr>
        <w:t>I.1.1.2.3.Pulberi în suspensie – PM10 şi PM2,5 (gravimetric şi nefelometric)</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Pentru determinarea pulberilor </w:t>
      </w:r>
      <w:r w:rsidRPr="00315335">
        <w:rPr>
          <w:rFonts w:ascii="Arial" w:hAnsi="Arial" w:cs="Arial"/>
          <w:iCs/>
          <w:sz w:val="24"/>
          <w:szCs w:val="24"/>
        </w:rPr>
        <w:t>PM</w:t>
      </w:r>
      <w:r w:rsidRPr="00315335">
        <w:rPr>
          <w:rFonts w:ascii="Arial" w:hAnsi="Arial" w:cs="Arial"/>
          <w:iCs/>
          <w:sz w:val="24"/>
          <w:szCs w:val="24"/>
          <w:vertAlign w:val="subscript"/>
        </w:rPr>
        <w:t>10</w:t>
      </w:r>
      <w:r w:rsidRPr="00315335">
        <w:rPr>
          <w:rFonts w:ascii="Arial" w:hAnsi="Arial" w:cs="Arial"/>
          <w:sz w:val="24"/>
          <w:szCs w:val="24"/>
        </w:rPr>
        <w:t>, care constituie fracţia dimensională de interes toxicologic din aerosuspensia urbană, se aplică două metode: metoda automată (nefelometrie) şi metoda gravimetrică, care de altfel este metoda de referinţă.</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Măsurările automate (prin metoda nefelometrica) au scop informativ, iar depăşirile înregistrate pot fi confirmate/infirmate ulterior de către rezultatul analizei prin metoda de referinţă gravimetrică.</w:t>
      </w:r>
    </w:p>
    <w:p w:rsidR="00F40E00" w:rsidRPr="00315335" w:rsidRDefault="00F40E00" w:rsidP="00F40E00">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În anul 2018, ca urmare a monitorizării calităţii aerului, în municipiul Brăila, au fost înregistrate un numar de 17 valori peste valoarea limită zilnică pentru indicatorul </w:t>
      </w:r>
      <w:r w:rsidRPr="00315335">
        <w:rPr>
          <w:rFonts w:ascii="Arial" w:hAnsi="Arial" w:cs="Arial"/>
          <w:i/>
          <w:iCs/>
          <w:sz w:val="24"/>
          <w:szCs w:val="24"/>
        </w:rPr>
        <w:t>PM</w:t>
      </w:r>
      <w:r w:rsidRPr="00315335">
        <w:rPr>
          <w:rFonts w:ascii="Arial" w:hAnsi="Arial" w:cs="Arial"/>
          <w:i/>
          <w:iCs/>
          <w:sz w:val="24"/>
          <w:szCs w:val="24"/>
          <w:vertAlign w:val="subscript"/>
        </w:rPr>
        <w:t>10</w:t>
      </w:r>
      <w:r w:rsidRPr="00315335">
        <w:rPr>
          <w:rFonts w:ascii="Arial" w:hAnsi="Arial" w:cs="Arial"/>
        </w:rPr>
        <w:t xml:space="preserve"> astfel:</w:t>
      </w:r>
    </w:p>
    <w:p w:rsidR="00F40E00" w:rsidRPr="00315335" w:rsidRDefault="00F40E00" w:rsidP="00F40E00">
      <w:pPr>
        <w:pStyle w:val="Default"/>
        <w:widowControl w:val="0"/>
        <w:rPr>
          <w:rFonts w:ascii="Arial" w:hAnsi="Arial" w:cs="Arial"/>
          <w:color w:val="auto"/>
        </w:rPr>
      </w:pPr>
    </w:p>
    <w:p w:rsidR="00F40E00" w:rsidRPr="00315335" w:rsidRDefault="00F40E00" w:rsidP="00F40E00">
      <w:pPr>
        <w:pStyle w:val="Default"/>
        <w:widowControl w:val="0"/>
        <w:rPr>
          <w:rFonts w:ascii="Arial" w:hAnsi="Arial" w:cs="Arial"/>
          <w:b/>
          <w:color w:val="auto"/>
        </w:rPr>
      </w:pPr>
      <w:r w:rsidRPr="00315335">
        <w:rPr>
          <w:rFonts w:ascii="Arial" w:hAnsi="Arial" w:cs="Arial"/>
          <w:b/>
          <w:color w:val="auto"/>
        </w:rPr>
        <w:t xml:space="preserve">                    Tabel I.1.1.2.3</w:t>
      </w:r>
    </w:p>
    <w:tbl>
      <w:tblPr>
        <w:tblStyle w:val="Tabelgril"/>
        <w:tblW w:w="0" w:type="auto"/>
        <w:jc w:val="center"/>
        <w:tblLook w:val="04A0" w:firstRow="1" w:lastRow="0" w:firstColumn="1" w:lastColumn="0" w:noHBand="0" w:noVBand="1"/>
      </w:tblPr>
      <w:tblGrid>
        <w:gridCol w:w="2075"/>
        <w:gridCol w:w="1709"/>
        <w:gridCol w:w="1529"/>
        <w:gridCol w:w="1576"/>
      </w:tblGrid>
      <w:tr w:rsidR="00315335" w:rsidRPr="00315335" w:rsidTr="00916B06">
        <w:trPr>
          <w:trHeight w:val="280"/>
          <w:jc w:val="center"/>
        </w:trPr>
        <w:tc>
          <w:tcPr>
            <w:tcW w:w="2075" w:type="dxa"/>
            <w:vMerge w:val="restart"/>
            <w:vAlign w:val="center"/>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Statia</w:t>
            </w:r>
          </w:p>
        </w:tc>
        <w:tc>
          <w:tcPr>
            <w:tcW w:w="3238" w:type="dxa"/>
            <w:gridSpan w:val="2"/>
            <w:vAlign w:val="center"/>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 xml:space="preserve">Numar depășiri </w:t>
            </w:r>
          </w:p>
        </w:tc>
        <w:tc>
          <w:tcPr>
            <w:tcW w:w="1576" w:type="dxa"/>
            <w:vMerge w:val="restart"/>
            <w:vAlign w:val="center"/>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Total</w:t>
            </w:r>
          </w:p>
        </w:tc>
      </w:tr>
      <w:tr w:rsidR="00315335" w:rsidRPr="00315335" w:rsidTr="00916B06">
        <w:trPr>
          <w:trHeight w:val="149"/>
          <w:jc w:val="center"/>
        </w:trPr>
        <w:tc>
          <w:tcPr>
            <w:tcW w:w="2075" w:type="dxa"/>
            <w:vMerge/>
          </w:tcPr>
          <w:p w:rsidR="00F40E00" w:rsidRPr="00315335" w:rsidRDefault="00F40E00" w:rsidP="00916B06">
            <w:pPr>
              <w:pStyle w:val="Default"/>
              <w:widowControl w:val="0"/>
              <w:jc w:val="center"/>
              <w:rPr>
                <w:rFonts w:ascii="Arial" w:hAnsi="Arial" w:cs="Arial"/>
                <w:color w:val="auto"/>
              </w:rPr>
            </w:pPr>
          </w:p>
        </w:tc>
        <w:tc>
          <w:tcPr>
            <w:tcW w:w="1709" w:type="dxa"/>
            <w:vAlign w:val="center"/>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PM</w:t>
            </w:r>
            <w:r w:rsidRPr="00315335">
              <w:rPr>
                <w:rFonts w:ascii="Arial" w:hAnsi="Arial" w:cs="Arial"/>
                <w:color w:val="auto"/>
                <w:vertAlign w:val="subscript"/>
              </w:rPr>
              <w:t>10</w:t>
            </w:r>
            <w:r w:rsidRPr="00315335">
              <w:rPr>
                <w:rFonts w:ascii="Arial" w:hAnsi="Arial" w:cs="Arial"/>
                <w:color w:val="auto"/>
              </w:rPr>
              <w:t xml:space="preserve"> grv</w:t>
            </w:r>
          </w:p>
        </w:tc>
        <w:tc>
          <w:tcPr>
            <w:tcW w:w="1529" w:type="dxa"/>
            <w:vAlign w:val="center"/>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PM</w:t>
            </w:r>
            <w:r w:rsidRPr="00315335">
              <w:rPr>
                <w:rFonts w:ascii="Arial" w:hAnsi="Arial" w:cs="Arial"/>
                <w:color w:val="auto"/>
                <w:vertAlign w:val="subscript"/>
              </w:rPr>
              <w:t>10</w:t>
            </w:r>
            <w:r w:rsidRPr="00315335">
              <w:rPr>
                <w:rFonts w:ascii="Arial" w:hAnsi="Arial" w:cs="Arial"/>
                <w:color w:val="auto"/>
              </w:rPr>
              <w:t xml:space="preserve"> nef</w:t>
            </w:r>
          </w:p>
        </w:tc>
        <w:tc>
          <w:tcPr>
            <w:tcW w:w="1576" w:type="dxa"/>
            <w:vMerge/>
          </w:tcPr>
          <w:p w:rsidR="00F40E00" w:rsidRPr="00315335" w:rsidRDefault="00F40E00" w:rsidP="00916B06">
            <w:pPr>
              <w:pStyle w:val="Default"/>
              <w:widowControl w:val="0"/>
              <w:jc w:val="center"/>
              <w:rPr>
                <w:rFonts w:ascii="Arial" w:hAnsi="Arial" w:cs="Arial"/>
                <w:color w:val="auto"/>
              </w:rPr>
            </w:pPr>
          </w:p>
        </w:tc>
      </w:tr>
      <w:tr w:rsidR="00315335" w:rsidRPr="00315335" w:rsidTr="00916B06">
        <w:trPr>
          <w:trHeight w:val="280"/>
          <w:jc w:val="center"/>
        </w:trPr>
        <w:tc>
          <w:tcPr>
            <w:tcW w:w="2075"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Statia BR1</w:t>
            </w:r>
          </w:p>
        </w:tc>
        <w:tc>
          <w:tcPr>
            <w:tcW w:w="170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w:t>
            </w:r>
          </w:p>
        </w:tc>
        <w:tc>
          <w:tcPr>
            <w:tcW w:w="152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w:t>
            </w:r>
          </w:p>
        </w:tc>
        <w:tc>
          <w:tcPr>
            <w:tcW w:w="1576"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w:t>
            </w:r>
          </w:p>
        </w:tc>
      </w:tr>
      <w:tr w:rsidR="00315335" w:rsidRPr="00315335" w:rsidTr="00916B06">
        <w:trPr>
          <w:trHeight w:val="280"/>
          <w:jc w:val="center"/>
        </w:trPr>
        <w:tc>
          <w:tcPr>
            <w:tcW w:w="2075" w:type="dxa"/>
          </w:tcPr>
          <w:p w:rsidR="00F40E00" w:rsidRPr="00315335" w:rsidRDefault="00F40E00" w:rsidP="00916B06">
            <w:pPr>
              <w:jc w:val="center"/>
              <w:rPr>
                <w:sz w:val="24"/>
                <w:szCs w:val="24"/>
              </w:rPr>
            </w:pPr>
            <w:r w:rsidRPr="00315335">
              <w:rPr>
                <w:rFonts w:ascii="Arial" w:hAnsi="Arial" w:cs="Arial"/>
                <w:sz w:val="24"/>
                <w:szCs w:val="24"/>
              </w:rPr>
              <w:t>Statia BR2</w:t>
            </w:r>
          </w:p>
        </w:tc>
        <w:tc>
          <w:tcPr>
            <w:tcW w:w="170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w:t>
            </w:r>
          </w:p>
        </w:tc>
        <w:tc>
          <w:tcPr>
            <w:tcW w:w="152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3</w:t>
            </w:r>
          </w:p>
        </w:tc>
        <w:tc>
          <w:tcPr>
            <w:tcW w:w="1576"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3</w:t>
            </w:r>
          </w:p>
        </w:tc>
      </w:tr>
      <w:tr w:rsidR="00315335" w:rsidRPr="00315335" w:rsidTr="00916B06">
        <w:trPr>
          <w:trHeight w:val="280"/>
          <w:jc w:val="center"/>
        </w:trPr>
        <w:tc>
          <w:tcPr>
            <w:tcW w:w="2075" w:type="dxa"/>
          </w:tcPr>
          <w:p w:rsidR="00F40E00" w:rsidRPr="00315335" w:rsidRDefault="00F40E00" w:rsidP="00916B06">
            <w:pPr>
              <w:jc w:val="center"/>
              <w:rPr>
                <w:sz w:val="24"/>
                <w:szCs w:val="24"/>
              </w:rPr>
            </w:pPr>
            <w:r w:rsidRPr="00315335">
              <w:rPr>
                <w:rFonts w:ascii="Arial" w:hAnsi="Arial" w:cs="Arial"/>
                <w:sz w:val="24"/>
                <w:szCs w:val="24"/>
              </w:rPr>
              <w:t>Statia BR3</w:t>
            </w:r>
          </w:p>
        </w:tc>
        <w:tc>
          <w:tcPr>
            <w:tcW w:w="170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w:t>
            </w:r>
          </w:p>
        </w:tc>
        <w:tc>
          <w:tcPr>
            <w:tcW w:w="152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6</w:t>
            </w:r>
          </w:p>
        </w:tc>
        <w:tc>
          <w:tcPr>
            <w:tcW w:w="1576"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6</w:t>
            </w:r>
          </w:p>
        </w:tc>
      </w:tr>
      <w:tr w:rsidR="00315335" w:rsidRPr="00315335" w:rsidTr="00916B06">
        <w:trPr>
          <w:trHeight w:val="280"/>
          <w:jc w:val="center"/>
        </w:trPr>
        <w:tc>
          <w:tcPr>
            <w:tcW w:w="2075" w:type="dxa"/>
          </w:tcPr>
          <w:p w:rsidR="00F40E00" w:rsidRPr="00315335" w:rsidRDefault="00F40E00" w:rsidP="00916B06">
            <w:pPr>
              <w:jc w:val="center"/>
              <w:rPr>
                <w:sz w:val="24"/>
                <w:szCs w:val="24"/>
              </w:rPr>
            </w:pPr>
            <w:r w:rsidRPr="00315335">
              <w:rPr>
                <w:rFonts w:ascii="Arial" w:hAnsi="Arial" w:cs="Arial"/>
                <w:sz w:val="24"/>
                <w:szCs w:val="24"/>
              </w:rPr>
              <w:t>Statia BR4</w:t>
            </w:r>
          </w:p>
        </w:tc>
        <w:tc>
          <w:tcPr>
            <w:tcW w:w="170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w:t>
            </w:r>
          </w:p>
        </w:tc>
        <w:tc>
          <w:tcPr>
            <w:tcW w:w="152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2</w:t>
            </w:r>
          </w:p>
        </w:tc>
        <w:tc>
          <w:tcPr>
            <w:tcW w:w="1576"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2</w:t>
            </w:r>
          </w:p>
        </w:tc>
      </w:tr>
      <w:tr w:rsidR="00315335" w:rsidRPr="00315335" w:rsidTr="00916B06">
        <w:trPr>
          <w:trHeight w:val="280"/>
          <w:jc w:val="center"/>
        </w:trPr>
        <w:tc>
          <w:tcPr>
            <w:tcW w:w="2075" w:type="dxa"/>
          </w:tcPr>
          <w:p w:rsidR="00F40E00" w:rsidRPr="00315335" w:rsidRDefault="00F40E00" w:rsidP="00916B06">
            <w:pPr>
              <w:jc w:val="center"/>
              <w:rPr>
                <w:sz w:val="24"/>
                <w:szCs w:val="24"/>
              </w:rPr>
            </w:pPr>
            <w:r w:rsidRPr="00315335">
              <w:rPr>
                <w:rFonts w:ascii="Arial" w:hAnsi="Arial" w:cs="Arial"/>
                <w:sz w:val="24"/>
                <w:szCs w:val="24"/>
              </w:rPr>
              <w:t>Statia BR5</w:t>
            </w:r>
          </w:p>
        </w:tc>
        <w:tc>
          <w:tcPr>
            <w:tcW w:w="170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w:t>
            </w:r>
          </w:p>
        </w:tc>
        <w:tc>
          <w:tcPr>
            <w:tcW w:w="152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6</w:t>
            </w:r>
          </w:p>
        </w:tc>
        <w:tc>
          <w:tcPr>
            <w:tcW w:w="1576"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6</w:t>
            </w:r>
          </w:p>
        </w:tc>
      </w:tr>
      <w:tr w:rsidR="00F40E00" w:rsidRPr="00315335" w:rsidTr="00916B06">
        <w:trPr>
          <w:trHeight w:val="280"/>
          <w:jc w:val="center"/>
        </w:trPr>
        <w:tc>
          <w:tcPr>
            <w:tcW w:w="5313" w:type="dxa"/>
            <w:gridSpan w:val="3"/>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 xml:space="preserve">Total </w:t>
            </w:r>
          </w:p>
        </w:tc>
        <w:tc>
          <w:tcPr>
            <w:tcW w:w="1576"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17</w:t>
            </w:r>
          </w:p>
        </w:tc>
      </w:tr>
    </w:tbl>
    <w:p w:rsidR="00F40E00" w:rsidRPr="00315335" w:rsidRDefault="00F40E00" w:rsidP="00F40E00">
      <w:pPr>
        <w:tabs>
          <w:tab w:val="left" w:pos="709"/>
        </w:tabs>
        <w:ind w:left="720" w:right="31"/>
        <w:rPr>
          <w:rFonts w:ascii="Arial" w:hAnsi="Arial" w:cs="Arial"/>
          <w:sz w:val="24"/>
          <w:szCs w:val="24"/>
        </w:rPr>
      </w:pPr>
    </w:p>
    <w:p w:rsidR="00F40E00" w:rsidRPr="00315335" w:rsidRDefault="00F40E00" w:rsidP="00F40E00">
      <w:pPr>
        <w:tabs>
          <w:tab w:val="num" w:pos="0"/>
        </w:tabs>
        <w:jc w:val="center"/>
        <w:rPr>
          <w:rFonts w:ascii="Arial" w:hAnsi="Arial" w:cs="Arial"/>
          <w:b/>
          <w:sz w:val="24"/>
          <w:szCs w:val="24"/>
        </w:rPr>
      </w:pPr>
      <w:r w:rsidRPr="00315335">
        <w:rPr>
          <w:rFonts w:ascii="Arial" w:hAnsi="Arial" w:cs="Arial"/>
          <w:noProof/>
          <w:sz w:val="24"/>
          <w:szCs w:val="24"/>
        </w:rPr>
        <w:drawing>
          <wp:inline distT="0" distB="0" distL="0" distR="0" wp14:anchorId="7F60E469" wp14:editId="43279A3D">
            <wp:extent cx="6057900" cy="2638995"/>
            <wp:effectExtent l="0" t="0" r="0" b="0"/>
            <wp:docPr id="15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15335">
        <w:rPr>
          <w:rFonts w:ascii="Arial" w:hAnsi="Arial" w:cs="Arial"/>
          <w:b/>
          <w:sz w:val="24"/>
          <w:szCs w:val="24"/>
        </w:rPr>
        <w:t xml:space="preserve">                    Fig. I.1.1.2.3.</w:t>
      </w:r>
      <w:r w:rsidRPr="00315335">
        <w:rPr>
          <w:rFonts w:ascii="Arial" w:hAnsi="Arial" w:cs="Arial"/>
          <w:sz w:val="24"/>
          <w:szCs w:val="24"/>
        </w:rPr>
        <w:t xml:space="preserve"> Concentraţia medie anuală PM10 şi PM2,5 în perioada 2014 - 2018</w:t>
      </w:r>
    </w:p>
    <w:p w:rsidR="00F40E00" w:rsidRPr="00315335" w:rsidRDefault="00F40E00" w:rsidP="00F40E00">
      <w:pPr>
        <w:tabs>
          <w:tab w:val="num" w:pos="0"/>
        </w:tabs>
        <w:spacing w:after="0" w:line="240" w:lineRule="auto"/>
        <w:rPr>
          <w:rFonts w:ascii="Arial" w:hAnsi="Arial" w:cs="Arial"/>
          <w:b/>
          <w:sz w:val="24"/>
          <w:szCs w:val="24"/>
        </w:rPr>
      </w:pPr>
      <w:r w:rsidRPr="00315335">
        <w:rPr>
          <w:rFonts w:ascii="Arial" w:hAnsi="Arial" w:cs="Arial"/>
          <w:b/>
          <w:sz w:val="24"/>
          <w:szCs w:val="24"/>
        </w:rPr>
        <w:t xml:space="preserve">             Tabel I.1.1.2.3.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951"/>
        <w:gridCol w:w="951"/>
        <w:gridCol w:w="951"/>
        <w:gridCol w:w="951"/>
        <w:gridCol w:w="951"/>
      </w:tblGrid>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b/>
              </w:rPr>
              <w:t>PM10 nefelometric</w:t>
            </w:r>
            <w:r w:rsidRPr="00315335">
              <w:rPr>
                <w:rFonts w:ascii="Arial" w:hAnsi="Arial" w:cs="Arial"/>
              </w:rPr>
              <w:t xml:space="preserve"> (</w:t>
            </w:r>
            <w:r w:rsidRPr="00315335">
              <w:rPr>
                <w:rFonts w:ascii="Arial" w:hAnsi="Arial" w:cs="Arial"/>
              </w:rPr>
              <w:sym w:font="Symbol" w:char="F06D"/>
            </w:r>
            <w:r w:rsidRPr="00315335">
              <w:rPr>
                <w:rFonts w:ascii="Arial" w:hAnsi="Arial" w:cs="Arial"/>
              </w:rPr>
              <w:t>g/mc)</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BR1</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BR2</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BR3</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BR4</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BR5</w:t>
            </w: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2014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bottom w:val="single" w:sz="4" w:space="0" w:color="auto"/>
            </w:tcBorders>
          </w:tcPr>
          <w:p w:rsidR="00F40E00" w:rsidRPr="00315335" w:rsidRDefault="00F40E00" w:rsidP="00916B06">
            <w:pPr>
              <w:spacing w:after="0" w:line="240" w:lineRule="auto"/>
              <w:jc w:val="center"/>
              <w:rPr>
                <w:rFonts w:ascii="Arial" w:hAnsi="Arial" w:cs="Arial"/>
              </w:rPr>
            </w:pPr>
            <w:r w:rsidRPr="00315335">
              <w:rPr>
                <w:rFonts w:ascii="Arial" w:hAnsi="Arial" w:cs="Arial"/>
              </w:rPr>
              <w:t>46,03</w:t>
            </w: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2015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36,68</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30,73</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bottom w:val="single" w:sz="4" w:space="0" w:color="auto"/>
            </w:tcBorders>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2016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24,61</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21,91</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30,85</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22,46</w:t>
            </w:r>
          </w:p>
        </w:tc>
        <w:tc>
          <w:tcPr>
            <w:tcW w:w="951" w:type="dxa"/>
            <w:tcBorders>
              <w:bottom w:val="single" w:sz="4" w:space="0" w:color="auto"/>
            </w:tcBorders>
          </w:tcPr>
          <w:p w:rsidR="00F40E00" w:rsidRPr="00315335" w:rsidRDefault="00F40E00" w:rsidP="00916B06">
            <w:pPr>
              <w:spacing w:after="0" w:line="240" w:lineRule="auto"/>
              <w:jc w:val="center"/>
              <w:rPr>
                <w:rFonts w:ascii="Arial" w:hAnsi="Arial" w:cs="Arial"/>
              </w:rPr>
            </w:pPr>
            <w:r w:rsidRPr="00315335">
              <w:rPr>
                <w:rFonts w:ascii="Arial" w:hAnsi="Arial" w:cs="Arial"/>
              </w:rPr>
              <w:t>33,4</w:t>
            </w: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2017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21,79</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19,11</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22,09</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18,86</w:t>
            </w:r>
          </w:p>
        </w:tc>
        <w:tc>
          <w:tcPr>
            <w:tcW w:w="951" w:type="dxa"/>
            <w:tcBorders>
              <w:bottom w:val="single" w:sz="4" w:space="0" w:color="auto"/>
            </w:tcBorders>
          </w:tcPr>
          <w:p w:rsidR="00F40E00" w:rsidRPr="00315335" w:rsidRDefault="00F40E00" w:rsidP="00916B06">
            <w:pPr>
              <w:spacing w:after="0" w:line="240" w:lineRule="auto"/>
              <w:jc w:val="center"/>
              <w:rPr>
                <w:rFonts w:ascii="Arial" w:hAnsi="Arial" w:cs="Arial"/>
              </w:rPr>
            </w:pPr>
            <w:r w:rsidRPr="00315335">
              <w:rPr>
                <w:rFonts w:ascii="Arial" w:hAnsi="Arial" w:cs="Arial"/>
              </w:rPr>
              <w:t>22,54</w:t>
            </w: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2018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13,47</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16,14</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18,82</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15,83</w:t>
            </w:r>
          </w:p>
        </w:tc>
        <w:tc>
          <w:tcPr>
            <w:tcW w:w="951" w:type="dxa"/>
            <w:tcBorders>
              <w:bottom w:val="single" w:sz="4" w:space="0" w:color="auto"/>
            </w:tcBorders>
          </w:tcPr>
          <w:p w:rsidR="00F40E00" w:rsidRPr="00315335" w:rsidRDefault="00F40E00" w:rsidP="00916B06">
            <w:pPr>
              <w:spacing w:after="0" w:line="240" w:lineRule="auto"/>
              <w:jc w:val="center"/>
              <w:rPr>
                <w:rFonts w:ascii="Arial" w:hAnsi="Arial" w:cs="Arial"/>
              </w:rPr>
            </w:pPr>
            <w:r w:rsidRPr="00315335">
              <w:rPr>
                <w:rFonts w:ascii="Arial" w:hAnsi="Arial" w:cs="Arial"/>
              </w:rPr>
              <w:t>17,02</w:t>
            </w: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b/>
              </w:rPr>
              <w:t>PM10 gravimetric</w:t>
            </w:r>
            <w:r w:rsidRPr="00315335">
              <w:rPr>
                <w:rFonts w:ascii="Arial" w:hAnsi="Arial" w:cs="Arial"/>
              </w:rPr>
              <w:t xml:space="preserve"> (</w:t>
            </w:r>
            <w:r w:rsidRPr="00315335">
              <w:rPr>
                <w:rFonts w:ascii="Arial" w:hAnsi="Arial" w:cs="Arial"/>
              </w:rPr>
              <w:sym w:font="Symbol" w:char="F06D"/>
            </w:r>
            <w:r w:rsidRPr="00315335">
              <w:rPr>
                <w:rFonts w:ascii="Arial" w:hAnsi="Arial" w:cs="Arial"/>
              </w:rPr>
              <w:t>g/mc)</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BR1</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BR3</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BR4</w:t>
            </w:r>
          </w:p>
        </w:tc>
        <w:tc>
          <w:tcPr>
            <w:tcW w:w="951" w:type="dxa"/>
            <w:tcBorders>
              <w:bottom w:val="nil"/>
              <w:right w:val="nil"/>
            </w:tcBorders>
          </w:tcPr>
          <w:p w:rsidR="00F40E00" w:rsidRPr="00315335" w:rsidRDefault="00F40E00" w:rsidP="00916B06">
            <w:pPr>
              <w:spacing w:after="0" w:line="240" w:lineRule="auto"/>
              <w:jc w:val="center"/>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2014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2015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2016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2017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22,98</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17,12</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24,58</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19,18</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2018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22,72</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17,52</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20,18</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20,35</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b/>
              </w:rPr>
              <w:t>PM2,5 gravimetric</w:t>
            </w:r>
            <w:r w:rsidRPr="00315335">
              <w:rPr>
                <w:rFonts w:ascii="Arial" w:hAnsi="Arial" w:cs="Arial"/>
              </w:rPr>
              <w:t xml:space="preserve"> (</w:t>
            </w:r>
            <w:r w:rsidRPr="00315335">
              <w:rPr>
                <w:rFonts w:ascii="Arial" w:hAnsi="Arial" w:cs="Arial"/>
              </w:rPr>
              <w:sym w:font="Symbol" w:char="F06D"/>
            </w:r>
            <w:r w:rsidRPr="00315335">
              <w:rPr>
                <w:rFonts w:ascii="Arial" w:hAnsi="Arial" w:cs="Arial"/>
              </w:rPr>
              <w:t>g/mc)</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BR2</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w:t>
            </w:r>
          </w:p>
        </w:tc>
        <w:tc>
          <w:tcPr>
            <w:tcW w:w="951" w:type="dxa"/>
            <w:tcBorders>
              <w:top w:val="nil"/>
              <w:bottom w:val="nil"/>
              <w:right w:val="nil"/>
            </w:tcBorders>
          </w:tcPr>
          <w:p w:rsidR="00F40E00" w:rsidRPr="00315335" w:rsidRDefault="00F40E00" w:rsidP="00916B06">
            <w:pPr>
              <w:spacing w:after="0" w:line="240" w:lineRule="auto"/>
              <w:jc w:val="center"/>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2014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2015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2016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lastRenderedPageBreak/>
              <w:t>2017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13,56</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r w:rsidR="00315335" w:rsidRPr="00315335" w:rsidTr="00916B06">
        <w:trPr>
          <w:jc w:val="center"/>
        </w:trPr>
        <w:tc>
          <w:tcPr>
            <w:tcW w:w="3381"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2018 Medii anuale</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strike/>
              </w:rPr>
            </w:pPr>
            <w:r w:rsidRPr="00315335">
              <w:rPr>
                <w:rFonts w:ascii="Arial" w:hAnsi="Arial" w:cs="Arial"/>
                <w:strike/>
              </w:rPr>
              <w:t>12,51</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951" w:type="dxa"/>
            <w:tcBorders>
              <w:top w:val="nil"/>
              <w:bottom w:val="nil"/>
              <w:right w:val="nil"/>
            </w:tcBorders>
          </w:tcPr>
          <w:p w:rsidR="00F40E00" w:rsidRPr="00315335" w:rsidRDefault="00F40E00" w:rsidP="00916B06">
            <w:pPr>
              <w:spacing w:after="0" w:line="240" w:lineRule="auto"/>
              <w:rPr>
                <w:rFonts w:ascii="Arial" w:hAnsi="Arial" w:cs="Arial"/>
              </w:rPr>
            </w:pPr>
          </w:p>
        </w:tc>
      </w:tr>
    </w:tbl>
    <w:p w:rsidR="00F40E00" w:rsidRPr="00315335" w:rsidRDefault="00F40E00" w:rsidP="00F40E00">
      <w:pPr>
        <w:tabs>
          <w:tab w:val="num" w:pos="0"/>
        </w:tabs>
        <w:spacing w:after="0"/>
        <w:jc w:val="both"/>
        <w:rPr>
          <w:rFonts w:ascii="Arial" w:hAnsi="Arial" w:cs="Arial"/>
          <w:sz w:val="24"/>
          <w:szCs w:val="24"/>
        </w:rPr>
      </w:pPr>
      <w:r w:rsidRPr="00315335">
        <w:rPr>
          <w:rFonts w:ascii="Arial" w:hAnsi="Arial" w:cs="Arial"/>
          <w:b/>
          <w:sz w:val="24"/>
          <w:szCs w:val="24"/>
          <w:lang w:val="pl-PL"/>
        </w:rPr>
        <w:tab/>
        <w:t>*</w:t>
      </w:r>
      <w:r w:rsidRPr="00315335">
        <w:rPr>
          <w:rFonts w:ascii="Arial" w:hAnsi="Arial" w:cs="Arial"/>
          <w:sz w:val="24"/>
          <w:szCs w:val="24"/>
          <w:lang w:val="pl-PL"/>
        </w:rPr>
        <w:t>Notă – Valorile medii anuale în 2018 pentru PM10 grv. la staţiile BR1; BR2; BR3, precum şi valoarea medie anuală pentru PM2,5 grv. la staţia BR2 sunt orientative deoarece nu au fost îndeplinite cerinţele privind captura de date minimă.</w:t>
      </w:r>
    </w:p>
    <w:p w:rsidR="00F40E00" w:rsidRPr="00315335" w:rsidRDefault="00F40E00" w:rsidP="00F40E00">
      <w:pPr>
        <w:tabs>
          <w:tab w:val="left" w:pos="709"/>
        </w:tabs>
        <w:ind w:left="720" w:right="31"/>
        <w:rPr>
          <w:rFonts w:ascii="Arial" w:hAnsi="Arial" w:cs="Arial"/>
          <w:b/>
          <w:sz w:val="24"/>
          <w:szCs w:val="24"/>
        </w:rPr>
      </w:pPr>
    </w:p>
    <w:p w:rsidR="00F40E00" w:rsidRPr="00315335" w:rsidRDefault="00F40E00" w:rsidP="00F40E00">
      <w:pPr>
        <w:tabs>
          <w:tab w:val="left" w:pos="709"/>
        </w:tabs>
        <w:ind w:left="720" w:right="31"/>
        <w:rPr>
          <w:rFonts w:ascii="Arial" w:hAnsi="Arial" w:cs="Arial"/>
          <w:b/>
          <w:sz w:val="24"/>
          <w:szCs w:val="24"/>
        </w:rPr>
      </w:pPr>
      <w:r w:rsidRPr="00315335">
        <w:rPr>
          <w:rFonts w:ascii="Arial" w:hAnsi="Arial" w:cs="Arial"/>
          <w:b/>
          <w:sz w:val="24"/>
          <w:szCs w:val="24"/>
        </w:rPr>
        <w:tab/>
        <w:t>I.1.1.2.4.</w:t>
      </w:r>
      <w:r w:rsidRPr="00315335">
        <w:rPr>
          <w:rFonts w:ascii="Arial" w:hAnsi="Arial" w:cs="Arial"/>
          <w:b/>
          <w:sz w:val="24"/>
          <w:szCs w:val="24"/>
        </w:rPr>
        <w:tab/>
        <w:t>Metale grele – plumb</w:t>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r w:rsidRPr="00315335">
        <w:rPr>
          <w:rFonts w:ascii="Arial" w:hAnsi="Arial" w:cs="Arial"/>
          <w:sz w:val="24"/>
          <w:szCs w:val="24"/>
        </w:rPr>
        <w:tab/>
      </w:r>
    </w:p>
    <w:p w:rsidR="00F40E00" w:rsidRPr="00315335" w:rsidRDefault="00F40E00" w:rsidP="00F40E00">
      <w:pPr>
        <w:tabs>
          <w:tab w:val="num" w:pos="0"/>
        </w:tabs>
        <w:jc w:val="center"/>
        <w:rPr>
          <w:rFonts w:ascii="Arial" w:hAnsi="Arial" w:cs="Arial"/>
          <w:sz w:val="24"/>
          <w:szCs w:val="24"/>
        </w:rPr>
      </w:pPr>
      <w:r w:rsidRPr="00315335">
        <w:rPr>
          <w:rFonts w:ascii="Arial" w:hAnsi="Arial" w:cs="Arial"/>
          <w:noProof/>
          <w:sz w:val="24"/>
          <w:szCs w:val="24"/>
        </w:rPr>
        <w:drawing>
          <wp:inline distT="0" distB="0" distL="0" distR="0" wp14:anchorId="6154E702" wp14:editId="112F1132">
            <wp:extent cx="4895850" cy="1981030"/>
            <wp:effectExtent l="0" t="0" r="0" b="0"/>
            <wp:docPr id="15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0E00" w:rsidRPr="00315335" w:rsidRDefault="00F40E00" w:rsidP="00F40E00">
      <w:pPr>
        <w:tabs>
          <w:tab w:val="num" w:pos="0"/>
        </w:tabs>
        <w:jc w:val="center"/>
        <w:rPr>
          <w:rFonts w:ascii="Arial" w:hAnsi="Arial" w:cs="Arial"/>
          <w:sz w:val="24"/>
          <w:szCs w:val="24"/>
        </w:rPr>
      </w:pPr>
      <w:r w:rsidRPr="00315335">
        <w:rPr>
          <w:rFonts w:ascii="Arial" w:hAnsi="Arial" w:cs="Arial"/>
          <w:b/>
          <w:sz w:val="24"/>
          <w:szCs w:val="24"/>
        </w:rPr>
        <w:t>Fig.I.1.1.2.4</w:t>
      </w:r>
      <w:r w:rsidRPr="00315335">
        <w:rPr>
          <w:rFonts w:ascii="Arial" w:hAnsi="Arial" w:cs="Arial"/>
          <w:sz w:val="24"/>
          <w:szCs w:val="24"/>
        </w:rPr>
        <w:t>.Concentraţia medie anuală a plumbului în perioada 2008 - 2010</w:t>
      </w:r>
    </w:p>
    <w:p w:rsidR="00F40E00" w:rsidRPr="00315335" w:rsidRDefault="00F40E00" w:rsidP="00F40E00">
      <w:pPr>
        <w:tabs>
          <w:tab w:val="num" w:pos="0"/>
        </w:tabs>
        <w:spacing w:after="0" w:line="240" w:lineRule="auto"/>
        <w:rPr>
          <w:rFonts w:ascii="Arial" w:hAnsi="Arial" w:cs="Arial"/>
          <w:b/>
          <w:sz w:val="24"/>
          <w:szCs w:val="24"/>
        </w:rPr>
      </w:pPr>
      <w:r w:rsidRPr="00315335">
        <w:rPr>
          <w:rFonts w:ascii="Arial" w:hAnsi="Arial" w:cs="Arial"/>
          <w:sz w:val="24"/>
          <w:szCs w:val="24"/>
        </w:rPr>
        <w:t xml:space="preserve">                 </w:t>
      </w:r>
      <w:r w:rsidRPr="00315335">
        <w:rPr>
          <w:rFonts w:ascii="Arial" w:hAnsi="Arial" w:cs="Arial"/>
          <w:b/>
          <w:sz w:val="24"/>
          <w:szCs w:val="24"/>
        </w:rPr>
        <w:t>Tabel I.1.1.2.4.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042"/>
        <w:gridCol w:w="1265"/>
        <w:gridCol w:w="1089"/>
      </w:tblGrid>
      <w:tr w:rsidR="00315335" w:rsidRPr="00315335" w:rsidTr="00916B06">
        <w:trPr>
          <w:jc w:val="center"/>
        </w:trPr>
        <w:tc>
          <w:tcPr>
            <w:tcW w:w="2574"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b/>
                <w:sz w:val="24"/>
                <w:szCs w:val="24"/>
              </w:rPr>
              <w:t>Pb</w:t>
            </w:r>
            <w:r w:rsidRPr="00315335">
              <w:rPr>
                <w:rFonts w:ascii="Arial" w:hAnsi="Arial" w:cs="Arial"/>
                <w:sz w:val="24"/>
                <w:szCs w:val="24"/>
              </w:rPr>
              <w:t xml:space="preserve">   (</w:t>
            </w:r>
            <w:r w:rsidRPr="00315335">
              <w:rPr>
                <w:rFonts w:ascii="Arial" w:hAnsi="Arial" w:cs="Arial"/>
                <w:sz w:val="24"/>
                <w:szCs w:val="24"/>
              </w:rPr>
              <w:sym w:font="Symbol" w:char="F06D"/>
            </w:r>
            <w:r w:rsidRPr="00315335">
              <w:rPr>
                <w:rFonts w:ascii="Arial" w:hAnsi="Arial" w:cs="Arial"/>
                <w:sz w:val="24"/>
                <w:szCs w:val="24"/>
              </w:rPr>
              <w:t>g/mc)</w:t>
            </w:r>
          </w:p>
        </w:tc>
        <w:tc>
          <w:tcPr>
            <w:tcW w:w="1042"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BR1</w:t>
            </w:r>
          </w:p>
        </w:tc>
        <w:tc>
          <w:tcPr>
            <w:tcW w:w="1265"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BR3</w:t>
            </w:r>
          </w:p>
        </w:tc>
        <w:tc>
          <w:tcPr>
            <w:tcW w:w="1089"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BR4</w:t>
            </w:r>
          </w:p>
        </w:tc>
      </w:tr>
      <w:tr w:rsidR="00315335" w:rsidRPr="00315335" w:rsidTr="00916B06">
        <w:trPr>
          <w:jc w:val="center"/>
        </w:trPr>
        <w:tc>
          <w:tcPr>
            <w:tcW w:w="2574"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2008 Medii nov şi dec</w:t>
            </w:r>
          </w:p>
        </w:tc>
        <w:tc>
          <w:tcPr>
            <w:tcW w:w="1042"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0,0092</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0,006</w:t>
            </w:r>
          </w:p>
        </w:tc>
        <w:tc>
          <w:tcPr>
            <w:tcW w:w="1089"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0,0061</w:t>
            </w:r>
          </w:p>
        </w:tc>
      </w:tr>
      <w:tr w:rsidR="00315335" w:rsidRPr="00315335" w:rsidTr="00916B06">
        <w:trPr>
          <w:jc w:val="center"/>
        </w:trPr>
        <w:tc>
          <w:tcPr>
            <w:tcW w:w="2574"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 xml:space="preserve">2009 Media anuală </w:t>
            </w:r>
          </w:p>
        </w:tc>
        <w:tc>
          <w:tcPr>
            <w:tcW w:w="1042"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0,0066</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0,0061</w:t>
            </w:r>
          </w:p>
        </w:tc>
        <w:tc>
          <w:tcPr>
            <w:tcW w:w="1089"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0,0075</w:t>
            </w:r>
          </w:p>
        </w:tc>
      </w:tr>
      <w:tr w:rsidR="00F40E00" w:rsidRPr="00315335" w:rsidTr="00916B06">
        <w:trPr>
          <w:jc w:val="center"/>
        </w:trPr>
        <w:tc>
          <w:tcPr>
            <w:tcW w:w="2574"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2010 Medii anuale</w:t>
            </w:r>
          </w:p>
        </w:tc>
        <w:tc>
          <w:tcPr>
            <w:tcW w:w="1042"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0,0085</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0,0053</w:t>
            </w:r>
          </w:p>
        </w:tc>
        <w:tc>
          <w:tcPr>
            <w:tcW w:w="1089"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0,0052</w:t>
            </w:r>
          </w:p>
        </w:tc>
      </w:tr>
    </w:tbl>
    <w:p w:rsidR="00F40E00" w:rsidRPr="00315335" w:rsidRDefault="00F40E00" w:rsidP="00F40E00">
      <w:pPr>
        <w:tabs>
          <w:tab w:val="num" w:pos="0"/>
        </w:tabs>
        <w:spacing w:after="0"/>
        <w:jc w:val="both"/>
        <w:rPr>
          <w:rFonts w:ascii="Arial" w:hAnsi="Arial" w:cs="Arial"/>
          <w:sz w:val="24"/>
          <w:szCs w:val="24"/>
        </w:rPr>
      </w:pPr>
    </w:p>
    <w:p w:rsidR="00F40E00" w:rsidRPr="00315335" w:rsidRDefault="00F40E00" w:rsidP="00F40E00">
      <w:pPr>
        <w:tabs>
          <w:tab w:val="num" w:pos="0"/>
        </w:tabs>
        <w:spacing w:after="0"/>
        <w:jc w:val="both"/>
        <w:rPr>
          <w:rFonts w:ascii="Arial" w:hAnsi="Arial" w:cs="Arial"/>
          <w:sz w:val="24"/>
          <w:szCs w:val="24"/>
        </w:rPr>
      </w:pPr>
    </w:p>
    <w:p w:rsidR="00F40E00" w:rsidRPr="00315335" w:rsidRDefault="00F40E00" w:rsidP="00F40E00">
      <w:pPr>
        <w:tabs>
          <w:tab w:val="num" w:pos="0"/>
        </w:tabs>
        <w:jc w:val="both"/>
        <w:rPr>
          <w:rFonts w:ascii="Arial" w:hAnsi="Arial" w:cs="Arial"/>
          <w:b/>
          <w:sz w:val="24"/>
          <w:szCs w:val="24"/>
        </w:rPr>
      </w:pPr>
      <w:r w:rsidRPr="00315335">
        <w:rPr>
          <w:rFonts w:ascii="Arial" w:hAnsi="Arial" w:cs="Arial"/>
          <w:sz w:val="24"/>
          <w:szCs w:val="24"/>
        </w:rPr>
        <w:tab/>
      </w:r>
      <w:r w:rsidRPr="00315335">
        <w:rPr>
          <w:rFonts w:ascii="Arial" w:hAnsi="Arial" w:cs="Arial"/>
          <w:b/>
          <w:sz w:val="24"/>
          <w:szCs w:val="24"/>
        </w:rPr>
        <w:tab/>
        <w:t>I.1.1.2.5. Monoxid de carbon</w:t>
      </w:r>
    </w:p>
    <w:p w:rsidR="00F40E00" w:rsidRPr="00315335" w:rsidRDefault="00F40E00" w:rsidP="00F40E00">
      <w:pPr>
        <w:tabs>
          <w:tab w:val="num" w:pos="0"/>
        </w:tabs>
        <w:jc w:val="center"/>
        <w:rPr>
          <w:rFonts w:ascii="Arial" w:hAnsi="Arial" w:cs="Arial"/>
          <w:sz w:val="24"/>
          <w:szCs w:val="24"/>
        </w:rPr>
      </w:pPr>
      <w:r w:rsidRPr="00315335">
        <w:rPr>
          <w:rFonts w:ascii="Arial" w:hAnsi="Arial" w:cs="Arial"/>
          <w:noProof/>
          <w:sz w:val="24"/>
          <w:szCs w:val="24"/>
        </w:rPr>
        <w:drawing>
          <wp:inline distT="0" distB="0" distL="0" distR="0" wp14:anchorId="55B359FE" wp14:editId="5C905344">
            <wp:extent cx="5010150" cy="1828800"/>
            <wp:effectExtent l="0" t="0" r="0" b="0"/>
            <wp:docPr id="15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0E00" w:rsidRPr="00315335" w:rsidRDefault="00F40E00" w:rsidP="00F40E00">
      <w:pPr>
        <w:jc w:val="center"/>
        <w:rPr>
          <w:rFonts w:ascii="Arial" w:hAnsi="Arial" w:cs="Arial"/>
          <w:sz w:val="24"/>
          <w:szCs w:val="24"/>
        </w:rPr>
      </w:pPr>
      <w:r w:rsidRPr="00315335">
        <w:rPr>
          <w:rFonts w:ascii="Arial" w:hAnsi="Arial" w:cs="Arial"/>
          <w:b/>
          <w:sz w:val="24"/>
          <w:szCs w:val="24"/>
        </w:rPr>
        <w:t>Fig. I.1.1.2.5.</w:t>
      </w:r>
      <w:r w:rsidRPr="00315335">
        <w:rPr>
          <w:rFonts w:ascii="Arial" w:hAnsi="Arial" w:cs="Arial"/>
          <w:sz w:val="24"/>
          <w:szCs w:val="24"/>
        </w:rPr>
        <w:t xml:space="preserve"> Concentraţia medie anuală a monoxidului de carbon în perioada 2014-2018</w:t>
      </w:r>
    </w:p>
    <w:p w:rsidR="00F40E00" w:rsidRPr="00315335" w:rsidRDefault="00BC4D9E" w:rsidP="00F40E00">
      <w:pPr>
        <w:spacing w:after="0" w:line="240" w:lineRule="auto"/>
        <w:rPr>
          <w:rFonts w:ascii="Arial" w:hAnsi="Arial" w:cs="Arial"/>
          <w:b/>
          <w:sz w:val="24"/>
          <w:szCs w:val="24"/>
        </w:rPr>
      </w:pPr>
      <w:r>
        <w:rPr>
          <w:rFonts w:ascii="Arial" w:hAnsi="Arial" w:cs="Arial"/>
          <w:sz w:val="24"/>
          <w:szCs w:val="24"/>
        </w:rPr>
        <w:t xml:space="preserve">                    </w:t>
      </w:r>
      <w:r w:rsidR="00F40E00" w:rsidRPr="00315335">
        <w:rPr>
          <w:rFonts w:ascii="Arial" w:hAnsi="Arial" w:cs="Arial"/>
          <w:b/>
          <w:sz w:val="24"/>
          <w:szCs w:val="24"/>
        </w:rPr>
        <w:t>Tabel I.1.1.2.5.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1080"/>
        <w:gridCol w:w="1167"/>
        <w:gridCol w:w="1029"/>
        <w:gridCol w:w="951"/>
        <w:gridCol w:w="1101"/>
      </w:tblGrid>
      <w:tr w:rsidR="00315335" w:rsidRPr="00315335" w:rsidTr="00916B06">
        <w:trPr>
          <w:jc w:val="center"/>
        </w:trPr>
        <w:tc>
          <w:tcPr>
            <w:tcW w:w="2204"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b/>
              </w:rPr>
              <w:t>CO</w:t>
            </w:r>
            <w:r w:rsidRPr="00315335">
              <w:rPr>
                <w:rFonts w:ascii="Arial" w:hAnsi="Arial" w:cs="Arial"/>
              </w:rPr>
              <w:t xml:space="preserve">    (mg/mc)</w:t>
            </w:r>
          </w:p>
        </w:tc>
        <w:tc>
          <w:tcPr>
            <w:tcW w:w="1080"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BR1</w:t>
            </w:r>
          </w:p>
        </w:tc>
        <w:tc>
          <w:tcPr>
            <w:tcW w:w="1167"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BR2</w:t>
            </w:r>
          </w:p>
        </w:tc>
        <w:tc>
          <w:tcPr>
            <w:tcW w:w="1029"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BR3</w:t>
            </w:r>
          </w:p>
        </w:tc>
        <w:tc>
          <w:tcPr>
            <w:tcW w:w="95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BR4</w:t>
            </w:r>
          </w:p>
        </w:tc>
        <w:tc>
          <w:tcPr>
            <w:tcW w:w="1101" w:type="dxa"/>
          </w:tcPr>
          <w:p w:rsidR="00F40E00" w:rsidRPr="00315335" w:rsidRDefault="00F40E00" w:rsidP="00916B06">
            <w:pPr>
              <w:spacing w:after="0" w:line="240" w:lineRule="auto"/>
              <w:jc w:val="center"/>
              <w:rPr>
                <w:rFonts w:ascii="Arial" w:hAnsi="Arial" w:cs="Arial"/>
                <w:b/>
              </w:rPr>
            </w:pPr>
            <w:r w:rsidRPr="00315335">
              <w:rPr>
                <w:rFonts w:ascii="Arial" w:hAnsi="Arial" w:cs="Arial"/>
                <w:b/>
              </w:rPr>
              <w:t>BR5</w:t>
            </w:r>
          </w:p>
        </w:tc>
      </w:tr>
      <w:tr w:rsidR="00315335" w:rsidRPr="00315335" w:rsidTr="00916B06">
        <w:trPr>
          <w:jc w:val="center"/>
        </w:trPr>
        <w:tc>
          <w:tcPr>
            <w:tcW w:w="2204"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2014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w:t>
            </w:r>
          </w:p>
        </w:tc>
        <w:tc>
          <w:tcPr>
            <w:tcW w:w="1167"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0,22</w:t>
            </w:r>
          </w:p>
        </w:tc>
        <w:tc>
          <w:tcPr>
            <w:tcW w:w="1029"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0,21</w:t>
            </w:r>
          </w:p>
        </w:tc>
        <w:tc>
          <w:tcPr>
            <w:tcW w:w="95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0,11</w:t>
            </w:r>
          </w:p>
        </w:tc>
        <w:tc>
          <w:tcPr>
            <w:tcW w:w="110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0,05</w:t>
            </w:r>
          </w:p>
        </w:tc>
      </w:tr>
      <w:tr w:rsidR="00315335" w:rsidRPr="00315335" w:rsidTr="00916B06">
        <w:trPr>
          <w:jc w:val="center"/>
        </w:trPr>
        <w:tc>
          <w:tcPr>
            <w:tcW w:w="2204"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2015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0,34</w:t>
            </w:r>
          </w:p>
        </w:tc>
        <w:tc>
          <w:tcPr>
            <w:tcW w:w="1167"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0,11</w:t>
            </w:r>
          </w:p>
        </w:tc>
        <w:tc>
          <w:tcPr>
            <w:tcW w:w="1029"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0,11</w:t>
            </w:r>
          </w:p>
        </w:tc>
        <w:tc>
          <w:tcPr>
            <w:tcW w:w="95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0,10</w:t>
            </w:r>
          </w:p>
        </w:tc>
        <w:tc>
          <w:tcPr>
            <w:tcW w:w="110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0,04</w:t>
            </w:r>
          </w:p>
        </w:tc>
      </w:tr>
      <w:tr w:rsidR="00315335" w:rsidRPr="00315335" w:rsidTr="00916B06">
        <w:trPr>
          <w:jc w:val="center"/>
        </w:trPr>
        <w:tc>
          <w:tcPr>
            <w:tcW w:w="2204"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2016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0,19</w:t>
            </w:r>
          </w:p>
        </w:tc>
        <w:tc>
          <w:tcPr>
            <w:tcW w:w="1167"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0,11</w:t>
            </w:r>
          </w:p>
        </w:tc>
        <w:tc>
          <w:tcPr>
            <w:tcW w:w="1029"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0,12</w:t>
            </w:r>
          </w:p>
        </w:tc>
        <w:tc>
          <w:tcPr>
            <w:tcW w:w="95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0,11</w:t>
            </w:r>
          </w:p>
        </w:tc>
        <w:tc>
          <w:tcPr>
            <w:tcW w:w="110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0,07</w:t>
            </w:r>
          </w:p>
        </w:tc>
      </w:tr>
      <w:tr w:rsidR="00315335" w:rsidRPr="00315335" w:rsidTr="00916B06">
        <w:trPr>
          <w:jc w:val="center"/>
        </w:trPr>
        <w:tc>
          <w:tcPr>
            <w:tcW w:w="2204"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2017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0,16</w:t>
            </w:r>
          </w:p>
        </w:tc>
        <w:tc>
          <w:tcPr>
            <w:tcW w:w="1167"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0,09</w:t>
            </w:r>
          </w:p>
        </w:tc>
        <w:tc>
          <w:tcPr>
            <w:tcW w:w="1029"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0,10</w:t>
            </w:r>
          </w:p>
        </w:tc>
        <w:tc>
          <w:tcPr>
            <w:tcW w:w="95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0,11</w:t>
            </w:r>
          </w:p>
        </w:tc>
        <w:tc>
          <w:tcPr>
            <w:tcW w:w="110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0,06</w:t>
            </w:r>
          </w:p>
        </w:tc>
      </w:tr>
      <w:tr w:rsidR="00F40E00" w:rsidRPr="00315335" w:rsidTr="00916B06">
        <w:trPr>
          <w:jc w:val="center"/>
        </w:trPr>
        <w:tc>
          <w:tcPr>
            <w:tcW w:w="2204" w:type="dxa"/>
          </w:tcPr>
          <w:p w:rsidR="00F40E00" w:rsidRPr="00315335" w:rsidRDefault="00F40E00" w:rsidP="00916B06">
            <w:pPr>
              <w:tabs>
                <w:tab w:val="num" w:pos="0"/>
              </w:tabs>
              <w:spacing w:after="0" w:line="240" w:lineRule="auto"/>
              <w:rPr>
                <w:rFonts w:ascii="Arial" w:hAnsi="Arial" w:cs="Arial"/>
              </w:rPr>
            </w:pPr>
            <w:r w:rsidRPr="00315335">
              <w:rPr>
                <w:rFonts w:ascii="Arial" w:hAnsi="Arial" w:cs="Arial"/>
              </w:rPr>
              <w:t>2018 Medii anuale</w:t>
            </w:r>
          </w:p>
        </w:tc>
        <w:tc>
          <w:tcPr>
            <w:tcW w:w="1080" w:type="dxa"/>
          </w:tcPr>
          <w:p w:rsidR="00F40E00" w:rsidRPr="00315335" w:rsidRDefault="00F40E00" w:rsidP="00916B06">
            <w:pPr>
              <w:spacing w:after="0" w:line="240" w:lineRule="auto"/>
              <w:jc w:val="center"/>
              <w:rPr>
                <w:rFonts w:ascii="Arial" w:hAnsi="Arial" w:cs="Arial"/>
              </w:rPr>
            </w:pPr>
            <w:r w:rsidRPr="00315335">
              <w:rPr>
                <w:rFonts w:ascii="Arial" w:hAnsi="Arial" w:cs="Arial"/>
              </w:rPr>
              <w:t>0,14</w:t>
            </w:r>
          </w:p>
        </w:tc>
        <w:tc>
          <w:tcPr>
            <w:tcW w:w="1167"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0,09</w:t>
            </w:r>
          </w:p>
        </w:tc>
        <w:tc>
          <w:tcPr>
            <w:tcW w:w="1029"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0,10</w:t>
            </w:r>
          </w:p>
        </w:tc>
        <w:tc>
          <w:tcPr>
            <w:tcW w:w="95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0,09</w:t>
            </w:r>
          </w:p>
        </w:tc>
        <w:tc>
          <w:tcPr>
            <w:tcW w:w="1101" w:type="dxa"/>
            <w:vAlign w:val="bottom"/>
          </w:tcPr>
          <w:p w:rsidR="00F40E00" w:rsidRPr="00315335" w:rsidRDefault="00F40E00" w:rsidP="00916B06">
            <w:pPr>
              <w:spacing w:after="0" w:line="240" w:lineRule="auto"/>
              <w:jc w:val="center"/>
              <w:rPr>
                <w:rFonts w:ascii="Arial" w:hAnsi="Arial" w:cs="Arial"/>
                <w:bCs/>
              </w:rPr>
            </w:pPr>
            <w:r w:rsidRPr="00315335">
              <w:rPr>
                <w:rFonts w:ascii="Arial" w:hAnsi="Arial" w:cs="Arial"/>
                <w:bCs/>
              </w:rPr>
              <w:t>0,07</w:t>
            </w:r>
          </w:p>
        </w:tc>
      </w:tr>
    </w:tbl>
    <w:p w:rsidR="00F40E00" w:rsidRPr="00315335" w:rsidRDefault="00F40E00" w:rsidP="00F40E00">
      <w:pPr>
        <w:tabs>
          <w:tab w:val="num" w:pos="0"/>
        </w:tabs>
        <w:spacing w:after="0"/>
        <w:ind w:firstLine="720"/>
        <w:jc w:val="both"/>
        <w:rPr>
          <w:rFonts w:ascii="Arial" w:hAnsi="Arial" w:cs="Arial"/>
          <w:sz w:val="24"/>
          <w:szCs w:val="24"/>
        </w:rPr>
      </w:pPr>
    </w:p>
    <w:p w:rsidR="00F40E00" w:rsidRPr="00315335" w:rsidRDefault="00F40E00" w:rsidP="00F40E00">
      <w:pPr>
        <w:tabs>
          <w:tab w:val="left" w:pos="709"/>
        </w:tabs>
        <w:ind w:left="720" w:right="31"/>
        <w:rPr>
          <w:rFonts w:ascii="Arial" w:hAnsi="Arial" w:cs="Arial"/>
          <w:b/>
          <w:sz w:val="24"/>
          <w:szCs w:val="24"/>
        </w:rPr>
      </w:pPr>
      <w:r w:rsidRPr="00315335">
        <w:rPr>
          <w:rFonts w:ascii="Arial" w:hAnsi="Arial" w:cs="Arial"/>
          <w:b/>
          <w:sz w:val="24"/>
          <w:szCs w:val="24"/>
        </w:rPr>
        <w:tab/>
      </w:r>
      <w:r w:rsidRPr="00315335">
        <w:rPr>
          <w:rFonts w:ascii="Arial" w:hAnsi="Arial" w:cs="Arial"/>
          <w:b/>
          <w:sz w:val="24"/>
          <w:szCs w:val="24"/>
        </w:rPr>
        <w:tab/>
        <w:t>I.1.1.2.6. Benzen</w:t>
      </w:r>
    </w:p>
    <w:p w:rsidR="00F40E00" w:rsidRPr="00315335" w:rsidRDefault="00F40E00" w:rsidP="00F40E00">
      <w:pPr>
        <w:tabs>
          <w:tab w:val="num" w:pos="0"/>
        </w:tabs>
        <w:jc w:val="center"/>
        <w:rPr>
          <w:rFonts w:ascii="Arial" w:hAnsi="Arial" w:cs="Arial"/>
          <w:sz w:val="24"/>
          <w:szCs w:val="24"/>
        </w:rPr>
      </w:pPr>
      <w:r w:rsidRPr="00315335">
        <w:rPr>
          <w:rFonts w:ascii="Arial" w:hAnsi="Arial" w:cs="Arial"/>
          <w:noProof/>
          <w:sz w:val="24"/>
          <w:szCs w:val="24"/>
        </w:rPr>
        <w:lastRenderedPageBreak/>
        <w:drawing>
          <wp:inline distT="0" distB="0" distL="0" distR="0" wp14:anchorId="27D74A6C" wp14:editId="094EC83C">
            <wp:extent cx="5210175" cy="1781175"/>
            <wp:effectExtent l="0" t="0" r="0" b="0"/>
            <wp:docPr id="158"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0E00" w:rsidRPr="00315335" w:rsidRDefault="00F40E00" w:rsidP="00F40E00">
      <w:pPr>
        <w:tabs>
          <w:tab w:val="num" w:pos="0"/>
        </w:tabs>
        <w:jc w:val="center"/>
        <w:rPr>
          <w:rFonts w:ascii="Arial" w:hAnsi="Arial" w:cs="Arial"/>
          <w:sz w:val="24"/>
          <w:szCs w:val="24"/>
        </w:rPr>
      </w:pPr>
      <w:r w:rsidRPr="00315335">
        <w:rPr>
          <w:rFonts w:ascii="Arial" w:hAnsi="Arial" w:cs="Arial"/>
          <w:b/>
          <w:sz w:val="24"/>
          <w:szCs w:val="24"/>
        </w:rPr>
        <w:t>Fig. I.1.1.2.6.</w:t>
      </w:r>
      <w:r w:rsidRPr="00315335">
        <w:rPr>
          <w:rFonts w:ascii="Arial" w:hAnsi="Arial" w:cs="Arial"/>
          <w:sz w:val="24"/>
          <w:szCs w:val="24"/>
        </w:rPr>
        <w:t xml:space="preserve"> Concentraţia medie anuală a benzenului în perioda 2008 - 2018</w:t>
      </w:r>
    </w:p>
    <w:p w:rsidR="00F40E00" w:rsidRPr="00315335" w:rsidRDefault="00F40E00" w:rsidP="00F40E00">
      <w:pPr>
        <w:tabs>
          <w:tab w:val="num" w:pos="0"/>
        </w:tabs>
        <w:spacing w:after="0" w:line="240" w:lineRule="auto"/>
        <w:ind w:firstLine="720"/>
        <w:jc w:val="center"/>
        <w:rPr>
          <w:rFonts w:ascii="Arial" w:hAnsi="Arial" w:cs="Arial"/>
          <w:b/>
          <w:sz w:val="24"/>
          <w:szCs w:val="24"/>
        </w:rPr>
      </w:pPr>
      <w:r w:rsidRPr="00315335">
        <w:rPr>
          <w:rFonts w:ascii="Arial" w:hAnsi="Arial" w:cs="Arial"/>
          <w:b/>
          <w:sz w:val="24"/>
          <w:szCs w:val="24"/>
        </w:rPr>
        <w:t>Tabel I.1.1.2.6.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080"/>
        <w:gridCol w:w="1080"/>
        <w:gridCol w:w="1265"/>
        <w:gridCol w:w="1265"/>
      </w:tblGrid>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b/>
                <w:sz w:val="24"/>
                <w:szCs w:val="24"/>
              </w:rPr>
              <w:t>Benzen</w:t>
            </w:r>
            <w:r w:rsidRPr="00315335">
              <w:rPr>
                <w:rFonts w:ascii="Arial" w:hAnsi="Arial" w:cs="Arial"/>
                <w:sz w:val="24"/>
                <w:szCs w:val="24"/>
              </w:rPr>
              <w:t xml:space="preserve">    (</w:t>
            </w:r>
            <w:r w:rsidRPr="00315335">
              <w:rPr>
                <w:rFonts w:ascii="Arial" w:hAnsi="Arial" w:cs="Arial"/>
                <w:sz w:val="24"/>
                <w:szCs w:val="24"/>
              </w:rPr>
              <w:sym w:font="Symbol" w:char="F06D"/>
            </w:r>
            <w:r w:rsidRPr="00315335">
              <w:rPr>
                <w:rFonts w:ascii="Arial" w:hAnsi="Arial" w:cs="Arial"/>
                <w:sz w:val="24"/>
                <w:szCs w:val="24"/>
              </w:rPr>
              <w:t>g/mc)</w:t>
            </w:r>
          </w:p>
        </w:tc>
        <w:tc>
          <w:tcPr>
            <w:tcW w:w="1080"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BR1</w:t>
            </w:r>
          </w:p>
        </w:tc>
        <w:tc>
          <w:tcPr>
            <w:tcW w:w="1080"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BR2</w:t>
            </w:r>
          </w:p>
        </w:tc>
        <w:tc>
          <w:tcPr>
            <w:tcW w:w="1265" w:type="dxa"/>
          </w:tcPr>
          <w:p w:rsidR="00F40E00" w:rsidRPr="00315335" w:rsidRDefault="00F40E00" w:rsidP="00916B06">
            <w:pPr>
              <w:spacing w:after="0" w:line="240" w:lineRule="auto"/>
              <w:jc w:val="center"/>
              <w:rPr>
                <w:rFonts w:ascii="Arial" w:hAnsi="Arial" w:cs="Arial"/>
                <w:b/>
                <w:sz w:val="24"/>
                <w:szCs w:val="24"/>
              </w:rPr>
            </w:pPr>
            <w:r w:rsidRPr="00315335">
              <w:rPr>
                <w:rFonts w:ascii="Arial" w:hAnsi="Arial" w:cs="Arial"/>
                <w:b/>
                <w:sz w:val="24"/>
                <w:szCs w:val="24"/>
              </w:rPr>
              <w:t>BR3</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b/>
                <w:sz w:val="24"/>
                <w:szCs w:val="24"/>
              </w:rPr>
              <w:t>BR5</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 xml:space="preserve">2008 Medii anuale </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3,145</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3,19</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2009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4,65</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0,25</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1,48</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2010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2,41</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0,13</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1,41</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2,10</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2011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1,42</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2,17</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2012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2,45</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0,93</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2013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2014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2015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2016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1,93</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1,2</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1,37</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2017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2,39</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1,40</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2,71</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1,91</w:t>
            </w:r>
          </w:p>
        </w:tc>
      </w:tr>
      <w:tr w:rsidR="00315335" w:rsidRPr="00315335" w:rsidTr="00916B06">
        <w:trPr>
          <w:jc w:val="center"/>
        </w:trPr>
        <w:tc>
          <w:tcPr>
            <w:tcW w:w="2285" w:type="dxa"/>
          </w:tcPr>
          <w:p w:rsidR="00F40E00" w:rsidRPr="00315335" w:rsidRDefault="00F40E00" w:rsidP="00916B06">
            <w:pPr>
              <w:tabs>
                <w:tab w:val="num" w:pos="0"/>
              </w:tabs>
              <w:spacing w:after="0" w:line="240" w:lineRule="auto"/>
              <w:rPr>
                <w:rFonts w:ascii="Arial" w:hAnsi="Arial" w:cs="Arial"/>
                <w:sz w:val="24"/>
                <w:szCs w:val="24"/>
              </w:rPr>
            </w:pPr>
            <w:r w:rsidRPr="00315335">
              <w:rPr>
                <w:rFonts w:ascii="Arial" w:hAnsi="Arial" w:cs="Arial"/>
                <w:sz w:val="24"/>
                <w:szCs w:val="24"/>
              </w:rPr>
              <w:t>2018 Medii anuale</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2,33</w:t>
            </w:r>
          </w:p>
        </w:tc>
        <w:tc>
          <w:tcPr>
            <w:tcW w:w="1080"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1,33</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2,25</w:t>
            </w:r>
          </w:p>
        </w:tc>
        <w:tc>
          <w:tcPr>
            <w:tcW w:w="1265" w:type="dxa"/>
          </w:tcPr>
          <w:p w:rsidR="00F40E00" w:rsidRPr="00315335" w:rsidRDefault="00F40E00" w:rsidP="00916B06">
            <w:pPr>
              <w:spacing w:after="0" w:line="240" w:lineRule="auto"/>
              <w:jc w:val="center"/>
              <w:rPr>
                <w:rFonts w:ascii="Arial" w:hAnsi="Arial" w:cs="Arial"/>
                <w:sz w:val="24"/>
                <w:szCs w:val="24"/>
              </w:rPr>
            </w:pPr>
            <w:r w:rsidRPr="00315335">
              <w:rPr>
                <w:rFonts w:ascii="Arial" w:hAnsi="Arial" w:cs="Arial"/>
                <w:sz w:val="24"/>
                <w:szCs w:val="24"/>
              </w:rPr>
              <w:t>1,35</w:t>
            </w:r>
          </w:p>
        </w:tc>
      </w:tr>
    </w:tbl>
    <w:p w:rsidR="00F40E00" w:rsidRPr="00315335" w:rsidRDefault="00F40E00" w:rsidP="00F40E00">
      <w:pPr>
        <w:tabs>
          <w:tab w:val="num" w:pos="0"/>
        </w:tabs>
        <w:spacing w:after="0"/>
        <w:jc w:val="both"/>
        <w:rPr>
          <w:rFonts w:ascii="Arial" w:hAnsi="Arial" w:cs="Arial"/>
          <w:sz w:val="24"/>
          <w:szCs w:val="24"/>
        </w:rPr>
      </w:pPr>
      <w:r w:rsidRPr="00315335">
        <w:rPr>
          <w:rFonts w:ascii="Arial" w:hAnsi="Arial" w:cs="Arial"/>
          <w:b/>
          <w:sz w:val="24"/>
          <w:szCs w:val="24"/>
          <w:lang w:val="pl-PL"/>
        </w:rPr>
        <w:tab/>
        <w:t>*</w:t>
      </w:r>
      <w:r w:rsidRPr="00315335">
        <w:rPr>
          <w:rFonts w:ascii="Arial" w:hAnsi="Arial" w:cs="Arial"/>
          <w:sz w:val="24"/>
          <w:szCs w:val="24"/>
          <w:lang w:val="pl-PL"/>
        </w:rPr>
        <w:t>Notă – Valorile medii anuale în 2018 pentru staţiile BR1; BR2; BR3, sunt orientative deoarece nu au fost îndeplinite cerinţele privind captura de date minimă.</w:t>
      </w:r>
    </w:p>
    <w:p w:rsidR="00F40E00" w:rsidRPr="00315335" w:rsidRDefault="00F40E00" w:rsidP="00F40E00">
      <w:pPr>
        <w:spacing w:after="0"/>
        <w:jc w:val="both"/>
        <w:rPr>
          <w:rFonts w:ascii="Arial" w:hAnsi="Arial" w:cs="Arial"/>
          <w:sz w:val="24"/>
          <w:szCs w:val="24"/>
        </w:rPr>
      </w:pPr>
    </w:p>
    <w:p w:rsidR="00F40E00" w:rsidRPr="00315335" w:rsidRDefault="00F40E00" w:rsidP="00F40E00">
      <w:pPr>
        <w:tabs>
          <w:tab w:val="num" w:pos="0"/>
        </w:tabs>
        <w:ind w:firstLine="720"/>
        <w:rPr>
          <w:rFonts w:ascii="Arial" w:hAnsi="Arial" w:cs="Arial"/>
          <w:b/>
          <w:sz w:val="24"/>
          <w:szCs w:val="24"/>
        </w:rPr>
      </w:pPr>
      <w:r w:rsidRPr="00315335">
        <w:rPr>
          <w:rFonts w:ascii="Arial" w:hAnsi="Arial" w:cs="Arial"/>
          <w:b/>
          <w:sz w:val="24"/>
          <w:szCs w:val="24"/>
        </w:rPr>
        <w:t xml:space="preserve">I.1.1.2.7. Ozon </w:t>
      </w:r>
    </w:p>
    <w:p w:rsidR="00F40E00" w:rsidRPr="00315335" w:rsidRDefault="00F40E00" w:rsidP="00F40E00">
      <w:pPr>
        <w:tabs>
          <w:tab w:val="num" w:pos="0"/>
        </w:tabs>
        <w:ind w:firstLine="720"/>
        <w:rPr>
          <w:rFonts w:ascii="Arial" w:hAnsi="Arial" w:cs="Arial"/>
          <w:sz w:val="24"/>
          <w:szCs w:val="24"/>
        </w:rPr>
      </w:pPr>
      <w:r w:rsidRPr="00315335">
        <w:rPr>
          <w:rFonts w:ascii="Arial" w:hAnsi="Arial" w:cs="Arial"/>
          <w:noProof/>
          <w:sz w:val="24"/>
          <w:szCs w:val="24"/>
        </w:rPr>
        <w:drawing>
          <wp:inline distT="0" distB="0" distL="0" distR="0" wp14:anchorId="2E6465B6" wp14:editId="5C9ECEA2">
            <wp:extent cx="5067300" cy="2162175"/>
            <wp:effectExtent l="0" t="0" r="0" b="0"/>
            <wp:docPr id="159"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0E00" w:rsidRPr="00315335" w:rsidRDefault="00F40E00" w:rsidP="00F40E00">
      <w:pPr>
        <w:tabs>
          <w:tab w:val="num" w:pos="0"/>
        </w:tabs>
        <w:ind w:firstLine="720"/>
        <w:jc w:val="center"/>
        <w:rPr>
          <w:rFonts w:ascii="Arial" w:hAnsi="Arial" w:cs="Arial"/>
          <w:b/>
          <w:sz w:val="24"/>
          <w:szCs w:val="24"/>
        </w:rPr>
      </w:pPr>
      <w:r w:rsidRPr="00315335">
        <w:rPr>
          <w:rFonts w:ascii="Arial" w:hAnsi="Arial" w:cs="Arial"/>
          <w:b/>
          <w:sz w:val="24"/>
          <w:szCs w:val="24"/>
        </w:rPr>
        <w:t>Fig. I.1.1.2.7.</w:t>
      </w:r>
      <w:r w:rsidRPr="00315335">
        <w:rPr>
          <w:rFonts w:ascii="Arial" w:hAnsi="Arial" w:cs="Arial"/>
          <w:sz w:val="24"/>
          <w:szCs w:val="24"/>
        </w:rPr>
        <w:t xml:space="preserve"> Concentraţia medie anuală de ozon în perioada 2013- 2018</w:t>
      </w:r>
    </w:p>
    <w:p w:rsidR="00F40E00" w:rsidRPr="00315335" w:rsidRDefault="00F40E00" w:rsidP="00F40E00">
      <w:pPr>
        <w:tabs>
          <w:tab w:val="num" w:pos="0"/>
        </w:tabs>
        <w:spacing w:after="0" w:line="240" w:lineRule="auto"/>
        <w:rPr>
          <w:rFonts w:ascii="Arial" w:hAnsi="Arial" w:cs="Arial"/>
          <w:b/>
          <w:sz w:val="24"/>
          <w:szCs w:val="24"/>
        </w:rPr>
      </w:pPr>
      <w:r w:rsidRPr="00315335">
        <w:rPr>
          <w:rFonts w:ascii="Arial" w:hAnsi="Arial" w:cs="Arial"/>
          <w:b/>
          <w:sz w:val="24"/>
          <w:szCs w:val="24"/>
        </w:rPr>
        <w:t xml:space="preserve">                           Tabel I.1.1.2.7.</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1080"/>
        <w:gridCol w:w="1080"/>
        <w:gridCol w:w="1167"/>
        <w:gridCol w:w="1265"/>
      </w:tblGrid>
      <w:tr w:rsidR="00315335" w:rsidRPr="00315335" w:rsidTr="00916B06">
        <w:tc>
          <w:tcPr>
            <w:tcW w:w="2194" w:type="dxa"/>
          </w:tcPr>
          <w:p w:rsidR="00F40E00" w:rsidRPr="00315335" w:rsidRDefault="00F40E00" w:rsidP="00916B06">
            <w:pPr>
              <w:tabs>
                <w:tab w:val="num" w:pos="0"/>
              </w:tabs>
              <w:spacing w:before="100" w:beforeAutospacing="1" w:after="0" w:line="240" w:lineRule="auto"/>
              <w:jc w:val="center"/>
              <w:rPr>
                <w:rFonts w:ascii="Arial" w:hAnsi="Arial" w:cs="Arial"/>
              </w:rPr>
            </w:pPr>
            <w:r w:rsidRPr="00315335">
              <w:rPr>
                <w:rFonts w:ascii="Arial" w:hAnsi="Arial" w:cs="Arial"/>
                <w:b/>
              </w:rPr>
              <w:t>O</w:t>
            </w:r>
            <w:r w:rsidRPr="00315335">
              <w:rPr>
                <w:rFonts w:ascii="Arial" w:hAnsi="Arial" w:cs="Arial"/>
                <w:b/>
                <w:vertAlign w:val="subscript"/>
              </w:rPr>
              <w:t>3</w:t>
            </w:r>
            <w:r w:rsidRPr="00315335">
              <w:rPr>
                <w:rFonts w:ascii="Arial" w:hAnsi="Arial" w:cs="Arial"/>
              </w:rPr>
              <w:t xml:space="preserve">  (</w:t>
            </w:r>
            <w:r w:rsidRPr="00315335">
              <w:rPr>
                <w:rFonts w:ascii="Arial" w:hAnsi="Arial" w:cs="Arial"/>
              </w:rPr>
              <w:sym w:font="Symbol" w:char="F06D"/>
            </w:r>
            <w:r w:rsidRPr="00315335">
              <w:rPr>
                <w:rFonts w:ascii="Arial" w:hAnsi="Arial" w:cs="Arial"/>
              </w:rPr>
              <w:t>g/mc)</w:t>
            </w:r>
          </w:p>
        </w:tc>
        <w:tc>
          <w:tcPr>
            <w:tcW w:w="1080" w:type="dxa"/>
          </w:tcPr>
          <w:p w:rsidR="00F40E00" w:rsidRPr="00315335" w:rsidRDefault="00F40E00" w:rsidP="00916B06">
            <w:pPr>
              <w:spacing w:before="100" w:beforeAutospacing="1" w:after="0" w:line="240" w:lineRule="auto"/>
              <w:jc w:val="center"/>
              <w:rPr>
                <w:rFonts w:ascii="Arial" w:hAnsi="Arial" w:cs="Arial"/>
                <w:b/>
              </w:rPr>
            </w:pPr>
            <w:r w:rsidRPr="00315335">
              <w:rPr>
                <w:rFonts w:ascii="Arial" w:hAnsi="Arial" w:cs="Arial"/>
                <w:b/>
              </w:rPr>
              <w:t>BR2</w:t>
            </w:r>
          </w:p>
        </w:tc>
        <w:tc>
          <w:tcPr>
            <w:tcW w:w="1080" w:type="dxa"/>
          </w:tcPr>
          <w:p w:rsidR="00F40E00" w:rsidRPr="00315335" w:rsidRDefault="00F40E00" w:rsidP="00916B06">
            <w:pPr>
              <w:spacing w:before="100" w:beforeAutospacing="1" w:after="0" w:line="240" w:lineRule="auto"/>
              <w:jc w:val="center"/>
              <w:rPr>
                <w:rFonts w:ascii="Arial" w:hAnsi="Arial" w:cs="Arial"/>
                <w:b/>
              </w:rPr>
            </w:pPr>
            <w:r w:rsidRPr="00315335">
              <w:rPr>
                <w:rFonts w:ascii="Arial" w:hAnsi="Arial" w:cs="Arial"/>
                <w:b/>
              </w:rPr>
              <w:t>BR3</w:t>
            </w:r>
          </w:p>
        </w:tc>
        <w:tc>
          <w:tcPr>
            <w:tcW w:w="1167" w:type="dxa"/>
          </w:tcPr>
          <w:p w:rsidR="00F40E00" w:rsidRPr="00315335" w:rsidRDefault="00F40E00" w:rsidP="00916B06">
            <w:pPr>
              <w:spacing w:before="100" w:beforeAutospacing="1" w:after="0" w:line="240" w:lineRule="auto"/>
              <w:jc w:val="center"/>
              <w:rPr>
                <w:rFonts w:ascii="Arial" w:hAnsi="Arial" w:cs="Arial"/>
                <w:b/>
              </w:rPr>
            </w:pPr>
            <w:r w:rsidRPr="00315335">
              <w:rPr>
                <w:rFonts w:ascii="Arial" w:hAnsi="Arial" w:cs="Arial"/>
                <w:b/>
              </w:rPr>
              <w:t>BR4</w:t>
            </w:r>
          </w:p>
        </w:tc>
        <w:tc>
          <w:tcPr>
            <w:tcW w:w="1265" w:type="dxa"/>
          </w:tcPr>
          <w:p w:rsidR="00F40E00" w:rsidRPr="00315335" w:rsidRDefault="00F40E00" w:rsidP="00916B06">
            <w:pPr>
              <w:spacing w:before="100" w:beforeAutospacing="1" w:after="0" w:line="240" w:lineRule="auto"/>
              <w:jc w:val="center"/>
              <w:rPr>
                <w:rFonts w:ascii="Arial" w:hAnsi="Arial" w:cs="Arial"/>
                <w:b/>
              </w:rPr>
            </w:pPr>
            <w:r w:rsidRPr="00315335">
              <w:rPr>
                <w:rFonts w:ascii="Arial" w:hAnsi="Arial" w:cs="Arial"/>
                <w:b/>
              </w:rPr>
              <w:t>BR5</w:t>
            </w:r>
          </w:p>
        </w:tc>
      </w:tr>
      <w:tr w:rsidR="00315335" w:rsidRPr="00315335" w:rsidTr="00916B06">
        <w:tc>
          <w:tcPr>
            <w:tcW w:w="2194" w:type="dxa"/>
          </w:tcPr>
          <w:p w:rsidR="00F40E00" w:rsidRPr="00315335" w:rsidRDefault="00F40E00" w:rsidP="00916B06">
            <w:pPr>
              <w:tabs>
                <w:tab w:val="num" w:pos="0"/>
              </w:tabs>
              <w:spacing w:before="100" w:beforeAutospacing="1" w:after="0" w:line="240" w:lineRule="auto"/>
              <w:jc w:val="center"/>
              <w:rPr>
                <w:rFonts w:ascii="Arial" w:hAnsi="Arial" w:cs="Arial"/>
              </w:rPr>
            </w:pPr>
            <w:r w:rsidRPr="00315335">
              <w:rPr>
                <w:rFonts w:ascii="Arial" w:hAnsi="Arial" w:cs="Arial"/>
              </w:rPr>
              <w:t>2013 Medii anuale</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57,39</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w:t>
            </w:r>
          </w:p>
        </w:tc>
        <w:tc>
          <w:tcPr>
            <w:tcW w:w="1167"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64,56</w:t>
            </w:r>
          </w:p>
        </w:tc>
        <w:tc>
          <w:tcPr>
            <w:tcW w:w="1265"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74,3</w:t>
            </w:r>
          </w:p>
        </w:tc>
      </w:tr>
      <w:tr w:rsidR="00315335" w:rsidRPr="00315335" w:rsidTr="00916B06">
        <w:tc>
          <w:tcPr>
            <w:tcW w:w="2194" w:type="dxa"/>
          </w:tcPr>
          <w:p w:rsidR="00F40E00" w:rsidRPr="00315335" w:rsidRDefault="00F40E00" w:rsidP="00916B06">
            <w:pPr>
              <w:tabs>
                <w:tab w:val="num" w:pos="0"/>
              </w:tabs>
              <w:spacing w:before="100" w:beforeAutospacing="1" w:after="0" w:line="240" w:lineRule="auto"/>
              <w:jc w:val="center"/>
              <w:rPr>
                <w:rFonts w:ascii="Arial" w:hAnsi="Arial" w:cs="Arial"/>
              </w:rPr>
            </w:pPr>
            <w:r w:rsidRPr="00315335">
              <w:rPr>
                <w:rFonts w:ascii="Arial" w:hAnsi="Arial" w:cs="Arial"/>
              </w:rPr>
              <w:t>2014 Medii anuale</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23,02</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w:t>
            </w:r>
          </w:p>
        </w:tc>
        <w:tc>
          <w:tcPr>
            <w:tcW w:w="1167"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29,23</w:t>
            </w:r>
          </w:p>
        </w:tc>
        <w:tc>
          <w:tcPr>
            <w:tcW w:w="1265"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67,24</w:t>
            </w:r>
          </w:p>
        </w:tc>
      </w:tr>
      <w:tr w:rsidR="00315335" w:rsidRPr="00315335" w:rsidTr="00916B06">
        <w:tc>
          <w:tcPr>
            <w:tcW w:w="2194" w:type="dxa"/>
          </w:tcPr>
          <w:p w:rsidR="00F40E00" w:rsidRPr="00315335" w:rsidRDefault="00F40E00" w:rsidP="00916B06">
            <w:pPr>
              <w:tabs>
                <w:tab w:val="num" w:pos="0"/>
              </w:tabs>
              <w:spacing w:before="100" w:beforeAutospacing="1" w:after="0" w:line="240" w:lineRule="auto"/>
              <w:jc w:val="center"/>
              <w:rPr>
                <w:rFonts w:ascii="Arial" w:hAnsi="Arial" w:cs="Arial"/>
              </w:rPr>
            </w:pPr>
            <w:r w:rsidRPr="00315335">
              <w:rPr>
                <w:rFonts w:ascii="Arial" w:hAnsi="Arial" w:cs="Arial"/>
              </w:rPr>
              <w:t>2015 Medii anuale</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53,23</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50,68</w:t>
            </w:r>
          </w:p>
        </w:tc>
        <w:tc>
          <w:tcPr>
            <w:tcW w:w="1167"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46,01</w:t>
            </w:r>
          </w:p>
        </w:tc>
        <w:tc>
          <w:tcPr>
            <w:tcW w:w="1265"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42,25</w:t>
            </w:r>
          </w:p>
        </w:tc>
      </w:tr>
      <w:tr w:rsidR="00315335" w:rsidRPr="00315335" w:rsidTr="00916B06">
        <w:tc>
          <w:tcPr>
            <w:tcW w:w="2194" w:type="dxa"/>
          </w:tcPr>
          <w:p w:rsidR="00F40E00" w:rsidRPr="00315335" w:rsidRDefault="00F40E00" w:rsidP="00916B06">
            <w:pPr>
              <w:tabs>
                <w:tab w:val="num" w:pos="0"/>
              </w:tabs>
              <w:spacing w:before="100" w:beforeAutospacing="1" w:after="0" w:line="240" w:lineRule="auto"/>
              <w:jc w:val="center"/>
              <w:rPr>
                <w:rFonts w:ascii="Arial" w:hAnsi="Arial" w:cs="Arial"/>
              </w:rPr>
            </w:pPr>
            <w:r w:rsidRPr="00315335">
              <w:rPr>
                <w:rFonts w:ascii="Arial" w:hAnsi="Arial" w:cs="Arial"/>
              </w:rPr>
              <w:t>2016 Medii anuale</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36,48</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43,02</w:t>
            </w:r>
          </w:p>
        </w:tc>
        <w:tc>
          <w:tcPr>
            <w:tcW w:w="1167"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50,05</w:t>
            </w:r>
          </w:p>
        </w:tc>
        <w:tc>
          <w:tcPr>
            <w:tcW w:w="1265"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50,45</w:t>
            </w:r>
          </w:p>
        </w:tc>
      </w:tr>
      <w:tr w:rsidR="00315335" w:rsidRPr="00315335" w:rsidTr="00916B06">
        <w:tc>
          <w:tcPr>
            <w:tcW w:w="2194" w:type="dxa"/>
          </w:tcPr>
          <w:p w:rsidR="00F40E00" w:rsidRPr="00315335" w:rsidRDefault="00F40E00" w:rsidP="00916B06">
            <w:pPr>
              <w:tabs>
                <w:tab w:val="num" w:pos="0"/>
              </w:tabs>
              <w:spacing w:before="100" w:beforeAutospacing="1" w:after="0" w:line="240" w:lineRule="auto"/>
              <w:jc w:val="center"/>
              <w:rPr>
                <w:rFonts w:ascii="Arial" w:hAnsi="Arial" w:cs="Arial"/>
              </w:rPr>
            </w:pPr>
            <w:r w:rsidRPr="00315335">
              <w:rPr>
                <w:rFonts w:ascii="Arial" w:hAnsi="Arial" w:cs="Arial"/>
              </w:rPr>
              <w:t>2017 Medii anuale</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43,37</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55,63</w:t>
            </w:r>
          </w:p>
        </w:tc>
        <w:tc>
          <w:tcPr>
            <w:tcW w:w="1167"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56,33</w:t>
            </w:r>
          </w:p>
        </w:tc>
        <w:tc>
          <w:tcPr>
            <w:tcW w:w="1265"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60,09</w:t>
            </w:r>
          </w:p>
        </w:tc>
      </w:tr>
      <w:tr w:rsidR="00315335" w:rsidRPr="00315335" w:rsidTr="00916B06">
        <w:tc>
          <w:tcPr>
            <w:tcW w:w="2194" w:type="dxa"/>
          </w:tcPr>
          <w:p w:rsidR="00F40E00" w:rsidRPr="00315335" w:rsidRDefault="00F40E00" w:rsidP="00916B06">
            <w:pPr>
              <w:tabs>
                <w:tab w:val="num" w:pos="0"/>
              </w:tabs>
              <w:spacing w:before="100" w:beforeAutospacing="1" w:after="0" w:line="240" w:lineRule="auto"/>
              <w:jc w:val="center"/>
              <w:rPr>
                <w:rFonts w:ascii="Arial" w:hAnsi="Arial" w:cs="Arial"/>
              </w:rPr>
            </w:pPr>
            <w:r w:rsidRPr="00315335">
              <w:rPr>
                <w:rFonts w:ascii="Arial" w:hAnsi="Arial" w:cs="Arial"/>
              </w:rPr>
              <w:t>2018 Medii anuale</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75,92</w:t>
            </w:r>
          </w:p>
        </w:tc>
        <w:tc>
          <w:tcPr>
            <w:tcW w:w="1080"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58,69</w:t>
            </w:r>
          </w:p>
        </w:tc>
        <w:tc>
          <w:tcPr>
            <w:tcW w:w="1167"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49,35</w:t>
            </w:r>
          </w:p>
        </w:tc>
        <w:tc>
          <w:tcPr>
            <w:tcW w:w="1265" w:type="dxa"/>
          </w:tcPr>
          <w:p w:rsidR="00F40E00" w:rsidRPr="00315335" w:rsidRDefault="00F40E00" w:rsidP="00916B06">
            <w:pPr>
              <w:spacing w:before="100" w:beforeAutospacing="1" w:after="0" w:line="240" w:lineRule="auto"/>
              <w:jc w:val="center"/>
              <w:rPr>
                <w:rFonts w:ascii="Arial" w:hAnsi="Arial" w:cs="Arial"/>
              </w:rPr>
            </w:pPr>
            <w:r w:rsidRPr="00315335">
              <w:rPr>
                <w:rFonts w:ascii="Arial" w:hAnsi="Arial" w:cs="Arial"/>
              </w:rPr>
              <w:t>65,11</w:t>
            </w:r>
          </w:p>
        </w:tc>
      </w:tr>
    </w:tbl>
    <w:p w:rsidR="00F40E00" w:rsidRPr="00315335" w:rsidRDefault="00F40E00" w:rsidP="00F40E00">
      <w:pPr>
        <w:tabs>
          <w:tab w:val="num" w:pos="0"/>
        </w:tabs>
        <w:spacing w:after="0"/>
        <w:ind w:firstLine="720"/>
        <w:jc w:val="both"/>
        <w:rPr>
          <w:rFonts w:ascii="Arial" w:hAnsi="Arial" w:cs="Arial"/>
          <w:sz w:val="24"/>
          <w:szCs w:val="24"/>
        </w:rPr>
      </w:pPr>
    </w:p>
    <w:p w:rsidR="00F40E00" w:rsidRPr="00315335" w:rsidRDefault="00F40E00" w:rsidP="00F40E00">
      <w:pPr>
        <w:tabs>
          <w:tab w:val="num" w:pos="0"/>
        </w:tabs>
        <w:ind w:firstLine="720"/>
        <w:jc w:val="both"/>
        <w:rPr>
          <w:rFonts w:ascii="Arial" w:hAnsi="Arial" w:cs="Arial"/>
          <w:sz w:val="24"/>
          <w:szCs w:val="24"/>
        </w:rPr>
      </w:pPr>
    </w:p>
    <w:p w:rsidR="00F40E00" w:rsidRPr="00315335" w:rsidRDefault="00F40E00" w:rsidP="00F40E00">
      <w:pPr>
        <w:tabs>
          <w:tab w:val="num" w:pos="0"/>
        </w:tabs>
        <w:spacing w:after="0"/>
        <w:jc w:val="both"/>
        <w:rPr>
          <w:rFonts w:ascii="Arial" w:hAnsi="Arial" w:cs="Arial"/>
          <w:b/>
          <w:sz w:val="24"/>
          <w:szCs w:val="24"/>
          <w:lang w:val="pl-PL"/>
        </w:rPr>
      </w:pPr>
      <w:r w:rsidRPr="00315335">
        <w:rPr>
          <w:rFonts w:ascii="Arial" w:hAnsi="Arial" w:cs="Arial"/>
          <w:b/>
          <w:sz w:val="24"/>
          <w:szCs w:val="24"/>
          <w:lang w:val="pl-PL"/>
        </w:rPr>
        <w:tab/>
      </w:r>
    </w:p>
    <w:p w:rsidR="00F40E00" w:rsidRPr="00315335" w:rsidRDefault="00F40E00" w:rsidP="00F40E00">
      <w:pPr>
        <w:tabs>
          <w:tab w:val="num" w:pos="0"/>
        </w:tabs>
        <w:spacing w:after="0"/>
        <w:jc w:val="both"/>
        <w:rPr>
          <w:rFonts w:ascii="Arial" w:hAnsi="Arial" w:cs="Arial"/>
          <w:b/>
          <w:sz w:val="24"/>
          <w:szCs w:val="24"/>
          <w:lang w:val="pl-PL"/>
        </w:rPr>
      </w:pPr>
    </w:p>
    <w:p w:rsidR="00F40E00" w:rsidRPr="00315335" w:rsidRDefault="00F40E00" w:rsidP="00F40E00">
      <w:pPr>
        <w:tabs>
          <w:tab w:val="num" w:pos="0"/>
        </w:tabs>
        <w:spacing w:after="0"/>
        <w:jc w:val="both"/>
        <w:rPr>
          <w:rFonts w:ascii="Arial" w:hAnsi="Arial" w:cs="Arial"/>
          <w:b/>
          <w:sz w:val="24"/>
          <w:szCs w:val="24"/>
          <w:lang w:val="pl-PL"/>
        </w:rPr>
      </w:pPr>
    </w:p>
    <w:p w:rsidR="00F40E00" w:rsidRPr="00315335" w:rsidRDefault="00F40E00" w:rsidP="00F40E00">
      <w:pPr>
        <w:tabs>
          <w:tab w:val="num" w:pos="0"/>
        </w:tabs>
        <w:spacing w:after="0"/>
        <w:jc w:val="both"/>
        <w:rPr>
          <w:rFonts w:ascii="Arial" w:hAnsi="Arial" w:cs="Arial"/>
          <w:b/>
          <w:sz w:val="24"/>
          <w:szCs w:val="24"/>
          <w:lang w:val="pl-PL"/>
        </w:rPr>
      </w:pPr>
    </w:p>
    <w:p w:rsidR="00F40E00" w:rsidRPr="00315335" w:rsidRDefault="00F40E00" w:rsidP="00F40E00">
      <w:pPr>
        <w:tabs>
          <w:tab w:val="num" w:pos="0"/>
        </w:tabs>
        <w:spacing w:after="0"/>
        <w:jc w:val="both"/>
        <w:rPr>
          <w:rFonts w:ascii="Arial" w:hAnsi="Arial" w:cs="Arial"/>
          <w:sz w:val="24"/>
          <w:szCs w:val="24"/>
        </w:rPr>
      </w:pPr>
      <w:r w:rsidRPr="00315335">
        <w:rPr>
          <w:rFonts w:ascii="Arial" w:hAnsi="Arial" w:cs="Arial"/>
          <w:b/>
          <w:sz w:val="24"/>
          <w:szCs w:val="24"/>
          <w:lang w:val="pl-PL"/>
        </w:rPr>
        <w:lastRenderedPageBreak/>
        <w:t>*</w:t>
      </w:r>
      <w:r w:rsidRPr="00315335">
        <w:rPr>
          <w:rFonts w:ascii="Arial" w:hAnsi="Arial" w:cs="Arial"/>
          <w:sz w:val="24"/>
          <w:szCs w:val="24"/>
          <w:lang w:val="pl-PL"/>
        </w:rPr>
        <w:t>Notă – Valoarea medie anuală în 2018 la staţia BR2 este orientativă deoarece nu au fost indeplinite cerinţele privind captura de date minimă.</w:t>
      </w:r>
    </w:p>
    <w:p w:rsidR="00F40E00" w:rsidRPr="00315335" w:rsidRDefault="00F40E00" w:rsidP="00F40E00">
      <w:pPr>
        <w:tabs>
          <w:tab w:val="num" w:pos="0"/>
        </w:tabs>
        <w:spacing w:line="240" w:lineRule="auto"/>
        <w:ind w:firstLine="720"/>
        <w:jc w:val="both"/>
        <w:rPr>
          <w:rFonts w:ascii="Arial" w:hAnsi="Arial" w:cs="Arial"/>
          <w:sz w:val="24"/>
          <w:szCs w:val="24"/>
        </w:rPr>
      </w:pPr>
      <w:r w:rsidRPr="00315335">
        <w:rPr>
          <w:rFonts w:ascii="Arial" w:hAnsi="Arial" w:cs="Arial"/>
          <w:sz w:val="24"/>
          <w:szCs w:val="24"/>
        </w:rPr>
        <w:t xml:space="preserve">Valorile orare pentru ozon au fost mai mici decât pragul de alertă (240 μg/mc - medie orară), precum şi faţă de pragul de informare (180 μg/mc - medie orară). De asemenea, concentraţiile maxime a mediilor pe opt ore au fost sub obiectivul pe termen lung pentru protecţia sănătăţii umane şi respectiv valoarea ţintă pentru anul 2018 (120 </w:t>
      </w:r>
      <w:r w:rsidRPr="00315335">
        <w:rPr>
          <w:rFonts w:ascii="Arial" w:hAnsi="Arial" w:cs="Arial"/>
          <w:sz w:val="24"/>
          <w:szCs w:val="24"/>
        </w:rPr>
        <w:sym w:font="Symbol" w:char="F06D"/>
      </w:r>
      <w:r w:rsidRPr="00315335">
        <w:rPr>
          <w:rFonts w:ascii="Arial" w:hAnsi="Arial" w:cs="Arial"/>
          <w:sz w:val="24"/>
          <w:szCs w:val="24"/>
        </w:rPr>
        <w:t>g/mc).</w:t>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I.1.1.2.8. Pulberi sedimentabile</w:t>
      </w:r>
    </w:p>
    <w:p w:rsidR="00F40E00" w:rsidRPr="00315335" w:rsidRDefault="00F40E00" w:rsidP="00F40E00">
      <w:pPr>
        <w:tabs>
          <w:tab w:val="num" w:pos="0"/>
        </w:tabs>
        <w:spacing w:after="0" w:line="240" w:lineRule="auto"/>
        <w:jc w:val="both"/>
        <w:rPr>
          <w:rFonts w:ascii="Arial" w:hAnsi="Arial" w:cs="Arial"/>
          <w:sz w:val="24"/>
          <w:szCs w:val="24"/>
        </w:rPr>
      </w:pPr>
      <w:r w:rsidRPr="00315335">
        <w:rPr>
          <w:rFonts w:ascii="Arial" w:hAnsi="Arial" w:cs="Arial"/>
          <w:sz w:val="24"/>
          <w:szCs w:val="24"/>
        </w:rPr>
        <w:tab/>
        <w:t>Concentraţiile medii anuale, pe puncte de prelevare ale pulberilor sedimentabile, comparativ pentru perioada 2014 - 2018, sunt prezentate în figura şi tabelul de mai jos.</w:t>
      </w:r>
    </w:p>
    <w:p w:rsidR="00F40E00" w:rsidRPr="00315335" w:rsidRDefault="00F40E00" w:rsidP="00F40E00">
      <w:pPr>
        <w:tabs>
          <w:tab w:val="num" w:pos="0"/>
        </w:tabs>
        <w:spacing w:after="0" w:line="240" w:lineRule="auto"/>
        <w:jc w:val="both"/>
        <w:rPr>
          <w:rFonts w:ascii="Arial" w:hAnsi="Arial" w:cs="Arial"/>
          <w:sz w:val="24"/>
          <w:szCs w:val="24"/>
        </w:rPr>
      </w:pPr>
    </w:p>
    <w:p w:rsidR="00F40E00" w:rsidRPr="00315335" w:rsidRDefault="00F40E00" w:rsidP="00F40E00">
      <w:pPr>
        <w:tabs>
          <w:tab w:val="num" w:pos="0"/>
        </w:tabs>
        <w:spacing w:after="0" w:line="240" w:lineRule="auto"/>
        <w:jc w:val="center"/>
        <w:rPr>
          <w:rFonts w:ascii="Arial" w:hAnsi="Arial" w:cs="Arial"/>
          <w:b/>
          <w:sz w:val="24"/>
          <w:szCs w:val="24"/>
        </w:rPr>
      </w:pPr>
      <w:r w:rsidRPr="00315335">
        <w:rPr>
          <w:rFonts w:ascii="Arial" w:hAnsi="Arial" w:cs="Arial"/>
          <w:noProof/>
          <w:sz w:val="24"/>
          <w:szCs w:val="24"/>
        </w:rPr>
        <w:drawing>
          <wp:inline distT="0" distB="0" distL="0" distR="0" wp14:anchorId="5369FCAF" wp14:editId="240FABA1">
            <wp:extent cx="5362575" cy="1952625"/>
            <wp:effectExtent l="0" t="0" r="0" b="0"/>
            <wp:docPr id="255"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eastAsia="Times New Roman" w:hAnsi="Arial" w:cs="Arial"/>
          <w:b/>
          <w:iCs/>
          <w:sz w:val="24"/>
          <w:szCs w:val="24"/>
        </w:rPr>
        <w:t>Fig. I.1.1.2.8.</w:t>
      </w:r>
      <w:r w:rsidRPr="00315335">
        <w:rPr>
          <w:rFonts w:ascii="Arial" w:hAnsi="Arial" w:cs="Arial"/>
          <w:sz w:val="24"/>
          <w:szCs w:val="24"/>
        </w:rPr>
        <w:t>Concentraţia medie anuală de pulberi sedimentabile în perioada 2014 - 2018</w:t>
      </w:r>
    </w:p>
    <w:p w:rsidR="00F40E00" w:rsidRPr="00315335" w:rsidRDefault="00F40E00" w:rsidP="00F40E00">
      <w:pPr>
        <w:tabs>
          <w:tab w:val="num" w:pos="0"/>
        </w:tabs>
        <w:spacing w:after="0" w:line="240" w:lineRule="auto"/>
        <w:jc w:val="both"/>
        <w:rPr>
          <w:rFonts w:ascii="Arial" w:hAnsi="Arial" w:cs="Arial"/>
          <w:b/>
          <w:sz w:val="24"/>
          <w:szCs w:val="24"/>
        </w:rPr>
      </w:pPr>
      <w:r w:rsidRPr="00315335">
        <w:rPr>
          <w:rFonts w:ascii="Arial" w:hAnsi="Arial" w:cs="Arial"/>
          <w:b/>
          <w:sz w:val="24"/>
          <w:szCs w:val="24"/>
        </w:rPr>
        <w:tab/>
      </w:r>
      <w:r w:rsidRPr="00315335">
        <w:rPr>
          <w:rFonts w:ascii="Arial" w:hAnsi="Arial" w:cs="Arial"/>
          <w:b/>
          <w:sz w:val="24"/>
          <w:szCs w:val="24"/>
        </w:rPr>
        <w:tab/>
      </w:r>
      <w:r w:rsidRPr="00315335">
        <w:rPr>
          <w:rFonts w:ascii="Arial" w:hAnsi="Arial" w:cs="Arial"/>
          <w:b/>
          <w:sz w:val="24"/>
          <w:szCs w:val="24"/>
        </w:rPr>
        <w:tab/>
      </w:r>
      <w:r w:rsidRPr="00315335">
        <w:rPr>
          <w:rFonts w:ascii="Arial" w:hAnsi="Arial" w:cs="Arial"/>
          <w:b/>
          <w:sz w:val="24"/>
          <w:szCs w:val="24"/>
        </w:rPr>
        <w:tab/>
      </w:r>
      <w:r w:rsidRPr="00315335">
        <w:rPr>
          <w:rFonts w:ascii="Arial" w:hAnsi="Arial" w:cs="Arial"/>
          <w:b/>
          <w:sz w:val="24"/>
          <w:szCs w:val="24"/>
        </w:rPr>
        <w:tab/>
      </w:r>
      <w:r w:rsidRPr="00315335">
        <w:rPr>
          <w:rFonts w:ascii="Arial" w:hAnsi="Arial" w:cs="Arial"/>
          <w:b/>
          <w:sz w:val="24"/>
          <w:szCs w:val="24"/>
        </w:rPr>
        <w:tab/>
      </w:r>
      <w:r w:rsidRPr="00315335">
        <w:rPr>
          <w:rFonts w:ascii="Arial" w:hAnsi="Arial" w:cs="Arial"/>
          <w:b/>
          <w:sz w:val="24"/>
          <w:szCs w:val="24"/>
        </w:rPr>
        <w:tab/>
      </w:r>
      <w:r w:rsidRPr="00315335">
        <w:rPr>
          <w:rFonts w:ascii="Arial" w:hAnsi="Arial" w:cs="Arial"/>
          <w:b/>
          <w:sz w:val="24"/>
          <w:szCs w:val="24"/>
        </w:rPr>
        <w:tab/>
      </w:r>
      <w:r w:rsidRPr="00315335">
        <w:rPr>
          <w:rFonts w:ascii="Arial" w:hAnsi="Arial" w:cs="Arial"/>
          <w:b/>
          <w:sz w:val="24"/>
          <w:szCs w:val="24"/>
        </w:rPr>
        <w:tab/>
      </w:r>
      <w:r w:rsidRPr="00315335">
        <w:rPr>
          <w:rFonts w:ascii="Arial" w:hAnsi="Arial" w:cs="Arial"/>
          <w:b/>
          <w:sz w:val="24"/>
          <w:szCs w:val="24"/>
        </w:rPr>
        <w:tab/>
      </w:r>
      <w:r w:rsidRPr="00315335">
        <w:rPr>
          <w:rFonts w:ascii="Arial" w:hAnsi="Arial" w:cs="Arial"/>
          <w:b/>
          <w:sz w:val="24"/>
          <w:szCs w:val="24"/>
        </w:rPr>
        <w:tab/>
      </w:r>
    </w:p>
    <w:p w:rsidR="00F40E00" w:rsidRPr="00315335" w:rsidRDefault="00F40E00" w:rsidP="00F40E00">
      <w:pPr>
        <w:tabs>
          <w:tab w:val="num" w:pos="0"/>
        </w:tabs>
        <w:spacing w:after="0" w:line="240" w:lineRule="auto"/>
        <w:rPr>
          <w:rFonts w:ascii="Arial" w:hAnsi="Arial" w:cs="Arial"/>
          <w:sz w:val="24"/>
          <w:szCs w:val="24"/>
        </w:rPr>
      </w:pPr>
      <w:r w:rsidRPr="00315335">
        <w:rPr>
          <w:rFonts w:ascii="Arial" w:hAnsi="Arial" w:cs="Arial"/>
          <w:b/>
          <w:sz w:val="24"/>
          <w:szCs w:val="24"/>
        </w:rPr>
        <w:t xml:space="preserve">        Tabel </w:t>
      </w:r>
      <w:r w:rsidRPr="00315335">
        <w:rPr>
          <w:rFonts w:ascii="Arial" w:eastAsia="Times New Roman" w:hAnsi="Arial" w:cs="Arial"/>
          <w:b/>
          <w:iCs/>
          <w:sz w:val="24"/>
          <w:szCs w:val="24"/>
        </w:rPr>
        <w:t>I.1.1.2.8</w:t>
      </w:r>
      <w:r w:rsidRPr="00315335">
        <w:rPr>
          <w:rFonts w:ascii="Arial" w:eastAsia="Times New Roman" w:hAnsi="Arial" w:cs="Arial"/>
          <w:iCs/>
          <w:sz w:val="24"/>
          <w:szCs w:val="24"/>
        </w:rPr>
        <w:t>.1</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2837"/>
        <w:gridCol w:w="850"/>
        <w:gridCol w:w="937"/>
        <w:gridCol w:w="992"/>
        <w:gridCol w:w="992"/>
        <w:gridCol w:w="984"/>
      </w:tblGrid>
      <w:tr w:rsidR="00315335" w:rsidRPr="00315335" w:rsidTr="00916B06">
        <w:trPr>
          <w:trHeight w:val="307"/>
          <w:jc w:val="center"/>
        </w:trPr>
        <w:tc>
          <w:tcPr>
            <w:tcW w:w="1323" w:type="dxa"/>
            <w:vMerge w:val="restart"/>
            <w:shd w:val="clear" w:color="auto" w:fill="D9D9D9"/>
            <w:vAlign w:val="center"/>
          </w:tcPr>
          <w:p w:rsidR="00F40E00" w:rsidRPr="00315335" w:rsidRDefault="00F40E00" w:rsidP="00916B06">
            <w:pPr>
              <w:tabs>
                <w:tab w:val="num" w:pos="0"/>
              </w:tabs>
              <w:spacing w:after="0" w:line="240" w:lineRule="auto"/>
              <w:jc w:val="both"/>
              <w:rPr>
                <w:rFonts w:ascii="Arial" w:hAnsi="Arial" w:cs="Arial"/>
                <w:b/>
              </w:rPr>
            </w:pPr>
            <w:r w:rsidRPr="00315335">
              <w:rPr>
                <w:rFonts w:ascii="Arial" w:hAnsi="Arial" w:cs="Arial"/>
                <w:b/>
              </w:rPr>
              <w:t>JUDEŢUL</w:t>
            </w:r>
          </w:p>
        </w:tc>
        <w:tc>
          <w:tcPr>
            <w:tcW w:w="2837" w:type="dxa"/>
            <w:vMerge w:val="restart"/>
            <w:shd w:val="clear" w:color="auto" w:fill="D9D9D9"/>
            <w:vAlign w:val="center"/>
          </w:tcPr>
          <w:p w:rsidR="00F40E00" w:rsidRPr="00315335" w:rsidRDefault="00F40E00" w:rsidP="00916B06">
            <w:pPr>
              <w:tabs>
                <w:tab w:val="num" w:pos="0"/>
              </w:tabs>
              <w:spacing w:after="0" w:line="240" w:lineRule="auto"/>
              <w:jc w:val="both"/>
              <w:rPr>
                <w:rFonts w:ascii="Arial" w:hAnsi="Arial" w:cs="Arial"/>
                <w:b/>
              </w:rPr>
            </w:pPr>
            <w:r w:rsidRPr="00315335">
              <w:rPr>
                <w:rFonts w:ascii="Arial" w:hAnsi="Arial" w:cs="Arial"/>
                <w:b/>
              </w:rPr>
              <w:t>Punct de prelevare</w:t>
            </w:r>
          </w:p>
        </w:tc>
        <w:tc>
          <w:tcPr>
            <w:tcW w:w="4755" w:type="dxa"/>
            <w:gridSpan w:val="5"/>
            <w:shd w:val="clear" w:color="auto" w:fill="D9D9D9"/>
            <w:vAlign w:val="center"/>
          </w:tcPr>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Concentraţie medie anuală</w:t>
            </w:r>
          </w:p>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(g/mp/luna)</w:t>
            </w:r>
          </w:p>
        </w:tc>
      </w:tr>
      <w:tr w:rsidR="00315335" w:rsidRPr="00315335" w:rsidTr="00916B06">
        <w:trPr>
          <w:trHeight w:val="307"/>
          <w:jc w:val="center"/>
        </w:trPr>
        <w:tc>
          <w:tcPr>
            <w:tcW w:w="1323" w:type="dxa"/>
            <w:vMerge/>
            <w:tcBorders>
              <w:bottom w:val="single" w:sz="4" w:space="0" w:color="auto"/>
            </w:tcBorders>
            <w:shd w:val="clear" w:color="auto" w:fill="E0E0E0"/>
            <w:vAlign w:val="center"/>
          </w:tcPr>
          <w:p w:rsidR="00F40E00" w:rsidRPr="00315335" w:rsidRDefault="00F40E00" w:rsidP="00916B06">
            <w:pPr>
              <w:tabs>
                <w:tab w:val="num" w:pos="0"/>
              </w:tabs>
              <w:spacing w:after="0" w:line="240" w:lineRule="auto"/>
              <w:jc w:val="both"/>
              <w:rPr>
                <w:rFonts w:ascii="Arial" w:hAnsi="Arial" w:cs="Arial"/>
                <w:b/>
              </w:rPr>
            </w:pPr>
          </w:p>
        </w:tc>
        <w:tc>
          <w:tcPr>
            <w:tcW w:w="2837" w:type="dxa"/>
            <w:vMerge/>
            <w:shd w:val="clear" w:color="auto" w:fill="E0E0E0"/>
            <w:vAlign w:val="center"/>
          </w:tcPr>
          <w:p w:rsidR="00F40E00" w:rsidRPr="00315335" w:rsidRDefault="00F40E00" w:rsidP="00916B06">
            <w:pPr>
              <w:tabs>
                <w:tab w:val="num" w:pos="0"/>
              </w:tabs>
              <w:spacing w:after="0" w:line="240" w:lineRule="auto"/>
              <w:jc w:val="both"/>
              <w:rPr>
                <w:rFonts w:ascii="Arial" w:hAnsi="Arial" w:cs="Arial"/>
                <w:b/>
              </w:rPr>
            </w:pPr>
          </w:p>
        </w:tc>
        <w:tc>
          <w:tcPr>
            <w:tcW w:w="850" w:type="dxa"/>
            <w:shd w:val="clear" w:color="auto" w:fill="E0E0E0"/>
            <w:vAlign w:val="center"/>
          </w:tcPr>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2014</w:t>
            </w:r>
          </w:p>
        </w:tc>
        <w:tc>
          <w:tcPr>
            <w:tcW w:w="937" w:type="dxa"/>
            <w:shd w:val="clear" w:color="auto" w:fill="E0E0E0"/>
            <w:vAlign w:val="center"/>
          </w:tcPr>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2015</w:t>
            </w:r>
          </w:p>
        </w:tc>
        <w:tc>
          <w:tcPr>
            <w:tcW w:w="992" w:type="dxa"/>
            <w:shd w:val="clear" w:color="auto" w:fill="E0E0E0"/>
            <w:vAlign w:val="center"/>
          </w:tcPr>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2016</w:t>
            </w:r>
          </w:p>
        </w:tc>
        <w:tc>
          <w:tcPr>
            <w:tcW w:w="992" w:type="dxa"/>
            <w:shd w:val="clear" w:color="auto" w:fill="E0E0E0"/>
            <w:vAlign w:val="center"/>
          </w:tcPr>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2017</w:t>
            </w:r>
          </w:p>
        </w:tc>
        <w:tc>
          <w:tcPr>
            <w:tcW w:w="984" w:type="dxa"/>
            <w:shd w:val="clear" w:color="auto" w:fill="E0E0E0"/>
            <w:vAlign w:val="center"/>
          </w:tcPr>
          <w:p w:rsidR="00F40E00" w:rsidRPr="00315335" w:rsidRDefault="00F40E00" w:rsidP="00916B06">
            <w:pPr>
              <w:tabs>
                <w:tab w:val="num" w:pos="0"/>
              </w:tabs>
              <w:spacing w:after="0" w:line="240" w:lineRule="auto"/>
              <w:jc w:val="center"/>
              <w:rPr>
                <w:rFonts w:ascii="Arial" w:hAnsi="Arial" w:cs="Arial"/>
                <w:b/>
              </w:rPr>
            </w:pPr>
            <w:r w:rsidRPr="00315335">
              <w:rPr>
                <w:rFonts w:ascii="Arial" w:hAnsi="Arial" w:cs="Arial"/>
                <w:b/>
              </w:rPr>
              <w:t>2018</w:t>
            </w:r>
          </w:p>
        </w:tc>
      </w:tr>
      <w:tr w:rsidR="00315335" w:rsidRPr="00315335" w:rsidTr="00916B06">
        <w:trPr>
          <w:trHeight w:val="307"/>
          <w:jc w:val="center"/>
        </w:trPr>
        <w:tc>
          <w:tcPr>
            <w:tcW w:w="1323" w:type="dxa"/>
            <w:vMerge w:val="restart"/>
            <w:shd w:val="clear" w:color="auto" w:fill="D9D9D9"/>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Brăila</w:t>
            </w: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Sediu APM</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4,24</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4,78</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3,28</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3,29</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3,14</w:t>
            </w:r>
          </w:p>
        </w:tc>
      </w:tr>
      <w:tr w:rsidR="00315335" w:rsidRPr="00315335" w:rsidTr="00916B06">
        <w:trPr>
          <w:trHeight w:val="307"/>
          <w:jc w:val="center"/>
        </w:trPr>
        <w:tc>
          <w:tcPr>
            <w:tcW w:w="132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Uzina de Apă</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6,23</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5,14</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8,28</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5,87</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5,20</w:t>
            </w:r>
          </w:p>
        </w:tc>
      </w:tr>
      <w:tr w:rsidR="00315335" w:rsidRPr="00315335" w:rsidTr="00916B06">
        <w:trPr>
          <w:trHeight w:val="307"/>
          <w:jc w:val="center"/>
        </w:trPr>
        <w:tc>
          <w:tcPr>
            <w:tcW w:w="132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Vărsătura</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16,39</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20,40</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10,79</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11,58</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13,33</w:t>
            </w:r>
          </w:p>
        </w:tc>
      </w:tr>
      <w:tr w:rsidR="00315335" w:rsidRPr="00315335" w:rsidTr="00916B06">
        <w:trPr>
          <w:trHeight w:val="307"/>
          <w:jc w:val="center"/>
        </w:trPr>
        <w:tc>
          <w:tcPr>
            <w:tcW w:w="132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Str.Gen.Gh.Avramescu</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6,61</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5,45</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7,68</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8,09</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5,17</w:t>
            </w:r>
          </w:p>
        </w:tc>
      </w:tr>
      <w:tr w:rsidR="00315335" w:rsidRPr="00315335" w:rsidTr="00916B06">
        <w:trPr>
          <w:trHeight w:val="307"/>
          <w:jc w:val="center"/>
        </w:trPr>
        <w:tc>
          <w:tcPr>
            <w:tcW w:w="132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Staţia Nord</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5,88</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4,46</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5,12</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5,33</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3,23</w:t>
            </w:r>
          </w:p>
        </w:tc>
      </w:tr>
      <w:tr w:rsidR="00315335" w:rsidRPr="00315335" w:rsidTr="00916B06">
        <w:trPr>
          <w:trHeight w:val="307"/>
          <w:jc w:val="center"/>
        </w:trPr>
        <w:tc>
          <w:tcPr>
            <w:tcW w:w="132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 xml:space="preserve">SC Hercules </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8,56</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8,77</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11,05</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6,60</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8,16</w:t>
            </w:r>
          </w:p>
        </w:tc>
      </w:tr>
      <w:tr w:rsidR="00315335" w:rsidRPr="00315335" w:rsidTr="00916B06">
        <w:trPr>
          <w:trHeight w:val="307"/>
          <w:jc w:val="center"/>
        </w:trPr>
        <w:tc>
          <w:tcPr>
            <w:tcW w:w="132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Termoelectrica Chiscani</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5,88</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4,99</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4,66</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3,98</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4,62</w:t>
            </w:r>
          </w:p>
        </w:tc>
      </w:tr>
      <w:tr w:rsidR="00315335" w:rsidRPr="00315335" w:rsidTr="00916B06">
        <w:trPr>
          <w:trHeight w:val="307"/>
          <w:jc w:val="center"/>
        </w:trPr>
        <w:tc>
          <w:tcPr>
            <w:tcW w:w="132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Str. Galați</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7,68</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6,94</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5,17</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7,27</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6,73</w:t>
            </w:r>
          </w:p>
        </w:tc>
      </w:tr>
      <w:tr w:rsidR="00315335" w:rsidRPr="00315335" w:rsidTr="00916B06">
        <w:trPr>
          <w:trHeight w:val="307"/>
          <w:jc w:val="center"/>
        </w:trPr>
        <w:tc>
          <w:tcPr>
            <w:tcW w:w="132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Cazasu</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4,07</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4,75</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6,93</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4,47</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3,86</w:t>
            </w:r>
          </w:p>
        </w:tc>
      </w:tr>
      <w:tr w:rsidR="00315335" w:rsidRPr="00315335" w:rsidTr="00916B06">
        <w:trPr>
          <w:trHeight w:val="307"/>
          <w:jc w:val="center"/>
        </w:trPr>
        <w:tc>
          <w:tcPr>
            <w:tcW w:w="1323" w:type="dxa"/>
            <w:vMerge/>
            <w:shd w:val="clear" w:color="auto" w:fill="D9D9D9"/>
            <w:vAlign w:val="center"/>
          </w:tcPr>
          <w:p w:rsidR="00F40E00" w:rsidRPr="00315335" w:rsidRDefault="00F40E00" w:rsidP="00916B06">
            <w:pPr>
              <w:spacing w:after="0" w:line="240" w:lineRule="auto"/>
              <w:jc w:val="both"/>
              <w:rPr>
                <w:rFonts w:ascii="Arial" w:hAnsi="Arial" w:cs="Arial"/>
                <w:b/>
              </w:rPr>
            </w:pPr>
          </w:p>
        </w:tc>
        <w:tc>
          <w:tcPr>
            <w:tcW w:w="2837" w:type="dxa"/>
            <w:vAlign w:val="center"/>
          </w:tcPr>
          <w:p w:rsidR="00F40E00" w:rsidRPr="00315335" w:rsidRDefault="00F40E00" w:rsidP="00916B06">
            <w:pPr>
              <w:tabs>
                <w:tab w:val="num" w:pos="0"/>
              </w:tabs>
              <w:spacing w:after="0" w:line="240" w:lineRule="auto"/>
              <w:jc w:val="both"/>
              <w:rPr>
                <w:rFonts w:ascii="Arial" w:hAnsi="Arial" w:cs="Arial"/>
              </w:rPr>
            </w:pPr>
            <w:r w:rsidRPr="00315335">
              <w:rPr>
                <w:rFonts w:ascii="Arial" w:hAnsi="Arial" w:cs="Arial"/>
              </w:rPr>
              <w:t>PrimăriaBrăila</w:t>
            </w:r>
          </w:p>
        </w:tc>
        <w:tc>
          <w:tcPr>
            <w:tcW w:w="850"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10,07</w:t>
            </w:r>
          </w:p>
        </w:tc>
        <w:tc>
          <w:tcPr>
            <w:tcW w:w="937"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7,31</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7,45</w:t>
            </w:r>
          </w:p>
        </w:tc>
        <w:tc>
          <w:tcPr>
            <w:tcW w:w="992"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5,42</w:t>
            </w:r>
          </w:p>
        </w:tc>
        <w:tc>
          <w:tcPr>
            <w:tcW w:w="984" w:type="dxa"/>
          </w:tcPr>
          <w:p w:rsidR="00F40E00" w:rsidRPr="00315335" w:rsidRDefault="00F40E00" w:rsidP="00916B06">
            <w:pPr>
              <w:tabs>
                <w:tab w:val="num" w:pos="0"/>
              </w:tabs>
              <w:spacing w:after="0" w:line="240" w:lineRule="auto"/>
              <w:jc w:val="center"/>
              <w:rPr>
                <w:rFonts w:ascii="Arial" w:hAnsi="Arial" w:cs="Arial"/>
              </w:rPr>
            </w:pPr>
            <w:r w:rsidRPr="00315335">
              <w:rPr>
                <w:rFonts w:ascii="Arial" w:hAnsi="Arial" w:cs="Arial"/>
              </w:rPr>
              <w:t>5,22</w:t>
            </w:r>
          </w:p>
        </w:tc>
      </w:tr>
      <w:tr w:rsidR="00315335" w:rsidRPr="00315335" w:rsidTr="00916B06">
        <w:trPr>
          <w:trHeight w:val="307"/>
          <w:jc w:val="center"/>
        </w:trPr>
        <w:tc>
          <w:tcPr>
            <w:tcW w:w="8915" w:type="dxa"/>
            <w:gridSpan w:val="7"/>
            <w:shd w:val="clear" w:color="auto" w:fill="D9D9D9"/>
            <w:vAlign w:val="center"/>
          </w:tcPr>
          <w:p w:rsidR="00F40E00" w:rsidRPr="00315335" w:rsidRDefault="00F40E00" w:rsidP="00916B06">
            <w:pPr>
              <w:tabs>
                <w:tab w:val="num" w:pos="0"/>
              </w:tabs>
              <w:spacing w:after="0" w:line="240" w:lineRule="auto"/>
              <w:jc w:val="both"/>
              <w:rPr>
                <w:rFonts w:ascii="Arial" w:hAnsi="Arial" w:cs="Arial"/>
                <w:b/>
              </w:rPr>
            </w:pPr>
            <w:r w:rsidRPr="00315335">
              <w:rPr>
                <w:rFonts w:ascii="Arial" w:hAnsi="Arial" w:cs="Arial"/>
                <w:b/>
              </w:rPr>
              <w:t>CMA =  17g/mp/luna</w:t>
            </w:r>
          </w:p>
        </w:tc>
      </w:tr>
    </w:tbl>
    <w:p w:rsidR="00F40E00" w:rsidRPr="00315335" w:rsidRDefault="00F40E00" w:rsidP="00F40E00">
      <w:pPr>
        <w:spacing w:after="0" w:line="240" w:lineRule="auto"/>
        <w:jc w:val="both"/>
        <w:rPr>
          <w:rFonts w:ascii="Arial" w:hAnsi="Arial" w:cs="Arial"/>
          <w:sz w:val="24"/>
          <w:szCs w:val="24"/>
        </w:rPr>
      </w:pP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ab/>
        <w:t xml:space="preserve">Tendința mediei în ultimii trei ani, la acest indicator, este în scădere în </w:t>
      </w:r>
      <w:r w:rsidR="00960B03">
        <w:rPr>
          <w:rFonts w:ascii="Arial" w:hAnsi="Arial" w:cs="Arial"/>
          <w:sz w:val="24"/>
          <w:szCs w:val="24"/>
        </w:rPr>
        <w:t>7</w:t>
      </w:r>
      <w:r w:rsidRPr="00315335">
        <w:rPr>
          <w:rFonts w:ascii="Arial" w:hAnsi="Arial" w:cs="Arial"/>
          <w:sz w:val="24"/>
          <w:szCs w:val="24"/>
        </w:rPr>
        <w:t xml:space="preserve"> puncte de prelevare, ușoară creștere în</w:t>
      </w:r>
      <w:r w:rsidR="00960B03">
        <w:rPr>
          <w:rFonts w:ascii="Arial" w:hAnsi="Arial" w:cs="Arial"/>
          <w:sz w:val="24"/>
          <w:szCs w:val="24"/>
        </w:rPr>
        <w:t xml:space="preserve"> 3</w:t>
      </w:r>
      <w:r w:rsidRPr="00315335">
        <w:rPr>
          <w:rFonts w:ascii="Arial" w:hAnsi="Arial" w:cs="Arial"/>
          <w:sz w:val="24"/>
          <w:szCs w:val="24"/>
        </w:rPr>
        <w:t xml:space="preserve"> puncte</w:t>
      </w:r>
      <w:r w:rsidR="00960B03">
        <w:rPr>
          <w:rFonts w:ascii="Arial" w:hAnsi="Arial" w:cs="Arial"/>
          <w:sz w:val="24"/>
          <w:szCs w:val="24"/>
        </w:rPr>
        <w:t>.</w:t>
      </w:r>
    </w:p>
    <w:p w:rsidR="00F40E00" w:rsidRPr="00315335" w:rsidRDefault="00F40E00" w:rsidP="00F40E00">
      <w:pPr>
        <w:tabs>
          <w:tab w:val="left" w:leader="dot" w:pos="9356"/>
        </w:tabs>
        <w:spacing w:after="0" w:line="240" w:lineRule="auto"/>
        <w:rPr>
          <w:rFonts w:ascii="Arial" w:hAnsi="Arial" w:cs="Arial"/>
          <w:b/>
          <w:i/>
          <w:sz w:val="24"/>
          <w:szCs w:val="24"/>
        </w:rPr>
      </w:pPr>
    </w:p>
    <w:p w:rsidR="00F40E00" w:rsidRPr="00315335" w:rsidRDefault="00F40E00" w:rsidP="00F40E00">
      <w:pPr>
        <w:tabs>
          <w:tab w:val="left" w:leader="dot" w:pos="9356"/>
        </w:tabs>
        <w:spacing w:after="0" w:line="240" w:lineRule="auto"/>
        <w:rPr>
          <w:rFonts w:ascii="Arial" w:hAnsi="Arial" w:cs="Arial"/>
          <w:b/>
          <w:i/>
          <w:sz w:val="24"/>
          <w:szCs w:val="24"/>
        </w:rPr>
      </w:pPr>
    </w:p>
    <w:p w:rsidR="00F40E00" w:rsidRPr="00315335" w:rsidRDefault="00F40E00" w:rsidP="00F40E00">
      <w:pPr>
        <w:ind w:firstLine="720"/>
        <w:jc w:val="both"/>
        <w:rPr>
          <w:rFonts w:ascii="Arial" w:hAnsi="Arial" w:cs="Arial"/>
        </w:rPr>
      </w:pPr>
      <w:r w:rsidRPr="00315335">
        <w:rPr>
          <w:rFonts w:ascii="Arial" w:hAnsi="Arial" w:cs="Arial"/>
          <w:b/>
          <w:sz w:val="24"/>
          <w:szCs w:val="24"/>
        </w:rPr>
        <w:t>I.1.1.2.9. Calitatea precipitaţiilor atmosferice</w:t>
      </w:r>
    </w:p>
    <w:p w:rsidR="00F40E00" w:rsidRPr="00315335" w:rsidRDefault="00F40E00" w:rsidP="00F40E00">
      <w:pPr>
        <w:pStyle w:val="Corptext2"/>
        <w:spacing w:after="0" w:line="240" w:lineRule="auto"/>
        <w:ind w:firstLine="720"/>
        <w:jc w:val="right"/>
        <w:rPr>
          <w:rFonts w:ascii="Arial" w:hAnsi="Arial" w:cs="Arial"/>
        </w:rPr>
      </w:pPr>
    </w:p>
    <w:p w:rsidR="00F40E00" w:rsidRPr="00315335" w:rsidRDefault="00F40E00" w:rsidP="00F40E00">
      <w:pPr>
        <w:pStyle w:val="Corptext2"/>
        <w:spacing w:after="0" w:line="240" w:lineRule="auto"/>
        <w:ind w:firstLine="720"/>
        <w:jc w:val="center"/>
        <w:rPr>
          <w:rFonts w:ascii="Arial" w:hAnsi="Arial" w:cs="Arial"/>
        </w:rPr>
      </w:pPr>
      <w:r w:rsidRPr="00315335">
        <w:rPr>
          <w:rFonts w:ascii="Arial" w:hAnsi="Arial" w:cs="Arial"/>
          <w:noProof/>
          <w:lang w:val="ro-RO" w:eastAsia="ro-RO"/>
        </w:rPr>
        <w:lastRenderedPageBreak/>
        <w:drawing>
          <wp:inline distT="0" distB="0" distL="0" distR="0" wp14:anchorId="0838021A" wp14:editId="67B56547">
            <wp:extent cx="3633746" cy="2814762"/>
            <wp:effectExtent l="0" t="0" r="0" b="0"/>
            <wp:docPr id="49" name="Diagramă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0E00" w:rsidRPr="00315335" w:rsidRDefault="00F40E00" w:rsidP="00F40E00">
      <w:pPr>
        <w:pStyle w:val="Corptext2"/>
        <w:tabs>
          <w:tab w:val="center" w:pos="5171"/>
        </w:tabs>
        <w:spacing w:after="0" w:line="240" w:lineRule="auto"/>
        <w:ind w:left="420"/>
        <w:rPr>
          <w:rFonts w:ascii="Arial" w:hAnsi="Arial" w:cs="Arial"/>
          <w:lang w:val="ro-RO"/>
        </w:rPr>
      </w:pPr>
      <w:r w:rsidRPr="00315335">
        <w:rPr>
          <w:rFonts w:ascii="Arial" w:hAnsi="Arial" w:cs="Arial"/>
          <w:b/>
          <w:lang w:val="pt-BR"/>
        </w:rPr>
        <w:t xml:space="preserve">Fig. nr. </w:t>
      </w:r>
      <w:r w:rsidRPr="00315335">
        <w:rPr>
          <w:rFonts w:ascii="Arial" w:hAnsi="Arial" w:cs="Arial"/>
          <w:b/>
          <w:lang w:val="ro-RO"/>
        </w:rPr>
        <w:t>I.1.1.2.9.</w:t>
      </w:r>
      <w:r w:rsidRPr="00315335">
        <w:rPr>
          <w:rFonts w:ascii="Arial" w:hAnsi="Arial" w:cs="Arial"/>
          <w:lang w:val="ro-RO"/>
        </w:rPr>
        <w:t xml:space="preserve"> Evoluţia anuală a calităţii precipitaţiilor - municipiul Brăila 2014-2018</w:t>
      </w:r>
    </w:p>
    <w:p w:rsidR="00F40E00" w:rsidRPr="00315335" w:rsidRDefault="00F40E00" w:rsidP="00F40E00">
      <w:pPr>
        <w:pStyle w:val="Corptext2"/>
        <w:spacing w:after="0" w:line="240" w:lineRule="auto"/>
        <w:ind w:firstLine="720"/>
        <w:jc w:val="right"/>
        <w:rPr>
          <w:rFonts w:ascii="Arial" w:hAnsi="Arial" w:cs="Arial"/>
        </w:rPr>
      </w:pPr>
    </w:p>
    <w:p w:rsidR="00F40E00" w:rsidRPr="00315335" w:rsidRDefault="00F40E00" w:rsidP="00F40E00">
      <w:pPr>
        <w:pStyle w:val="Corptext2"/>
        <w:spacing w:after="0" w:line="240" w:lineRule="auto"/>
        <w:ind w:firstLine="720"/>
        <w:rPr>
          <w:rFonts w:ascii="Arial" w:hAnsi="Arial" w:cs="Arial"/>
        </w:rPr>
      </w:pPr>
    </w:p>
    <w:p w:rsidR="00F40E00" w:rsidRPr="00315335" w:rsidRDefault="00F40E00" w:rsidP="00F40E00">
      <w:pPr>
        <w:pStyle w:val="Corptext2"/>
        <w:spacing w:after="0" w:line="240" w:lineRule="auto"/>
        <w:ind w:firstLine="720"/>
        <w:rPr>
          <w:rFonts w:ascii="Arial" w:hAnsi="Arial" w:cs="Arial"/>
          <w:b/>
          <w:lang w:val="ro-RO"/>
        </w:rPr>
      </w:pPr>
      <w:r w:rsidRPr="00315335">
        <w:rPr>
          <w:rFonts w:ascii="Arial" w:hAnsi="Arial" w:cs="Arial"/>
          <w:b/>
        </w:rPr>
        <w:t xml:space="preserve">    Tabel </w:t>
      </w:r>
      <w:r w:rsidRPr="00315335">
        <w:rPr>
          <w:rFonts w:ascii="Arial" w:eastAsia="Times New Roman" w:hAnsi="Arial" w:cs="Arial"/>
          <w:b/>
          <w:iCs/>
          <w:lang w:eastAsia="ro-RO"/>
        </w:rPr>
        <w:t>I.1.1.2.9.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66"/>
        <w:gridCol w:w="1011"/>
        <w:gridCol w:w="1010"/>
        <w:gridCol w:w="1011"/>
        <w:gridCol w:w="1010"/>
        <w:gridCol w:w="1010"/>
      </w:tblGrid>
      <w:tr w:rsidR="00F40E00" w:rsidRPr="00315335" w:rsidTr="00916B06">
        <w:trPr>
          <w:trHeight w:val="247"/>
          <w:jc w:val="center"/>
        </w:trPr>
        <w:tc>
          <w:tcPr>
            <w:tcW w:w="2666" w:type="dxa"/>
          </w:tcPr>
          <w:p w:rsidR="00F40E00" w:rsidRPr="00315335" w:rsidRDefault="00F40E00" w:rsidP="00916B06">
            <w:pPr>
              <w:autoSpaceDE w:val="0"/>
              <w:autoSpaceDN w:val="0"/>
              <w:adjustRightInd w:val="0"/>
              <w:spacing w:after="0" w:line="240" w:lineRule="auto"/>
              <w:jc w:val="center"/>
              <w:rPr>
                <w:rFonts w:ascii="Arial" w:hAnsi="Arial" w:cs="Arial"/>
                <w:b/>
                <w:sz w:val="20"/>
                <w:szCs w:val="20"/>
              </w:rPr>
            </w:pPr>
            <w:r w:rsidRPr="00315335">
              <w:rPr>
                <w:rFonts w:ascii="Arial" w:hAnsi="Arial" w:cs="Arial"/>
                <w:b/>
                <w:sz w:val="20"/>
                <w:szCs w:val="20"/>
              </w:rPr>
              <w:t>Precipitatii - Evolutie pH</w:t>
            </w:r>
          </w:p>
        </w:tc>
        <w:tc>
          <w:tcPr>
            <w:tcW w:w="1011" w:type="dxa"/>
          </w:tcPr>
          <w:p w:rsidR="00F40E00" w:rsidRPr="00315335" w:rsidRDefault="00F40E00" w:rsidP="00916B06">
            <w:pPr>
              <w:autoSpaceDE w:val="0"/>
              <w:autoSpaceDN w:val="0"/>
              <w:adjustRightInd w:val="0"/>
              <w:spacing w:after="0" w:line="240" w:lineRule="auto"/>
              <w:jc w:val="right"/>
              <w:rPr>
                <w:rFonts w:ascii="Arial" w:hAnsi="Arial" w:cs="Arial"/>
                <w:b/>
                <w:sz w:val="20"/>
                <w:szCs w:val="20"/>
              </w:rPr>
            </w:pPr>
            <w:r w:rsidRPr="00315335">
              <w:rPr>
                <w:rFonts w:ascii="Arial" w:hAnsi="Arial" w:cs="Arial"/>
                <w:b/>
                <w:sz w:val="20"/>
                <w:szCs w:val="20"/>
              </w:rPr>
              <w:t>2014</w:t>
            </w:r>
          </w:p>
        </w:tc>
        <w:tc>
          <w:tcPr>
            <w:tcW w:w="1010" w:type="dxa"/>
          </w:tcPr>
          <w:p w:rsidR="00F40E00" w:rsidRPr="00315335" w:rsidRDefault="00F40E00" w:rsidP="00916B06">
            <w:pPr>
              <w:autoSpaceDE w:val="0"/>
              <w:autoSpaceDN w:val="0"/>
              <w:adjustRightInd w:val="0"/>
              <w:spacing w:after="0" w:line="240" w:lineRule="auto"/>
              <w:jc w:val="right"/>
              <w:rPr>
                <w:rFonts w:ascii="Arial" w:hAnsi="Arial" w:cs="Arial"/>
                <w:b/>
                <w:sz w:val="20"/>
                <w:szCs w:val="20"/>
              </w:rPr>
            </w:pPr>
            <w:r w:rsidRPr="00315335">
              <w:rPr>
                <w:rFonts w:ascii="Arial" w:hAnsi="Arial" w:cs="Arial"/>
                <w:b/>
                <w:sz w:val="20"/>
                <w:szCs w:val="20"/>
              </w:rPr>
              <w:t>2015</w:t>
            </w:r>
          </w:p>
        </w:tc>
        <w:tc>
          <w:tcPr>
            <w:tcW w:w="1011" w:type="dxa"/>
          </w:tcPr>
          <w:p w:rsidR="00F40E00" w:rsidRPr="00315335" w:rsidRDefault="00F40E00" w:rsidP="00916B06">
            <w:pPr>
              <w:autoSpaceDE w:val="0"/>
              <w:autoSpaceDN w:val="0"/>
              <w:adjustRightInd w:val="0"/>
              <w:spacing w:after="0" w:line="240" w:lineRule="auto"/>
              <w:jc w:val="right"/>
              <w:rPr>
                <w:rFonts w:ascii="Arial" w:hAnsi="Arial" w:cs="Arial"/>
                <w:b/>
                <w:sz w:val="20"/>
                <w:szCs w:val="20"/>
              </w:rPr>
            </w:pPr>
            <w:r w:rsidRPr="00315335">
              <w:rPr>
                <w:rFonts w:ascii="Arial" w:hAnsi="Arial" w:cs="Arial"/>
                <w:b/>
                <w:sz w:val="20"/>
                <w:szCs w:val="20"/>
              </w:rPr>
              <w:t>2016</w:t>
            </w:r>
          </w:p>
        </w:tc>
        <w:tc>
          <w:tcPr>
            <w:tcW w:w="1010" w:type="dxa"/>
          </w:tcPr>
          <w:p w:rsidR="00F40E00" w:rsidRPr="00315335" w:rsidRDefault="00F40E00" w:rsidP="00916B06">
            <w:pPr>
              <w:autoSpaceDE w:val="0"/>
              <w:autoSpaceDN w:val="0"/>
              <w:adjustRightInd w:val="0"/>
              <w:spacing w:after="0" w:line="240" w:lineRule="auto"/>
              <w:jc w:val="right"/>
              <w:rPr>
                <w:rFonts w:ascii="Arial" w:hAnsi="Arial" w:cs="Arial"/>
                <w:b/>
                <w:sz w:val="20"/>
                <w:szCs w:val="20"/>
              </w:rPr>
            </w:pPr>
            <w:r w:rsidRPr="00315335">
              <w:rPr>
                <w:rFonts w:ascii="Arial" w:hAnsi="Arial" w:cs="Arial"/>
                <w:b/>
                <w:sz w:val="20"/>
                <w:szCs w:val="20"/>
              </w:rPr>
              <w:t>2017</w:t>
            </w:r>
          </w:p>
        </w:tc>
        <w:tc>
          <w:tcPr>
            <w:tcW w:w="1010" w:type="dxa"/>
          </w:tcPr>
          <w:p w:rsidR="00F40E00" w:rsidRPr="00315335" w:rsidRDefault="00F40E00" w:rsidP="00916B06">
            <w:pPr>
              <w:autoSpaceDE w:val="0"/>
              <w:autoSpaceDN w:val="0"/>
              <w:adjustRightInd w:val="0"/>
              <w:spacing w:after="0" w:line="240" w:lineRule="auto"/>
              <w:jc w:val="right"/>
              <w:rPr>
                <w:rFonts w:ascii="Arial" w:hAnsi="Arial" w:cs="Arial"/>
                <w:b/>
                <w:sz w:val="20"/>
                <w:szCs w:val="20"/>
              </w:rPr>
            </w:pPr>
            <w:r w:rsidRPr="00315335">
              <w:rPr>
                <w:rFonts w:ascii="Arial" w:hAnsi="Arial" w:cs="Arial"/>
                <w:b/>
                <w:sz w:val="20"/>
                <w:szCs w:val="20"/>
              </w:rPr>
              <w:t>2018</w:t>
            </w:r>
          </w:p>
        </w:tc>
      </w:tr>
      <w:tr w:rsidR="00F40E00" w:rsidRPr="00315335" w:rsidTr="00916B06">
        <w:trPr>
          <w:trHeight w:val="247"/>
          <w:jc w:val="center"/>
        </w:trPr>
        <w:tc>
          <w:tcPr>
            <w:tcW w:w="2666" w:type="dxa"/>
          </w:tcPr>
          <w:p w:rsidR="00F40E00" w:rsidRPr="00315335" w:rsidRDefault="00F40E00" w:rsidP="00916B06">
            <w:pPr>
              <w:autoSpaceDE w:val="0"/>
              <w:autoSpaceDN w:val="0"/>
              <w:adjustRightInd w:val="0"/>
              <w:spacing w:after="0" w:line="240" w:lineRule="auto"/>
              <w:rPr>
                <w:rFonts w:ascii="Arial" w:hAnsi="Arial" w:cs="Arial"/>
                <w:sz w:val="20"/>
                <w:szCs w:val="20"/>
              </w:rPr>
            </w:pPr>
            <w:r w:rsidRPr="00315335">
              <w:rPr>
                <w:rFonts w:ascii="Arial" w:hAnsi="Arial" w:cs="Arial"/>
                <w:sz w:val="20"/>
                <w:szCs w:val="20"/>
              </w:rPr>
              <w:t>pH - valoarea medie anuală</w:t>
            </w:r>
          </w:p>
        </w:tc>
        <w:tc>
          <w:tcPr>
            <w:tcW w:w="1011"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6,9</w:t>
            </w:r>
          </w:p>
        </w:tc>
        <w:tc>
          <w:tcPr>
            <w:tcW w:w="1010"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6,92</w:t>
            </w:r>
          </w:p>
        </w:tc>
        <w:tc>
          <w:tcPr>
            <w:tcW w:w="1011"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6,3</w:t>
            </w:r>
          </w:p>
        </w:tc>
        <w:tc>
          <w:tcPr>
            <w:tcW w:w="1010"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7,32</w:t>
            </w:r>
          </w:p>
        </w:tc>
        <w:tc>
          <w:tcPr>
            <w:tcW w:w="1010"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7,30</w:t>
            </w:r>
          </w:p>
        </w:tc>
      </w:tr>
      <w:tr w:rsidR="00F40E00" w:rsidRPr="00315335" w:rsidTr="00916B06">
        <w:trPr>
          <w:trHeight w:val="247"/>
          <w:jc w:val="center"/>
        </w:trPr>
        <w:tc>
          <w:tcPr>
            <w:tcW w:w="2666" w:type="dxa"/>
          </w:tcPr>
          <w:p w:rsidR="00F40E00" w:rsidRPr="00315335" w:rsidRDefault="00F40E00" w:rsidP="00916B06">
            <w:pPr>
              <w:autoSpaceDE w:val="0"/>
              <w:autoSpaceDN w:val="0"/>
              <w:adjustRightInd w:val="0"/>
              <w:spacing w:after="0" w:line="240" w:lineRule="auto"/>
              <w:rPr>
                <w:rFonts w:ascii="Arial" w:hAnsi="Arial" w:cs="Arial"/>
                <w:sz w:val="20"/>
                <w:szCs w:val="20"/>
              </w:rPr>
            </w:pPr>
            <w:r w:rsidRPr="00315335">
              <w:rPr>
                <w:rFonts w:ascii="Arial" w:hAnsi="Arial" w:cs="Arial"/>
                <w:sz w:val="20"/>
                <w:szCs w:val="20"/>
              </w:rPr>
              <w:t>pH - valoarea minimă</w:t>
            </w:r>
          </w:p>
        </w:tc>
        <w:tc>
          <w:tcPr>
            <w:tcW w:w="1011"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6,15</w:t>
            </w:r>
          </w:p>
        </w:tc>
        <w:tc>
          <w:tcPr>
            <w:tcW w:w="1010"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6,6</w:t>
            </w:r>
          </w:p>
        </w:tc>
        <w:tc>
          <w:tcPr>
            <w:tcW w:w="1011"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6,05</w:t>
            </w:r>
          </w:p>
        </w:tc>
        <w:tc>
          <w:tcPr>
            <w:tcW w:w="1010"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6,19</w:t>
            </w:r>
          </w:p>
        </w:tc>
        <w:tc>
          <w:tcPr>
            <w:tcW w:w="1010" w:type="dxa"/>
          </w:tcPr>
          <w:p w:rsidR="00F40E00" w:rsidRPr="00315335" w:rsidRDefault="00F40E00" w:rsidP="00916B06">
            <w:pPr>
              <w:autoSpaceDE w:val="0"/>
              <w:autoSpaceDN w:val="0"/>
              <w:adjustRightInd w:val="0"/>
              <w:spacing w:after="0" w:line="240" w:lineRule="auto"/>
              <w:jc w:val="right"/>
              <w:rPr>
                <w:rFonts w:ascii="Arial" w:hAnsi="Arial" w:cs="Arial"/>
                <w:sz w:val="20"/>
                <w:szCs w:val="20"/>
              </w:rPr>
            </w:pPr>
            <w:r w:rsidRPr="00315335">
              <w:rPr>
                <w:rFonts w:ascii="Arial" w:hAnsi="Arial" w:cs="Arial"/>
                <w:sz w:val="20"/>
                <w:szCs w:val="20"/>
              </w:rPr>
              <w:t>6,51</w:t>
            </w:r>
          </w:p>
        </w:tc>
      </w:tr>
    </w:tbl>
    <w:p w:rsidR="00F40E00" w:rsidRPr="00315335" w:rsidRDefault="00F40E00" w:rsidP="00F40E00">
      <w:pPr>
        <w:pStyle w:val="Corptext2"/>
        <w:spacing w:after="0" w:line="240" w:lineRule="auto"/>
        <w:ind w:firstLine="720"/>
        <w:jc w:val="center"/>
        <w:rPr>
          <w:rFonts w:ascii="Arial" w:hAnsi="Arial" w:cs="Arial"/>
          <w:lang w:val="ro-RO"/>
        </w:rPr>
      </w:pPr>
    </w:p>
    <w:p w:rsidR="00F40E00" w:rsidRPr="00315335" w:rsidRDefault="00F40E00" w:rsidP="00F40E00">
      <w:pPr>
        <w:pStyle w:val="Corptext2"/>
        <w:spacing w:after="0" w:line="240" w:lineRule="auto"/>
        <w:ind w:firstLine="720"/>
        <w:jc w:val="both"/>
        <w:rPr>
          <w:rFonts w:ascii="Arial" w:hAnsi="Arial" w:cs="Arial"/>
          <w:lang w:val="ro-RO"/>
        </w:rPr>
      </w:pPr>
      <w:r w:rsidRPr="00315335">
        <w:rPr>
          <w:rFonts w:ascii="Arial" w:hAnsi="Arial" w:cs="Arial"/>
          <w:lang w:val="ro-RO"/>
        </w:rPr>
        <w:t xml:space="preserve">Graficul reprezintă situaţia comparativă a valorii medii şi minime a pH-ului în anul 2018, şi în perioada 2014 - 2018.  </w:t>
      </w:r>
    </w:p>
    <w:p w:rsidR="00F40E00" w:rsidRPr="00315335" w:rsidRDefault="00F40E00" w:rsidP="00F40E00">
      <w:pPr>
        <w:pStyle w:val="Corptext2"/>
        <w:spacing w:after="0" w:line="240" w:lineRule="auto"/>
        <w:ind w:firstLine="720"/>
        <w:jc w:val="both"/>
        <w:rPr>
          <w:rFonts w:ascii="Arial" w:hAnsi="Arial" w:cs="Arial"/>
          <w:lang w:val="ro-RO"/>
        </w:rPr>
      </w:pPr>
    </w:p>
    <w:p w:rsidR="00F40E00" w:rsidRPr="00315335" w:rsidRDefault="00F40E00" w:rsidP="00F40E00">
      <w:pPr>
        <w:spacing w:after="0" w:line="240" w:lineRule="auto"/>
        <w:ind w:firstLine="708"/>
        <w:jc w:val="both"/>
        <w:rPr>
          <w:rFonts w:ascii="Arial" w:hAnsi="Arial" w:cs="Arial"/>
          <w:b/>
          <w:sz w:val="24"/>
          <w:szCs w:val="24"/>
        </w:rPr>
      </w:pPr>
      <w:r w:rsidRPr="00315335">
        <w:rPr>
          <w:rFonts w:ascii="Arial" w:hAnsi="Arial" w:cs="Arial"/>
          <w:b/>
          <w:sz w:val="24"/>
          <w:szCs w:val="24"/>
        </w:rPr>
        <w:t>I.1.1.3. Depășiri ale valorilor limită și valorilor țintă privind calitatea aerului înconjurător în zonele urbane</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b/>
          <w:sz w:val="24"/>
          <w:szCs w:val="24"/>
        </w:rPr>
        <w:tab/>
      </w:r>
      <w:r w:rsidRPr="00315335">
        <w:rPr>
          <w:rFonts w:ascii="Arial" w:hAnsi="Arial" w:cs="Arial"/>
          <w:sz w:val="24"/>
          <w:szCs w:val="24"/>
        </w:rPr>
        <w:t xml:space="preserve">În anul </w:t>
      </w:r>
      <w:r w:rsidRPr="00315335">
        <w:rPr>
          <w:rFonts w:ascii="Arial" w:hAnsi="Arial" w:cs="Arial"/>
          <w:b/>
        </w:rPr>
        <w:t>2018</w:t>
      </w:r>
      <w:r w:rsidRPr="00315335">
        <w:rPr>
          <w:rFonts w:ascii="Arial" w:hAnsi="Arial" w:cs="Arial"/>
          <w:b/>
          <w:sz w:val="24"/>
          <w:szCs w:val="24"/>
        </w:rPr>
        <w:t xml:space="preserve"> nu s-au depăşit valorile limită/ţintă pentru protecţia sănătăţii umane</w:t>
      </w:r>
      <w:r w:rsidRPr="00315335">
        <w:rPr>
          <w:rFonts w:ascii="Arial" w:hAnsi="Arial" w:cs="Arial"/>
          <w:sz w:val="24"/>
          <w:szCs w:val="24"/>
        </w:rPr>
        <w:t xml:space="preserve"> (aşa cum sunt acestea reglementate prin Legea nr. 104/2011).</w:t>
      </w:r>
    </w:p>
    <w:p w:rsidR="00F40E00" w:rsidRPr="00315335" w:rsidRDefault="00F40E00" w:rsidP="00F40E00">
      <w:pPr>
        <w:tabs>
          <w:tab w:val="left" w:leader="dot" w:pos="9356"/>
        </w:tabs>
        <w:spacing w:after="0" w:line="240" w:lineRule="auto"/>
        <w:rPr>
          <w:rFonts w:ascii="Arial" w:hAnsi="Arial" w:cs="Arial"/>
          <w:b/>
          <w:sz w:val="24"/>
          <w:szCs w:val="24"/>
        </w:rPr>
      </w:pPr>
    </w:p>
    <w:p w:rsidR="00F40E00" w:rsidRPr="00315335" w:rsidRDefault="00F40E00" w:rsidP="00F40E00">
      <w:pPr>
        <w:tabs>
          <w:tab w:val="num" w:pos="0"/>
        </w:tabs>
        <w:spacing w:after="0" w:line="240" w:lineRule="auto"/>
        <w:jc w:val="both"/>
        <w:rPr>
          <w:rFonts w:ascii="Arial" w:hAnsi="Arial" w:cs="Arial"/>
          <w:b/>
          <w:sz w:val="24"/>
          <w:szCs w:val="24"/>
        </w:rPr>
      </w:pPr>
      <w:r w:rsidRPr="00315335">
        <w:rPr>
          <w:rFonts w:ascii="Arial" w:hAnsi="Arial" w:cs="Arial"/>
          <w:b/>
          <w:sz w:val="24"/>
          <w:szCs w:val="24"/>
        </w:rPr>
        <w:t xml:space="preserve">  I.1.2.Efectele poluării aerului înconjurător</w:t>
      </w:r>
    </w:p>
    <w:p w:rsidR="00F40E00" w:rsidRPr="00315335" w:rsidRDefault="00F40E00" w:rsidP="00F40E00">
      <w:pPr>
        <w:tabs>
          <w:tab w:val="left" w:leader="dot" w:pos="9356"/>
        </w:tabs>
        <w:spacing w:after="0" w:line="240" w:lineRule="auto"/>
        <w:rPr>
          <w:rFonts w:ascii="Arial" w:hAnsi="Arial" w:cs="Arial"/>
          <w:b/>
          <w:sz w:val="24"/>
          <w:szCs w:val="24"/>
        </w:rPr>
      </w:pPr>
      <w:r w:rsidRPr="00315335">
        <w:rPr>
          <w:rFonts w:ascii="Arial" w:hAnsi="Arial" w:cs="Arial"/>
          <w:b/>
          <w:sz w:val="24"/>
          <w:szCs w:val="24"/>
        </w:rPr>
        <w:t xml:space="preserve">       I.1.2.1. Efectele poluării aerului înconjurător asupra sănătății</w:t>
      </w:r>
    </w:p>
    <w:p w:rsidR="00F40E00" w:rsidRPr="00315335" w:rsidRDefault="00F40E00" w:rsidP="00F40E00">
      <w:pPr>
        <w:autoSpaceDE w:val="0"/>
        <w:autoSpaceDN w:val="0"/>
        <w:adjustRightInd w:val="0"/>
        <w:spacing w:after="0" w:line="240" w:lineRule="auto"/>
        <w:jc w:val="both"/>
        <w:rPr>
          <w:rFonts w:ascii="Arial" w:eastAsia="Calibri" w:hAnsi="Arial" w:cs="Arial"/>
          <w:sz w:val="24"/>
          <w:szCs w:val="24"/>
        </w:rPr>
      </w:pPr>
      <w:r w:rsidRPr="00315335">
        <w:rPr>
          <w:rFonts w:ascii="Arial" w:eastAsia="Calibri" w:hAnsi="Arial" w:cs="Arial"/>
          <w:sz w:val="24"/>
          <w:szCs w:val="24"/>
        </w:rPr>
        <w:t xml:space="preserve">  Din punct de vedere al efectului asupra organismului uman, poluanţii din aer se pot clasifica în: </w:t>
      </w:r>
    </w:p>
    <w:p w:rsidR="00F40E00" w:rsidRPr="00315335" w:rsidRDefault="00F40E00" w:rsidP="00F40E00">
      <w:pPr>
        <w:pStyle w:val="Listparagraf"/>
        <w:numPr>
          <w:ilvl w:val="0"/>
          <w:numId w:val="8"/>
        </w:numPr>
        <w:autoSpaceDE w:val="0"/>
        <w:autoSpaceDN w:val="0"/>
        <w:adjustRightInd w:val="0"/>
        <w:ind w:left="709" w:hanging="283"/>
        <w:jc w:val="both"/>
        <w:rPr>
          <w:rFonts w:ascii="Arial" w:hAnsi="Arial" w:cs="Arial"/>
        </w:rPr>
      </w:pPr>
      <w:r w:rsidRPr="00315335">
        <w:rPr>
          <w:rFonts w:ascii="Arial" w:hAnsi="Arial" w:cs="Arial"/>
        </w:rPr>
        <w:t>Poluanţi iritanţi: pulberi netoxice (fără o acţiune toxică specifică) - SO</w:t>
      </w:r>
      <w:r w:rsidRPr="00315335">
        <w:rPr>
          <w:rFonts w:ascii="Arial" w:hAnsi="Arial" w:cs="Arial"/>
          <w:vertAlign w:val="subscript"/>
        </w:rPr>
        <w:t>2</w:t>
      </w:r>
      <w:r w:rsidRPr="00315335">
        <w:rPr>
          <w:rFonts w:ascii="Arial" w:hAnsi="Arial" w:cs="Arial"/>
        </w:rPr>
        <w:t>, NO</w:t>
      </w:r>
      <w:r w:rsidRPr="00315335">
        <w:rPr>
          <w:rFonts w:ascii="Arial" w:hAnsi="Arial" w:cs="Arial"/>
          <w:vertAlign w:val="subscript"/>
        </w:rPr>
        <w:t>2</w:t>
      </w:r>
      <w:r w:rsidRPr="00315335">
        <w:rPr>
          <w:rFonts w:ascii="Arial" w:hAnsi="Arial" w:cs="Arial"/>
        </w:rPr>
        <w:t>, O</w:t>
      </w:r>
      <w:r w:rsidRPr="00315335">
        <w:rPr>
          <w:rFonts w:ascii="Arial" w:hAnsi="Arial" w:cs="Arial"/>
          <w:vertAlign w:val="subscript"/>
        </w:rPr>
        <w:t>3</w:t>
      </w:r>
      <w:r w:rsidRPr="00315335">
        <w:rPr>
          <w:rFonts w:ascii="Arial" w:hAnsi="Arial" w:cs="Arial"/>
        </w:rPr>
        <w:t xml:space="preserve">,; </w:t>
      </w:r>
    </w:p>
    <w:p w:rsidR="00F40E00" w:rsidRPr="00315335" w:rsidRDefault="00F40E00" w:rsidP="00F40E00">
      <w:pPr>
        <w:pStyle w:val="Listparagraf"/>
        <w:numPr>
          <w:ilvl w:val="0"/>
          <w:numId w:val="8"/>
        </w:numPr>
        <w:autoSpaceDE w:val="0"/>
        <w:autoSpaceDN w:val="0"/>
        <w:adjustRightInd w:val="0"/>
        <w:ind w:left="709" w:hanging="283"/>
        <w:jc w:val="both"/>
        <w:rPr>
          <w:rFonts w:ascii="Arial" w:hAnsi="Arial" w:cs="Arial"/>
        </w:rPr>
      </w:pPr>
      <w:r w:rsidRPr="00315335">
        <w:rPr>
          <w:rFonts w:ascii="Arial" w:hAnsi="Arial" w:cs="Arial"/>
        </w:rPr>
        <w:t>Poluanţi asfixianţi: CO, NO</w:t>
      </w:r>
      <w:r w:rsidRPr="00315335">
        <w:rPr>
          <w:rFonts w:ascii="Arial" w:hAnsi="Arial" w:cs="Arial"/>
          <w:vertAlign w:val="subscript"/>
        </w:rPr>
        <w:t>2</w:t>
      </w:r>
      <w:r w:rsidRPr="00315335">
        <w:rPr>
          <w:rFonts w:ascii="Arial" w:hAnsi="Arial" w:cs="Arial"/>
        </w:rPr>
        <w:t xml:space="preserve">; </w:t>
      </w:r>
    </w:p>
    <w:p w:rsidR="00F40E00" w:rsidRPr="00315335" w:rsidRDefault="00F40E00" w:rsidP="00F40E00">
      <w:pPr>
        <w:pStyle w:val="Listparagraf"/>
        <w:numPr>
          <w:ilvl w:val="0"/>
          <w:numId w:val="8"/>
        </w:numPr>
        <w:autoSpaceDE w:val="0"/>
        <w:autoSpaceDN w:val="0"/>
        <w:adjustRightInd w:val="0"/>
        <w:ind w:left="709" w:hanging="283"/>
        <w:jc w:val="both"/>
        <w:rPr>
          <w:rFonts w:ascii="Arial" w:hAnsi="Arial" w:cs="Arial"/>
        </w:rPr>
      </w:pPr>
      <w:r w:rsidRPr="00315335">
        <w:rPr>
          <w:rFonts w:ascii="Arial" w:hAnsi="Arial" w:cs="Arial"/>
        </w:rPr>
        <w:t xml:space="preserve">Poluanţi alergizanţi: naturali (de origine animală, vegetală, minerală) sau artificiali (substanţe chimice amorfe, medicamente); </w:t>
      </w:r>
    </w:p>
    <w:p w:rsidR="00F40E00" w:rsidRPr="00315335" w:rsidRDefault="00F40E00" w:rsidP="00F40E00">
      <w:pPr>
        <w:pStyle w:val="Listparagraf"/>
        <w:numPr>
          <w:ilvl w:val="0"/>
          <w:numId w:val="8"/>
        </w:numPr>
        <w:autoSpaceDE w:val="0"/>
        <w:autoSpaceDN w:val="0"/>
        <w:adjustRightInd w:val="0"/>
        <w:ind w:left="709" w:hanging="283"/>
        <w:jc w:val="both"/>
        <w:rPr>
          <w:rFonts w:ascii="Arial" w:hAnsi="Arial" w:cs="Arial"/>
        </w:rPr>
      </w:pPr>
      <w:r w:rsidRPr="00315335">
        <w:rPr>
          <w:rFonts w:ascii="Arial" w:hAnsi="Arial" w:cs="Arial"/>
        </w:rPr>
        <w:t xml:space="preserve">Poluanţi toxici sistemici: Pb, Mn, Hg, Cd, Va, Se, F, As, pesticide; </w:t>
      </w:r>
    </w:p>
    <w:p w:rsidR="00F40E00" w:rsidRPr="00315335" w:rsidRDefault="00F40E00" w:rsidP="00F40E00">
      <w:pPr>
        <w:pStyle w:val="Listparagraf"/>
        <w:numPr>
          <w:ilvl w:val="0"/>
          <w:numId w:val="8"/>
        </w:numPr>
        <w:autoSpaceDE w:val="0"/>
        <w:autoSpaceDN w:val="0"/>
        <w:adjustRightInd w:val="0"/>
        <w:ind w:left="709" w:hanging="283"/>
        <w:rPr>
          <w:rFonts w:ascii="Arial" w:hAnsi="Arial" w:cs="Arial"/>
        </w:rPr>
      </w:pPr>
      <w:r w:rsidRPr="00315335">
        <w:rPr>
          <w:rFonts w:ascii="Arial" w:hAnsi="Arial" w:cs="Arial"/>
        </w:rPr>
        <w:t xml:space="preserve">Poluanţi cancerigeni, mutageni, teratogeni (COV, HPA, etc.) </w:t>
      </w:r>
    </w:p>
    <w:p w:rsidR="00F40E00" w:rsidRPr="00315335" w:rsidRDefault="00F40E00" w:rsidP="00F40E00">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 xml:space="preserve">Pulberile în suspensie provin din: activitatea industrială, sistemul de încălzire a populaţiei, centralele termoelectrice, traficul </w:t>
      </w:r>
      <w:r w:rsidRPr="00315335">
        <w:rPr>
          <w:rFonts w:ascii="Arial" w:hAnsi="Arial" w:cs="Arial"/>
          <w:sz w:val="24"/>
          <w:szCs w:val="24"/>
        </w:rPr>
        <w:t>rutier care contribuie la polua</w:t>
      </w:r>
      <w:r w:rsidRPr="00315335">
        <w:rPr>
          <w:rFonts w:ascii="Arial" w:eastAsia="Calibri" w:hAnsi="Arial" w:cs="Arial"/>
          <w:sz w:val="24"/>
          <w:szCs w:val="24"/>
        </w:rPr>
        <w:t xml:space="preserve">rea cu pulberi produsă de pneurile maşinilor, atât la oprirea acestora cât şi datorită arderilor incomplete. </w:t>
      </w:r>
    </w:p>
    <w:p w:rsidR="00F40E00" w:rsidRPr="00315335" w:rsidRDefault="00F40E00" w:rsidP="00F40E00">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Dimensiunea particulelor este direct legată de potenţialul de a cauza efecte. O problemă importantă o reprezintă particulele cu diametrul aerodinamic mai mic de 10 micrometri, care trec prin nas</w:t>
      </w:r>
      <w:r w:rsidRPr="00315335">
        <w:rPr>
          <w:rFonts w:ascii="Arial" w:hAnsi="Arial" w:cs="Arial"/>
          <w:sz w:val="24"/>
          <w:szCs w:val="24"/>
        </w:rPr>
        <w:t>,</w:t>
      </w:r>
      <w:r w:rsidRPr="00315335">
        <w:rPr>
          <w:rFonts w:ascii="Arial" w:eastAsia="Calibri" w:hAnsi="Arial" w:cs="Arial"/>
          <w:sz w:val="24"/>
          <w:szCs w:val="24"/>
        </w:rPr>
        <w:t xml:space="preserve"> gât şi pătrund în alveolele pulmonare provocând inflamaţii şi intoxicări. </w:t>
      </w:r>
    </w:p>
    <w:p w:rsidR="00F40E00" w:rsidRPr="00315335" w:rsidRDefault="00F40E00" w:rsidP="00F40E00">
      <w:pPr>
        <w:spacing w:after="0" w:line="240" w:lineRule="auto"/>
        <w:ind w:firstLine="720"/>
        <w:jc w:val="both"/>
        <w:rPr>
          <w:rFonts w:ascii="Arial" w:eastAsia="Calibri" w:hAnsi="Arial" w:cs="Arial"/>
          <w:b/>
          <w:sz w:val="24"/>
          <w:szCs w:val="24"/>
        </w:rPr>
      </w:pPr>
      <w:r w:rsidRPr="00315335">
        <w:rPr>
          <w:rFonts w:ascii="Arial" w:eastAsia="Calibri" w:hAnsi="Arial" w:cs="Arial"/>
          <w:sz w:val="24"/>
          <w:szCs w:val="24"/>
        </w:rPr>
        <w:t xml:space="preserve">Particulele, praful, aerosolii şi fumul pot, pe termen scurt sau lung, să aibă efecte negative asupra mediului, respectiv asupra sănătăţii umane. </w:t>
      </w:r>
    </w:p>
    <w:p w:rsidR="00F40E00" w:rsidRPr="00315335" w:rsidRDefault="00F40E00" w:rsidP="00F40E00">
      <w:pPr>
        <w:pStyle w:val="Default"/>
        <w:widowControl w:val="0"/>
        <w:ind w:firstLine="720"/>
        <w:jc w:val="both"/>
        <w:rPr>
          <w:rFonts w:ascii="Arial" w:hAnsi="Arial" w:cs="Arial"/>
          <w:color w:val="auto"/>
        </w:rPr>
      </w:pPr>
      <w:r w:rsidRPr="00315335">
        <w:rPr>
          <w:rFonts w:ascii="Arial" w:hAnsi="Arial" w:cs="Arial"/>
          <w:color w:val="auto"/>
        </w:rPr>
        <w:t>În anul 2018 au fost inregistrate un numar de 17 valori zilnice mai mari decat valorile zilnice limită/ţintă pentru protecţia sănătăţii umane, astfel:</w:t>
      </w:r>
    </w:p>
    <w:p w:rsidR="00F40E00" w:rsidRPr="00315335" w:rsidRDefault="00F40E00" w:rsidP="00F40E00">
      <w:pPr>
        <w:pStyle w:val="Default"/>
        <w:widowControl w:val="0"/>
        <w:ind w:firstLine="720"/>
        <w:jc w:val="both"/>
        <w:rPr>
          <w:rFonts w:ascii="Arial" w:hAnsi="Arial" w:cs="Arial"/>
          <w:color w:val="auto"/>
        </w:rPr>
      </w:pPr>
    </w:p>
    <w:tbl>
      <w:tblPr>
        <w:tblStyle w:val="Tabelgril"/>
        <w:tblW w:w="0" w:type="auto"/>
        <w:tblInd w:w="534" w:type="dxa"/>
        <w:tblLook w:val="04A0" w:firstRow="1" w:lastRow="0" w:firstColumn="1" w:lastColumn="0" w:noHBand="0" w:noVBand="1"/>
      </w:tblPr>
      <w:tblGrid>
        <w:gridCol w:w="1559"/>
        <w:gridCol w:w="1417"/>
        <w:gridCol w:w="1276"/>
        <w:gridCol w:w="709"/>
        <w:gridCol w:w="850"/>
        <w:gridCol w:w="709"/>
        <w:gridCol w:w="709"/>
        <w:gridCol w:w="850"/>
        <w:gridCol w:w="851"/>
      </w:tblGrid>
      <w:tr w:rsidR="00315335" w:rsidRPr="00315335" w:rsidTr="00916B06">
        <w:tc>
          <w:tcPr>
            <w:tcW w:w="1559" w:type="dxa"/>
            <w:vMerge w:val="restart"/>
            <w:vAlign w:val="center"/>
          </w:tcPr>
          <w:p w:rsidR="00F40E00" w:rsidRPr="00315335" w:rsidRDefault="00F40E00" w:rsidP="00916B06">
            <w:pPr>
              <w:pStyle w:val="Default"/>
              <w:widowControl w:val="0"/>
              <w:jc w:val="center"/>
              <w:rPr>
                <w:rFonts w:ascii="Arial" w:hAnsi="Arial" w:cs="Arial"/>
                <w:b/>
                <w:color w:val="auto"/>
              </w:rPr>
            </w:pPr>
            <w:r w:rsidRPr="00315335">
              <w:rPr>
                <w:rFonts w:ascii="Arial" w:hAnsi="Arial" w:cs="Arial"/>
                <w:b/>
                <w:color w:val="auto"/>
              </w:rPr>
              <w:t>Sta</w:t>
            </w:r>
            <w:r w:rsidRPr="00315335">
              <w:rPr>
                <w:rFonts w:ascii="Arial" w:hAnsi="Arial" w:cs="Arial"/>
                <w:b/>
                <w:color w:val="auto"/>
                <w:lang w:val="ro-RO"/>
              </w:rPr>
              <w:t>ţ</w:t>
            </w:r>
            <w:r w:rsidRPr="00315335">
              <w:rPr>
                <w:rFonts w:ascii="Arial" w:hAnsi="Arial" w:cs="Arial"/>
                <w:b/>
                <w:color w:val="auto"/>
              </w:rPr>
              <w:t>ia</w:t>
            </w:r>
          </w:p>
        </w:tc>
        <w:tc>
          <w:tcPr>
            <w:tcW w:w="6520" w:type="dxa"/>
            <w:gridSpan w:val="7"/>
            <w:vAlign w:val="center"/>
          </w:tcPr>
          <w:p w:rsidR="00F40E00" w:rsidRPr="00315335" w:rsidRDefault="00F40E00" w:rsidP="00916B06">
            <w:pPr>
              <w:pStyle w:val="Default"/>
              <w:widowControl w:val="0"/>
              <w:jc w:val="center"/>
              <w:rPr>
                <w:rFonts w:ascii="Arial" w:hAnsi="Arial" w:cs="Arial"/>
                <w:b/>
                <w:color w:val="auto"/>
              </w:rPr>
            </w:pPr>
            <w:r w:rsidRPr="00315335">
              <w:rPr>
                <w:rFonts w:ascii="Arial" w:hAnsi="Arial" w:cs="Arial"/>
                <w:b/>
                <w:color w:val="auto"/>
              </w:rPr>
              <w:t>Număr valori zilnice peste limita zilnică / per poluant</w:t>
            </w:r>
          </w:p>
        </w:tc>
        <w:tc>
          <w:tcPr>
            <w:tcW w:w="851" w:type="dxa"/>
            <w:vMerge w:val="restart"/>
            <w:vAlign w:val="center"/>
          </w:tcPr>
          <w:p w:rsidR="00F40E00" w:rsidRPr="00315335" w:rsidRDefault="00F40E00" w:rsidP="00916B06">
            <w:pPr>
              <w:pStyle w:val="Default"/>
              <w:widowControl w:val="0"/>
              <w:jc w:val="center"/>
              <w:rPr>
                <w:rFonts w:ascii="Arial" w:hAnsi="Arial" w:cs="Arial"/>
                <w:b/>
                <w:color w:val="auto"/>
              </w:rPr>
            </w:pPr>
            <w:r w:rsidRPr="00315335">
              <w:rPr>
                <w:rFonts w:ascii="Arial" w:hAnsi="Arial" w:cs="Arial"/>
                <w:b/>
                <w:color w:val="auto"/>
              </w:rPr>
              <w:t>Total</w:t>
            </w:r>
          </w:p>
        </w:tc>
      </w:tr>
      <w:tr w:rsidR="00315335" w:rsidRPr="00315335" w:rsidTr="00916B06">
        <w:tc>
          <w:tcPr>
            <w:tcW w:w="1559" w:type="dxa"/>
            <w:vMerge/>
          </w:tcPr>
          <w:p w:rsidR="00F40E00" w:rsidRPr="00315335" w:rsidRDefault="00F40E00" w:rsidP="00916B06">
            <w:pPr>
              <w:pStyle w:val="Default"/>
              <w:widowControl w:val="0"/>
              <w:jc w:val="center"/>
              <w:rPr>
                <w:rFonts w:ascii="Arial" w:hAnsi="Arial" w:cs="Arial"/>
                <w:b/>
                <w:color w:val="auto"/>
              </w:rPr>
            </w:pPr>
          </w:p>
        </w:tc>
        <w:tc>
          <w:tcPr>
            <w:tcW w:w="1417" w:type="dxa"/>
            <w:vAlign w:val="center"/>
          </w:tcPr>
          <w:p w:rsidR="00F40E00" w:rsidRPr="00315335" w:rsidRDefault="00F40E00" w:rsidP="00916B06">
            <w:pPr>
              <w:pStyle w:val="Default"/>
              <w:widowControl w:val="0"/>
              <w:jc w:val="center"/>
              <w:rPr>
                <w:rFonts w:ascii="Arial" w:hAnsi="Arial" w:cs="Arial"/>
                <w:b/>
                <w:color w:val="auto"/>
                <w:sz w:val="20"/>
                <w:szCs w:val="20"/>
              </w:rPr>
            </w:pPr>
            <w:r w:rsidRPr="00315335">
              <w:rPr>
                <w:rFonts w:ascii="Arial" w:hAnsi="Arial" w:cs="Arial"/>
                <w:b/>
                <w:color w:val="auto"/>
                <w:sz w:val="20"/>
                <w:szCs w:val="20"/>
              </w:rPr>
              <w:t>PM10 grv</w:t>
            </w:r>
          </w:p>
        </w:tc>
        <w:tc>
          <w:tcPr>
            <w:tcW w:w="1276" w:type="dxa"/>
            <w:vAlign w:val="center"/>
          </w:tcPr>
          <w:p w:rsidR="00F40E00" w:rsidRPr="00315335" w:rsidRDefault="00F40E00" w:rsidP="00916B06">
            <w:pPr>
              <w:pStyle w:val="Default"/>
              <w:widowControl w:val="0"/>
              <w:jc w:val="center"/>
              <w:rPr>
                <w:rFonts w:ascii="Arial" w:hAnsi="Arial" w:cs="Arial"/>
                <w:b/>
                <w:color w:val="auto"/>
                <w:sz w:val="20"/>
                <w:szCs w:val="20"/>
              </w:rPr>
            </w:pPr>
            <w:r w:rsidRPr="00315335">
              <w:rPr>
                <w:rFonts w:ascii="Arial" w:hAnsi="Arial" w:cs="Arial"/>
                <w:b/>
                <w:color w:val="auto"/>
                <w:sz w:val="20"/>
                <w:szCs w:val="20"/>
              </w:rPr>
              <w:t>PM10 nef</w:t>
            </w:r>
          </w:p>
        </w:tc>
        <w:tc>
          <w:tcPr>
            <w:tcW w:w="709" w:type="dxa"/>
            <w:vAlign w:val="center"/>
          </w:tcPr>
          <w:p w:rsidR="00F40E00" w:rsidRPr="00315335" w:rsidRDefault="00F40E00" w:rsidP="00916B06">
            <w:pPr>
              <w:pStyle w:val="Default"/>
              <w:widowControl w:val="0"/>
              <w:jc w:val="center"/>
              <w:rPr>
                <w:rFonts w:ascii="Arial" w:hAnsi="Arial" w:cs="Arial"/>
                <w:b/>
                <w:color w:val="auto"/>
                <w:sz w:val="20"/>
                <w:szCs w:val="20"/>
              </w:rPr>
            </w:pPr>
            <w:r w:rsidRPr="00315335">
              <w:rPr>
                <w:rFonts w:ascii="Arial" w:hAnsi="Arial" w:cs="Arial"/>
                <w:b/>
                <w:color w:val="auto"/>
                <w:sz w:val="20"/>
                <w:szCs w:val="20"/>
              </w:rPr>
              <w:t>O</w:t>
            </w:r>
            <w:r w:rsidRPr="00315335">
              <w:rPr>
                <w:rFonts w:ascii="Arial" w:hAnsi="Arial" w:cs="Arial"/>
                <w:b/>
                <w:color w:val="auto"/>
                <w:sz w:val="20"/>
                <w:szCs w:val="20"/>
                <w:vertAlign w:val="subscript"/>
              </w:rPr>
              <w:t>3</w:t>
            </w:r>
          </w:p>
        </w:tc>
        <w:tc>
          <w:tcPr>
            <w:tcW w:w="850" w:type="dxa"/>
            <w:vAlign w:val="center"/>
          </w:tcPr>
          <w:p w:rsidR="00F40E00" w:rsidRPr="00315335" w:rsidRDefault="00F40E00" w:rsidP="00916B06">
            <w:pPr>
              <w:pStyle w:val="Default"/>
              <w:widowControl w:val="0"/>
              <w:jc w:val="center"/>
              <w:rPr>
                <w:rFonts w:ascii="Arial" w:hAnsi="Arial" w:cs="Arial"/>
                <w:b/>
                <w:color w:val="auto"/>
                <w:sz w:val="20"/>
                <w:szCs w:val="20"/>
              </w:rPr>
            </w:pPr>
            <w:r w:rsidRPr="00315335">
              <w:rPr>
                <w:rFonts w:ascii="Arial" w:hAnsi="Arial" w:cs="Arial"/>
                <w:b/>
                <w:color w:val="auto"/>
                <w:sz w:val="20"/>
                <w:szCs w:val="20"/>
              </w:rPr>
              <w:t>NO</w:t>
            </w:r>
            <w:r w:rsidRPr="00315335">
              <w:rPr>
                <w:rFonts w:ascii="Arial" w:hAnsi="Arial" w:cs="Arial"/>
                <w:b/>
                <w:color w:val="auto"/>
                <w:sz w:val="20"/>
                <w:szCs w:val="20"/>
                <w:vertAlign w:val="subscript"/>
              </w:rPr>
              <w:t>2</w:t>
            </w:r>
          </w:p>
        </w:tc>
        <w:tc>
          <w:tcPr>
            <w:tcW w:w="709" w:type="dxa"/>
            <w:vAlign w:val="center"/>
          </w:tcPr>
          <w:p w:rsidR="00F40E00" w:rsidRPr="00315335" w:rsidRDefault="00F40E00" w:rsidP="00916B06">
            <w:pPr>
              <w:pStyle w:val="Default"/>
              <w:widowControl w:val="0"/>
              <w:jc w:val="center"/>
              <w:rPr>
                <w:rFonts w:ascii="Arial" w:hAnsi="Arial" w:cs="Arial"/>
                <w:b/>
                <w:color w:val="auto"/>
                <w:sz w:val="20"/>
                <w:szCs w:val="20"/>
              </w:rPr>
            </w:pPr>
            <w:r w:rsidRPr="00315335">
              <w:rPr>
                <w:rFonts w:ascii="Arial" w:hAnsi="Arial" w:cs="Arial"/>
                <w:b/>
                <w:color w:val="auto"/>
                <w:sz w:val="20"/>
                <w:szCs w:val="20"/>
              </w:rPr>
              <w:t>SO</w:t>
            </w:r>
            <w:r w:rsidRPr="00315335">
              <w:rPr>
                <w:rFonts w:ascii="Arial" w:hAnsi="Arial" w:cs="Arial"/>
                <w:b/>
                <w:color w:val="auto"/>
                <w:sz w:val="20"/>
                <w:szCs w:val="20"/>
                <w:vertAlign w:val="subscript"/>
              </w:rPr>
              <w:t>2</w:t>
            </w:r>
          </w:p>
        </w:tc>
        <w:tc>
          <w:tcPr>
            <w:tcW w:w="709" w:type="dxa"/>
            <w:vAlign w:val="center"/>
          </w:tcPr>
          <w:p w:rsidR="00F40E00" w:rsidRPr="00315335" w:rsidRDefault="00F40E00" w:rsidP="00916B06">
            <w:pPr>
              <w:pStyle w:val="Default"/>
              <w:widowControl w:val="0"/>
              <w:jc w:val="center"/>
              <w:rPr>
                <w:rFonts w:ascii="Arial" w:hAnsi="Arial" w:cs="Arial"/>
                <w:b/>
                <w:color w:val="auto"/>
                <w:sz w:val="20"/>
                <w:szCs w:val="20"/>
              </w:rPr>
            </w:pPr>
            <w:r w:rsidRPr="00315335">
              <w:rPr>
                <w:rFonts w:ascii="Arial" w:hAnsi="Arial" w:cs="Arial"/>
                <w:b/>
                <w:color w:val="auto"/>
                <w:sz w:val="20"/>
                <w:szCs w:val="20"/>
              </w:rPr>
              <w:t>CO</w:t>
            </w:r>
          </w:p>
        </w:tc>
        <w:tc>
          <w:tcPr>
            <w:tcW w:w="850" w:type="dxa"/>
            <w:vAlign w:val="center"/>
          </w:tcPr>
          <w:p w:rsidR="00F40E00" w:rsidRPr="00315335" w:rsidRDefault="00F40E00" w:rsidP="00916B06">
            <w:pPr>
              <w:pStyle w:val="Default"/>
              <w:widowControl w:val="0"/>
              <w:jc w:val="center"/>
              <w:rPr>
                <w:rFonts w:ascii="Arial" w:hAnsi="Arial" w:cs="Arial"/>
                <w:b/>
                <w:color w:val="auto"/>
                <w:sz w:val="20"/>
                <w:szCs w:val="20"/>
              </w:rPr>
            </w:pPr>
            <w:r w:rsidRPr="00315335">
              <w:rPr>
                <w:rFonts w:ascii="Arial" w:hAnsi="Arial" w:cs="Arial"/>
                <w:b/>
                <w:color w:val="auto"/>
                <w:sz w:val="20"/>
                <w:szCs w:val="20"/>
              </w:rPr>
              <w:t>C</w:t>
            </w:r>
            <w:r w:rsidRPr="00315335">
              <w:rPr>
                <w:rFonts w:ascii="Arial" w:hAnsi="Arial" w:cs="Arial"/>
                <w:b/>
                <w:color w:val="auto"/>
                <w:sz w:val="20"/>
                <w:szCs w:val="20"/>
                <w:vertAlign w:val="subscript"/>
              </w:rPr>
              <w:t>6</w:t>
            </w:r>
            <w:r w:rsidRPr="00315335">
              <w:rPr>
                <w:rFonts w:ascii="Arial" w:hAnsi="Arial" w:cs="Arial"/>
                <w:b/>
                <w:color w:val="auto"/>
                <w:sz w:val="20"/>
                <w:szCs w:val="20"/>
              </w:rPr>
              <w:t>H</w:t>
            </w:r>
            <w:r w:rsidRPr="00315335">
              <w:rPr>
                <w:rFonts w:ascii="Arial" w:hAnsi="Arial" w:cs="Arial"/>
                <w:b/>
                <w:color w:val="auto"/>
                <w:sz w:val="20"/>
                <w:szCs w:val="20"/>
                <w:vertAlign w:val="subscript"/>
              </w:rPr>
              <w:t>6</w:t>
            </w:r>
          </w:p>
        </w:tc>
        <w:tc>
          <w:tcPr>
            <w:tcW w:w="851" w:type="dxa"/>
            <w:vMerge/>
          </w:tcPr>
          <w:p w:rsidR="00F40E00" w:rsidRPr="00315335" w:rsidRDefault="00F40E00" w:rsidP="00916B06">
            <w:pPr>
              <w:pStyle w:val="Default"/>
              <w:widowControl w:val="0"/>
              <w:jc w:val="center"/>
              <w:rPr>
                <w:rFonts w:ascii="Arial" w:hAnsi="Arial" w:cs="Arial"/>
                <w:color w:val="auto"/>
              </w:rPr>
            </w:pPr>
          </w:p>
        </w:tc>
      </w:tr>
      <w:tr w:rsidR="00315335" w:rsidRPr="00315335" w:rsidTr="00916B06">
        <w:tc>
          <w:tcPr>
            <w:tcW w:w="1559"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Staţia BR1</w:t>
            </w:r>
          </w:p>
        </w:tc>
        <w:tc>
          <w:tcPr>
            <w:tcW w:w="1417" w:type="dxa"/>
          </w:tcPr>
          <w:p w:rsidR="00F40E00" w:rsidRPr="00315335" w:rsidRDefault="00F40E00" w:rsidP="00916B06">
            <w:pPr>
              <w:jc w:val="center"/>
            </w:pPr>
            <w:r w:rsidRPr="00315335">
              <w:rPr>
                <w:rFonts w:ascii="Arial" w:hAnsi="Arial" w:cs="Arial"/>
              </w:rPr>
              <w:t>-</w:t>
            </w:r>
          </w:p>
        </w:tc>
        <w:tc>
          <w:tcPr>
            <w:tcW w:w="1276"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851" w:type="dxa"/>
          </w:tcPr>
          <w:p w:rsidR="00F40E00" w:rsidRPr="00315335" w:rsidRDefault="00F40E00" w:rsidP="00916B06">
            <w:pPr>
              <w:jc w:val="center"/>
            </w:pPr>
            <w:r w:rsidRPr="00315335">
              <w:rPr>
                <w:rFonts w:ascii="Arial" w:hAnsi="Arial" w:cs="Arial"/>
              </w:rPr>
              <w:t>-</w:t>
            </w:r>
          </w:p>
        </w:tc>
      </w:tr>
      <w:tr w:rsidR="00315335" w:rsidRPr="00315335" w:rsidTr="00916B06">
        <w:tc>
          <w:tcPr>
            <w:tcW w:w="1559" w:type="dxa"/>
          </w:tcPr>
          <w:p w:rsidR="00F40E00" w:rsidRPr="00315335" w:rsidRDefault="00F40E00" w:rsidP="00916B06">
            <w:pPr>
              <w:jc w:val="center"/>
              <w:rPr>
                <w:sz w:val="24"/>
                <w:szCs w:val="24"/>
              </w:rPr>
            </w:pPr>
            <w:r w:rsidRPr="00315335">
              <w:rPr>
                <w:rFonts w:ascii="Arial" w:hAnsi="Arial" w:cs="Arial"/>
                <w:sz w:val="24"/>
                <w:szCs w:val="24"/>
              </w:rPr>
              <w:t>Staţia BR2</w:t>
            </w:r>
          </w:p>
        </w:tc>
        <w:tc>
          <w:tcPr>
            <w:tcW w:w="1417" w:type="dxa"/>
          </w:tcPr>
          <w:p w:rsidR="00F40E00" w:rsidRPr="00315335" w:rsidRDefault="00F40E00" w:rsidP="00916B06">
            <w:pPr>
              <w:jc w:val="center"/>
            </w:pPr>
            <w:r w:rsidRPr="00315335">
              <w:rPr>
                <w:rFonts w:ascii="Arial" w:hAnsi="Arial" w:cs="Arial"/>
              </w:rPr>
              <w:t>-</w:t>
            </w:r>
          </w:p>
        </w:tc>
        <w:tc>
          <w:tcPr>
            <w:tcW w:w="1276" w:type="dxa"/>
          </w:tcPr>
          <w:p w:rsidR="00F40E00" w:rsidRPr="00315335" w:rsidRDefault="00F40E00" w:rsidP="00916B06">
            <w:pPr>
              <w:jc w:val="center"/>
            </w:pPr>
            <w:r w:rsidRPr="00315335">
              <w:rPr>
                <w:rFonts w:ascii="Arial" w:hAnsi="Arial" w:cs="Arial"/>
              </w:rPr>
              <w:t>3</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851" w:type="dxa"/>
          </w:tcPr>
          <w:p w:rsidR="00F40E00" w:rsidRPr="00315335" w:rsidRDefault="00F40E00" w:rsidP="00916B06">
            <w:pPr>
              <w:jc w:val="center"/>
            </w:pPr>
            <w:r w:rsidRPr="00315335">
              <w:rPr>
                <w:rFonts w:ascii="Arial" w:hAnsi="Arial" w:cs="Arial"/>
              </w:rPr>
              <w:t>-</w:t>
            </w:r>
          </w:p>
        </w:tc>
      </w:tr>
      <w:tr w:rsidR="00315335" w:rsidRPr="00315335" w:rsidTr="00916B06">
        <w:tc>
          <w:tcPr>
            <w:tcW w:w="1559" w:type="dxa"/>
          </w:tcPr>
          <w:p w:rsidR="00F40E00" w:rsidRPr="00315335" w:rsidRDefault="00F40E00" w:rsidP="00916B06">
            <w:pPr>
              <w:jc w:val="center"/>
              <w:rPr>
                <w:sz w:val="24"/>
                <w:szCs w:val="24"/>
              </w:rPr>
            </w:pPr>
            <w:r w:rsidRPr="00315335">
              <w:rPr>
                <w:rFonts w:ascii="Arial" w:hAnsi="Arial" w:cs="Arial"/>
                <w:sz w:val="24"/>
                <w:szCs w:val="24"/>
              </w:rPr>
              <w:lastRenderedPageBreak/>
              <w:t>Staţia BR3</w:t>
            </w:r>
          </w:p>
        </w:tc>
        <w:tc>
          <w:tcPr>
            <w:tcW w:w="1417" w:type="dxa"/>
          </w:tcPr>
          <w:p w:rsidR="00F40E00" w:rsidRPr="00315335" w:rsidRDefault="00F40E00" w:rsidP="00916B06">
            <w:pPr>
              <w:jc w:val="center"/>
            </w:pPr>
            <w:r w:rsidRPr="00315335">
              <w:rPr>
                <w:rFonts w:ascii="Arial" w:hAnsi="Arial" w:cs="Arial"/>
              </w:rPr>
              <w:t>-</w:t>
            </w:r>
          </w:p>
        </w:tc>
        <w:tc>
          <w:tcPr>
            <w:tcW w:w="1276" w:type="dxa"/>
          </w:tcPr>
          <w:p w:rsidR="00F40E00" w:rsidRPr="00315335" w:rsidRDefault="00F40E00" w:rsidP="00916B06">
            <w:pPr>
              <w:jc w:val="center"/>
            </w:pPr>
            <w:r w:rsidRPr="00315335">
              <w:rPr>
                <w:rFonts w:ascii="Arial" w:hAnsi="Arial" w:cs="Arial"/>
              </w:rPr>
              <w:t>6</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851" w:type="dxa"/>
          </w:tcPr>
          <w:p w:rsidR="00F40E00" w:rsidRPr="00315335" w:rsidRDefault="00F40E00" w:rsidP="00916B06">
            <w:pPr>
              <w:jc w:val="center"/>
            </w:pPr>
            <w:r w:rsidRPr="00315335">
              <w:rPr>
                <w:rFonts w:ascii="Arial" w:hAnsi="Arial" w:cs="Arial"/>
              </w:rPr>
              <w:t>-</w:t>
            </w:r>
          </w:p>
        </w:tc>
      </w:tr>
      <w:tr w:rsidR="00315335" w:rsidRPr="00315335" w:rsidTr="00916B06">
        <w:tc>
          <w:tcPr>
            <w:tcW w:w="1559" w:type="dxa"/>
          </w:tcPr>
          <w:p w:rsidR="00F40E00" w:rsidRPr="00315335" w:rsidRDefault="00F40E00" w:rsidP="00916B06">
            <w:pPr>
              <w:jc w:val="center"/>
              <w:rPr>
                <w:sz w:val="24"/>
                <w:szCs w:val="24"/>
              </w:rPr>
            </w:pPr>
            <w:r w:rsidRPr="00315335">
              <w:rPr>
                <w:rFonts w:ascii="Arial" w:hAnsi="Arial" w:cs="Arial"/>
                <w:sz w:val="24"/>
                <w:szCs w:val="24"/>
              </w:rPr>
              <w:t>Staţia BR4</w:t>
            </w:r>
          </w:p>
        </w:tc>
        <w:tc>
          <w:tcPr>
            <w:tcW w:w="1417" w:type="dxa"/>
          </w:tcPr>
          <w:p w:rsidR="00F40E00" w:rsidRPr="00315335" w:rsidRDefault="00F40E00" w:rsidP="00916B06">
            <w:pPr>
              <w:jc w:val="center"/>
            </w:pPr>
            <w:r w:rsidRPr="00315335">
              <w:rPr>
                <w:rFonts w:ascii="Arial" w:hAnsi="Arial" w:cs="Arial"/>
              </w:rPr>
              <w:t>-</w:t>
            </w:r>
          </w:p>
        </w:tc>
        <w:tc>
          <w:tcPr>
            <w:tcW w:w="1276" w:type="dxa"/>
          </w:tcPr>
          <w:p w:rsidR="00F40E00" w:rsidRPr="00315335" w:rsidRDefault="00F40E00" w:rsidP="00916B06">
            <w:pPr>
              <w:jc w:val="center"/>
            </w:pPr>
            <w:r w:rsidRPr="00315335">
              <w:rPr>
                <w:rFonts w:ascii="Arial" w:hAnsi="Arial" w:cs="Arial"/>
              </w:rPr>
              <w:t>2</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851" w:type="dxa"/>
          </w:tcPr>
          <w:p w:rsidR="00F40E00" w:rsidRPr="00315335" w:rsidRDefault="00F40E00" w:rsidP="00916B06">
            <w:pPr>
              <w:jc w:val="center"/>
            </w:pPr>
            <w:r w:rsidRPr="00315335">
              <w:rPr>
                <w:rFonts w:ascii="Arial" w:hAnsi="Arial" w:cs="Arial"/>
              </w:rPr>
              <w:t>-</w:t>
            </w:r>
          </w:p>
        </w:tc>
      </w:tr>
      <w:tr w:rsidR="00315335" w:rsidRPr="00315335" w:rsidTr="00916B06">
        <w:tc>
          <w:tcPr>
            <w:tcW w:w="1559" w:type="dxa"/>
          </w:tcPr>
          <w:p w:rsidR="00F40E00" w:rsidRPr="00315335" w:rsidRDefault="00F40E00" w:rsidP="00916B06">
            <w:pPr>
              <w:jc w:val="center"/>
              <w:rPr>
                <w:sz w:val="24"/>
                <w:szCs w:val="24"/>
              </w:rPr>
            </w:pPr>
            <w:r w:rsidRPr="00315335">
              <w:rPr>
                <w:rFonts w:ascii="Arial" w:hAnsi="Arial" w:cs="Arial"/>
                <w:sz w:val="24"/>
                <w:szCs w:val="24"/>
              </w:rPr>
              <w:t>Staţia BR5</w:t>
            </w:r>
          </w:p>
        </w:tc>
        <w:tc>
          <w:tcPr>
            <w:tcW w:w="1417" w:type="dxa"/>
          </w:tcPr>
          <w:p w:rsidR="00F40E00" w:rsidRPr="00315335" w:rsidRDefault="00F40E00" w:rsidP="00916B06">
            <w:pPr>
              <w:jc w:val="center"/>
            </w:pPr>
            <w:r w:rsidRPr="00315335">
              <w:rPr>
                <w:rFonts w:ascii="Arial" w:hAnsi="Arial" w:cs="Arial"/>
              </w:rPr>
              <w:t>-</w:t>
            </w:r>
          </w:p>
        </w:tc>
        <w:tc>
          <w:tcPr>
            <w:tcW w:w="1276" w:type="dxa"/>
          </w:tcPr>
          <w:p w:rsidR="00F40E00" w:rsidRPr="00315335" w:rsidRDefault="00F40E00" w:rsidP="00916B06">
            <w:pPr>
              <w:jc w:val="center"/>
            </w:pPr>
            <w:r w:rsidRPr="00315335">
              <w:rPr>
                <w:rFonts w:ascii="Arial" w:hAnsi="Arial" w:cs="Arial"/>
              </w:rPr>
              <w:t>6</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709" w:type="dxa"/>
          </w:tcPr>
          <w:p w:rsidR="00F40E00" w:rsidRPr="00315335" w:rsidRDefault="00F40E00" w:rsidP="00916B06">
            <w:pPr>
              <w:jc w:val="center"/>
            </w:pPr>
            <w:r w:rsidRPr="00315335">
              <w:rPr>
                <w:rFonts w:ascii="Arial" w:hAnsi="Arial" w:cs="Arial"/>
              </w:rPr>
              <w:t>-</w:t>
            </w:r>
          </w:p>
        </w:tc>
        <w:tc>
          <w:tcPr>
            <w:tcW w:w="850" w:type="dxa"/>
          </w:tcPr>
          <w:p w:rsidR="00F40E00" w:rsidRPr="00315335" w:rsidRDefault="00F40E00" w:rsidP="00916B06">
            <w:pPr>
              <w:jc w:val="center"/>
            </w:pPr>
            <w:r w:rsidRPr="00315335">
              <w:rPr>
                <w:rFonts w:ascii="Arial" w:hAnsi="Arial" w:cs="Arial"/>
              </w:rPr>
              <w:t>-</w:t>
            </w:r>
          </w:p>
        </w:tc>
        <w:tc>
          <w:tcPr>
            <w:tcW w:w="851" w:type="dxa"/>
          </w:tcPr>
          <w:p w:rsidR="00F40E00" w:rsidRPr="00315335" w:rsidRDefault="00F40E00" w:rsidP="00916B06">
            <w:pPr>
              <w:jc w:val="center"/>
            </w:pPr>
            <w:r w:rsidRPr="00315335">
              <w:rPr>
                <w:rFonts w:ascii="Arial" w:hAnsi="Arial" w:cs="Arial"/>
              </w:rPr>
              <w:t>-</w:t>
            </w:r>
          </w:p>
        </w:tc>
      </w:tr>
      <w:tr w:rsidR="00F40E00" w:rsidRPr="00315335" w:rsidTr="00916B06">
        <w:tc>
          <w:tcPr>
            <w:tcW w:w="8079" w:type="dxa"/>
            <w:gridSpan w:val="8"/>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Total General</w:t>
            </w:r>
          </w:p>
        </w:tc>
        <w:tc>
          <w:tcPr>
            <w:tcW w:w="851" w:type="dxa"/>
          </w:tcPr>
          <w:p w:rsidR="00F40E00" w:rsidRPr="00315335" w:rsidRDefault="00F40E00" w:rsidP="00916B06">
            <w:pPr>
              <w:pStyle w:val="Default"/>
              <w:widowControl w:val="0"/>
              <w:jc w:val="center"/>
              <w:rPr>
                <w:rFonts w:ascii="Arial" w:hAnsi="Arial" w:cs="Arial"/>
                <w:color w:val="auto"/>
              </w:rPr>
            </w:pPr>
            <w:r w:rsidRPr="00315335">
              <w:rPr>
                <w:rFonts w:ascii="Arial" w:hAnsi="Arial" w:cs="Arial"/>
                <w:color w:val="auto"/>
              </w:rPr>
              <w:t>17</w:t>
            </w:r>
          </w:p>
        </w:tc>
      </w:tr>
    </w:tbl>
    <w:p w:rsidR="00F40E00" w:rsidRPr="00315335" w:rsidRDefault="00F40E00" w:rsidP="00F40E00">
      <w:pPr>
        <w:pStyle w:val="Default"/>
        <w:widowControl w:val="0"/>
        <w:ind w:firstLine="720"/>
        <w:jc w:val="both"/>
        <w:rPr>
          <w:rFonts w:ascii="Arial" w:hAnsi="Arial" w:cs="Arial"/>
          <w:color w:val="auto"/>
          <w:highlight w:val="yellow"/>
        </w:rPr>
      </w:pPr>
    </w:p>
    <w:p w:rsidR="00F40E00" w:rsidRPr="00315335" w:rsidRDefault="00F40E00" w:rsidP="00F40E00">
      <w:pPr>
        <w:pStyle w:val="Default"/>
        <w:widowControl w:val="0"/>
        <w:ind w:firstLine="720"/>
        <w:jc w:val="both"/>
        <w:rPr>
          <w:rFonts w:ascii="Arial" w:hAnsi="Arial" w:cs="Arial"/>
          <w:color w:val="auto"/>
        </w:rPr>
      </w:pPr>
      <w:r w:rsidRPr="00315335">
        <w:rPr>
          <w:rFonts w:ascii="Arial" w:hAnsi="Arial" w:cs="Arial"/>
          <w:color w:val="auto"/>
        </w:rPr>
        <w:t xml:space="preserve">În anul </w:t>
      </w:r>
      <w:r w:rsidRPr="00315335">
        <w:rPr>
          <w:rFonts w:ascii="Arial" w:hAnsi="Arial" w:cs="Arial"/>
          <w:b/>
          <w:color w:val="auto"/>
        </w:rPr>
        <w:t>2018 nu s-au depăşit valorile limită/ţintă pentru protecţia sănătăţii umane</w:t>
      </w:r>
      <w:r w:rsidRPr="00315335">
        <w:rPr>
          <w:rFonts w:ascii="Arial" w:hAnsi="Arial" w:cs="Arial"/>
          <w:color w:val="auto"/>
        </w:rPr>
        <w:t xml:space="preserve"> (aşa cum sunt acestea reglementate prin Legea nr. 104/2011), pentru niciunul din indicatorii de calitate a aerului monitorizaţi (PM10, O</w:t>
      </w:r>
      <w:r w:rsidRPr="00315335">
        <w:rPr>
          <w:rFonts w:ascii="Arial" w:hAnsi="Arial" w:cs="Arial"/>
          <w:color w:val="auto"/>
          <w:vertAlign w:val="subscript"/>
        </w:rPr>
        <w:t>3</w:t>
      </w:r>
      <w:r w:rsidRPr="00315335">
        <w:rPr>
          <w:rFonts w:ascii="Arial" w:hAnsi="Arial" w:cs="Arial"/>
          <w:color w:val="auto"/>
        </w:rPr>
        <w:t>, NO</w:t>
      </w:r>
      <w:r w:rsidRPr="00315335">
        <w:rPr>
          <w:rFonts w:ascii="Arial" w:hAnsi="Arial" w:cs="Arial"/>
          <w:color w:val="auto"/>
          <w:vertAlign w:val="subscript"/>
        </w:rPr>
        <w:t>2</w:t>
      </w:r>
      <w:r w:rsidRPr="00315335">
        <w:rPr>
          <w:rFonts w:ascii="Arial" w:hAnsi="Arial" w:cs="Arial"/>
          <w:color w:val="auto"/>
        </w:rPr>
        <w:t>, SO</w:t>
      </w:r>
      <w:r w:rsidRPr="00315335">
        <w:rPr>
          <w:rFonts w:ascii="Arial" w:hAnsi="Arial" w:cs="Arial"/>
          <w:color w:val="auto"/>
          <w:vertAlign w:val="subscript"/>
        </w:rPr>
        <w:t>2</w:t>
      </w:r>
      <w:r w:rsidRPr="00315335">
        <w:rPr>
          <w:rFonts w:ascii="Arial" w:hAnsi="Arial" w:cs="Arial"/>
          <w:color w:val="auto"/>
        </w:rPr>
        <w:t>, CO, C</w:t>
      </w:r>
      <w:r w:rsidRPr="00315335">
        <w:rPr>
          <w:rFonts w:ascii="Arial" w:hAnsi="Arial" w:cs="Arial"/>
          <w:color w:val="auto"/>
          <w:vertAlign w:val="subscript"/>
        </w:rPr>
        <w:t>6</w:t>
      </w:r>
      <w:r w:rsidRPr="00315335">
        <w:rPr>
          <w:rFonts w:ascii="Arial" w:hAnsi="Arial" w:cs="Arial"/>
          <w:color w:val="auto"/>
        </w:rPr>
        <w:t>H</w:t>
      </w:r>
      <w:r w:rsidRPr="00315335">
        <w:rPr>
          <w:rFonts w:ascii="Arial" w:hAnsi="Arial" w:cs="Arial"/>
          <w:color w:val="auto"/>
          <w:vertAlign w:val="subscript"/>
        </w:rPr>
        <w:t>6</w:t>
      </w:r>
      <w:r w:rsidRPr="00315335">
        <w:rPr>
          <w:rFonts w:ascii="Arial" w:hAnsi="Arial" w:cs="Arial"/>
          <w:color w:val="auto"/>
        </w:rPr>
        <w:t xml:space="preserve">) la staţiile automate de monitorizare aparţinând RNMCA, judeţul Brăila. </w:t>
      </w:r>
    </w:p>
    <w:p w:rsidR="00F40E00" w:rsidRPr="00315335" w:rsidRDefault="00F40E00" w:rsidP="00F40E00">
      <w:pPr>
        <w:tabs>
          <w:tab w:val="left" w:leader="dot" w:pos="9356"/>
        </w:tabs>
        <w:spacing w:after="0" w:line="240" w:lineRule="auto"/>
        <w:rPr>
          <w:rFonts w:ascii="Arial" w:hAnsi="Arial" w:cs="Arial"/>
          <w:b/>
          <w:sz w:val="24"/>
          <w:szCs w:val="24"/>
        </w:rPr>
      </w:pPr>
    </w:p>
    <w:p w:rsidR="00F40E00" w:rsidRPr="00315335" w:rsidRDefault="00F40E00" w:rsidP="00F40E00">
      <w:pPr>
        <w:tabs>
          <w:tab w:val="left" w:leader="dot" w:pos="9356"/>
        </w:tabs>
        <w:spacing w:after="0" w:line="240" w:lineRule="auto"/>
        <w:rPr>
          <w:rFonts w:ascii="Arial" w:hAnsi="Arial" w:cs="Arial"/>
          <w:b/>
          <w:sz w:val="24"/>
          <w:szCs w:val="24"/>
        </w:rPr>
      </w:pPr>
      <w:r w:rsidRPr="00315335">
        <w:rPr>
          <w:rFonts w:ascii="Arial" w:hAnsi="Arial" w:cs="Arial"/>
          <w:b/>
          <w:sz w:val="24"/>
          <w:szCs w:val="24"/>
        </w:rPr>
        <w:t xml:space="preserve">     I.1.2.2. Efectele poluării aerului înconjurător asupra ecosistemelor </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Efectele poluării aerului înconjurător asupra ecosistemelor sunt tratate doar la nivel naţional, în Raportul anual privind starea mediului în România (vezi site www.anpm.ro), unde sunt descrise expunerea zonelor (de culturi agricole, a zonelor cu păduri şi a zonelor cu vegetaţie) la acidifiere, eutrofizare şi la ozon (AOT40) peste valoarea ţintă pentru protecţia vegetaţiei şi respectiv peste obiectivul pe termen lung. </w:t>
      </w:r>
    </w:p>
    <w:p w:rsidR="00F40E00" w:rsidRPr="00315335" w:rsidRDefault="00F40E00" w:rsidP="00F40E00">
      <w:pPr>
        <w:tabs>
          <w:tab w:val="left" w:leader="dot" w:pos="9356"/>
        </w:tabs>
        <w:spacing w:after="0" w:line="240" w:lineRule="auto"/>
        <w:rPr>
          <w:rFonts w:ascii="Arial" w:hAnsi="Arial" w:cs="Arial"/>
          <w:b/>
          <w:sz w:val="24"/>
          <w:szCs w:val="24"/>
        </w:rPr>
      </w:pPr>
    </w:p>
    <w:p w:rsidR="00F40E00" w:rsidRPr="00315335" w:rsidRDefault="00F40E00" w:rsidP="00F40E00">
      <w:pPr>
        <w:tabs>
          <w:tab w:val="left" w:leader="dot" w:pos="9356"/>
        </w:tabs>
        <w:spacing w:after="0" w:line="240" w:lineRule="auto"/>
        <w:rPr>
          <w:rFonts w:ascii="Arial" w:hAnsi="Arial" w:cs="Arial"/>
          <w:b/>
          <w:sz w:val="24"/>
          <w:szCs w:val="24"/>
        </w:rPr>
      </w:pPr>
      <w:r w:rsidRPr="00315335">
        <w:rPr>
          <w:rFonts w:ascii="Arial" w:hAnsi="Arial" w:cs="Arial"/>
          <w:b/>
          <w:sz w:val="24"/>
          <w:szCs w:val="24"/>
        </w:rPr>
        <w:t xml:space="preserve">     I.1.2.3. Efectele poluării aerului înconjurător asupra solului și vegetației </w:t>
      </w:r>
    </w:p>
    <w:p w:rsidR="00F40E00" w:rsidRPr="00315335" w:rsidRDefault="00F40E00" w:rsidP="00F40E00">
      <w:pPr>
        <w:widowControl w:val="0"/>
        <w:spacing w:after="0" w:line="240" w:lineRule="auto"/>
        <w:ind w:firstLine="720"/>
        <w:jc w:val="both"/>
        <w:rPr>
          <w:rFonts w:ascii="Arial" w:hAnsi="Arial" w:cs="Arial"/>
          <w:sz w:val="24"/>
          <w:szCs w:val="24"/>
        </w:rPr>
      </w:pPr>
      <w:r w:rsidRPr="00315335">
        <w:rPr>
          <w:rFonts w:ascii="Arial" w:hAnsi="Arial" w:cs="Arial"/>
          <w:sz w:val="24"/>
          <w:szCs w:val="24"/>
        </w:rPr>
        <w:t xml:space="preserve">Aceste aspecte se tratează doar la scară naţională, în Raportul anual privind starea mediului în România, fiind descrise prin: </w:t>
      </w:r>
    </w:p>
    <w:p w:rsidR="00F40E00" w:rsidRPr="00315335" w:rsidRDefault="00F40E00" w:rsidP="00F40E00">
      <w:pPr>
        <w:pStyle w:val="Listparagraf"/>
        <w:widowControl w:val="0"/>
        <w:numPr>
          <w:ilvl w:val="0"/>
          <w:numId w:val="6"/>
        </w:numPr>
        <w:overflowPunct w:val="0"/>
        <w:autoSpaceDE w:val="0"/>
        <w:autoSpaceDN w:val="0"/>
        <w:adjustRightInd w:val="0"/>
        <w:ind w:left="284" w:hanging="284"/>
        <w:contextualSpacing w:val="0"/>
        <w:jc w:val="both"/>
        <w:textAlignment w:val="baseline"/>
        <w:rPr>
          <w:rFonts w:ascii="Arial" w:hAnsi="Arial" w:cs="Arial"/>
        </w:rPr>
      </w:pPr>
      <w:r w:rsidRPr="00315335">
        <w:rPr>
          <w:rFonts w:ascii="Arial" w:hAnsi="Arial" w:cs="Arial"/>
        </w:rPr>
        <w:t>încărcări critice la nutrienţi CL</w:t>
      </w:r>
      <w:r w:rsidRPr="00315335">
        <w:rPr>
          <w:rFonts w:ascii="Arial" w:hAnsi="Arial" w:cs="Arial"/>
          <w:vertAlign w:val="subscript"/>
        </w:rPr>
        <w:t>nut</w:t>
      </w:r>
      <w:r w:rsidRPr="00315335">
        <w:rPr>
          <w:rFonts w:ascii="Arial" w:hAnsi="Arial" w:cs="Arial"/>
        </w:rPr>
        <w:t>(N) şi acidifiere CL</w:t>
      </w:r>
      <w:r w:rsidRPr="00315335">
        <w:rPr>
          <w:rFonts w:ascii="Arial" w:hAnsi="Arial" w:cs="Arial"/>
          <w:vertAlign w:val="subscript"/>
        </w:rPr>
        <w:t>max</w:t>
      </w:r>
      <w:r w:rsidRPr="00315335">
        <w:rPr>
          <w:rFonts w:ascii="Arial" w:hAnsi="Arial" w:cs="Arial"/>
        </w:rPr>
        <w:t>(S) în România, pentru ecosistemul păduri. Pragul critic de aciditate este exprimat în echivalenţi de acidifiere (H</w:t>
      </w:r>
      <w:r w:rsidRPr="00315335">
        <w:rPr>
          <w:rFonts w:ascii="Arial" w:hAnsi="Arial" w:cs="Arial"/>
          <w:vertAlign w:val="superscript"/>
        </w:rPr>
        <w:t>+</w:t>
      </w:r>
      <w:r w:rsidRPr="00315335">
        <w:rPr>
          <w:rFonts w:ascii="Arial" w:hAnsi="Arial" w:cs="Arial"/>
        </w:rPr>
        <w:t>) pe hectar pe an (eq H</w:t>
      </w:r>
      <w:r w:rsidRPr="00315335">
        <w:rPr>
          <w:rFonts w:ascii="Arial" w:hAnsi="Arial" w:cs="Arial"/>
          <w:vertAlign w:val="superscript"/>
        </w:rPr>
        <w:t>+</w:t>
      </w:r>
      <w:r w:rsidRPr="00315335">
        <w:rPr>
          <w:rFonts w:ascii="Arial" w:hAnsi="Arial" w:cs="Arial"/>
        </w:rPr>
        <w:t>.ha</w:t>
      </w:r>
      <w:r w:rsidRPr="00315335">
        <w:rPr>
          <w:rFonts w:ascii="Arial" w:hAnsi="Arial" w:cs="Arial"/>
          <w:vertAlign w:val="superscript"/>
        </w:rPr>
        <w:t>-1</w:t>
      </w:r>
      <w:r w:rsidRPr="00315335">
        <w:rPr>
          <w:rFonts w:ascii="Arial" w:hAnsi="Arial" w:cs="Arial"/>
        </w:rPr>
        <w:t>.an</w:t>
      </w:r>
      <w:r w:rsidRPr="00315335">
        <w:rPr>
          <w:rFonts w:ascii="Arial" w:hAnsi="Arial" w:cs="Arial"/>
          <w:vertAlign w:val="superscript"/>
        </w:rPr>
        <w:t>-1</w:t>
      </w:r>
      <w:r w:rsidRPr="00315335">
        <w:rPr>
          <w:rFonts w:ascii="Arial" w:hAnsi="Arial" w:cs="Arial"/>
        </w:rPr>
        <w:t>). Poluanţii acidifianţi sunt oxizii de sulf şi de azot. Pragul critic de eutrofizare este exprimat în echivalenţi de eutrofizare (N) pe hectar şi an (eq N.ha</w:t>
      </w:r>
      <w:r w:rsidRPr="00315335">
        <w:rPr>
          <w:rFonts w:ascii="Arial" w:hAnsi="Arial" w:cs="Arial"/>
          <w:vertAlign w:val="superscript"/>
        </w:rPr>
        <w:t>-1</w:t>
      </w:r>
      <w:r w:rsidRPr="00315335">
        <w:rPr>
          <w:rFonts w:ascii="Arial" w:hAnsi="Arial" w:cs="Arial"/>
        </w:rPr>
        <w:t>.a</w:t>
      </w:r>
      <w:r w:rsidRPr="00315335">
        <w:rPr>
          <w:rFonts w:ascii="Arial" w:hAnsi="Arial" w:cs="Arial"/>
          <w:vertAlign w:val="superscript"/>
        </w:rPr>
        <w:t>-1</w:t>
      </w:r>
      <w:r w:rsidRPr="00315335">
        <w:rPr>
          <w:rFonts w:ascii="Arial" w:hAnsi="Arial" w:cs="Arial"/>
        </w:rPr>
        <w:t>). Poluanţii eutrofizanţi sunt oxizii de azot şi amoniacul.</w:t>
      </w:r>
    </w:p>
    <w:p w:rsidR="00F40E00" w:rsidRPr="00315335" w:rsidRDefault="00F40E00" w:rsidP="00F40E00">
      <w:pPr>
        <w:pStyle w:val="Listparagraf"/>
        <w:widowControl w:val="0"/>
        <w:numPr>
          <w:ilvl w:val="0"/>
          <w:numId w:val="6"/>
        </w:numPr>
        <w:overflowPunct w:val="0"/>
        <w:autoSpaceDE w:val="0"/>
        <w:autoSpaceDN w:val="0"/>
        <w:adjustRightInd w:val="0"/>
        <w:ind w:left="284" w:hanging="284"/>
        <w:contextualSpacing w:val="0"/>
        <w:jc w:val="both"/>
        <w:textAlignment w:val="baseline"/>
        <w:rPr>
          <w:rFonts w:ascii="Arial" w:hAnsi="Arial" w:cs="Arial"/>
        </w:rPr>
      </w:pPr>
      <w:r w:rsidRPr="00315335">
        <w:rPr>
          <w:rFonts w:ascii="Arial" w:hAnsi="Arial" w:cs="Arial"/>
        </w:rPr>
        <w:t xml:space="preserve">ponderea suprafeţelor de teren supuse eutrofizării şi acidifierii în România. </w:t>
      </w:r>
    </w:p>
    <w:p w:rsidR="00F40E00" w:rsidRPr="00315335" w:rsidRDefault="00F40E00" w:rsidP="00F40E00">
      <w:pPr>
        <w:spacing w:after="0" w:line="240" w:lineRule="auto"/>
        <w:jc w:val="both"/>
        <w:rPr>
          <w:rFonts w:ascii="Arial" w:hAnsi="Arial" w:cs="Arial"/>
          <w:b/>
          <w:sz w:val="24"/>
          <w:szCs w:val="24"/>
          <w:lang w:val="fr-BE"/>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lang w:val="fr-BE"/>
        </w:rPr>
        <w:t>I.2. Factorii determinan</w:t>
      </w:r>
      <w:r w:rsidRPr="00315335">
        <w:rPr>
          <w:rFonts w:ascii="Arial" w:hAnsi="Arial" w:cs="Arial"/>
          <w:b/>
          <w:sz w:val="24"/>
          <w:szCs w:val="24"/>
        </w:rPr>
        <w:t>ți și presiunile care afectează starea de calitate a aerului înconjurător</w:t>
      </w:r>
    </w:p>
    <w:p w:rsidR="00F40E00" w:rsidRPr="00315335" w:rsidRDefault="00F40E00" w:rsidP="00F40E00">
      <w:pPr>
        <w:spacing w:after="0" w:line="240" w:lineRule="auto"/>
        <w:jc w:val="both"/>
        <w:rPr>
          <w:rFonts w:ascii="Arial" w:hAnsi="Arial" w:cs="Arial"/>
          <w:b/>
          <w:i/>
          <w:sz w:val="24"/>
          <w:szCs w:val="24"/>
        </w:rPr>
      </w:pPr>
      <w:r w:rsidRPr="00315335">
        <w:rPr>
          <w:rFonts w:ascii="Arial" w:hAnsi="Arial" w:cs="Arial"/>
          <w:b/>
          <w:i/>
          <w:sz w:val="24"/>
          <w:szCs w:val="24"/>
        </w:rPr>
        <w:t xml:space="preserve">      I.2.1. Emisiile de poluanți atmosferici și principalele surse de emisie</w:t>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 xml:space="preserve">          I.2.1.1.Energia</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 xml:space="preserve">            Cod indicator România RO 01 </w:t>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sz w:val="24"/>
          <w:szCs w:val="24"/>
        </w:rPr>
        <w:t xml:space="preserve">      </w:t>
      </w:r>
      <w:r w:rsidRPr="00315335">
        <w:rPr>
          <w:rFonts w:ascii="Arial" w:hAnsi="Arial" w:cs="Arial"/>
          <w:b/>
          <w:sz w:val="24"/>
          <w:szCs w:val="24"/>
        </w:rPr>
        <w:t>Emisiile de substanțe acidifiante</w:t>
      </w:r>
    </w:p>
    <w:p w:rsidR="00F40E00" w:rsidRPr="00315335" w:rsidRDefault="00F40E00" w:rsidP="00F40E00">
      <w:pPr>
        <w:spacing w:after="0" w:line="240" w:lineRule="auto"/>
        <w:ind w:firstLine="720"/>
        <w:jc w:val="both"/>
        <w:rPr>
          <w:rFonts w:ascii="Arial" w:hAnsi="Arial" w:cs="Arial"/>
          <w:sz w:val="24"/>
          <w:szCs w:val="24"/>
          <w:lang w:val="fr-BE"/>
        </w:rPr>
      </w:pPr>
      <w:r w:rsidRPr="00315335">
        <w:rPr>
          <w:rFonts w:ascii="Arial" w:hAnsi="Arial" w:cs="Arial"/>
          <w:sz w:val="24"/>
          <w:szCs w:val="24"/>
        </w:rPr>
        <w:t>Indicatorul urmărește tendințele emisiilor antropice ale substanțelor acidifiante :oxizi de azot (NOx), amoniac (NH</w:t>
      </w:r>
      <w:r w:rsidRPr="00315335">
        <w:rPr>
          <w:rFonts w:ascii="Arial" w:hAnsi="Arial" w:cs="Arial"/>
          <w:sz w:val="24"/>
          <w:szCs w:val="24"/>
          <w:vertAlign w:val="subscript"/>
        </w:rPr>
        <w:t>3</w:t>
      </w:r>
      <w:r w:rsidRPr="00315335">
        <w:rPr>
          <w:rFonts w:ascii="Arial" w:hAnsi="Arial" w:cs="Arial"/>
          <w:sz w:val="24"/>
          <w:szCs w:val="24"/>
        </w:rPr>
        <w:t>) și oxizi de sulf (SOx, SO</w:t>
      </w:r>
      <w:r w:rsidRPr="00315335">
        <w:rPr>
          <w:rFonts w:ascii="Arial" w:hAnsi="Arial" w:cs="Arial"/>
          <w:sz w:val="24"/>
          <w:szCs w:val="24"/>
          <w:vertAlign w:val="subscript"/>
        </w:rPr>
        <w:t>2</w:t>
      </w:r>
      <w:r w:rsidRPr="00315335">
        <w:rPr>
          <w:rFonts w:ascii="Arial" w:hAnsi="Arial" w:cs="Arial"/>
          <w:sz w:val="24"/>
          <w:szCs w:val="24"/>
        </w:rPr>
        <w:t xml:space="preserve">). </w:t>
      </w:r>
      <w:r w:rsidRPr="00315335">
        <w:rPr>
          <w:rFonts w:ascii="Arial" w:hAnsi="Arial" w:cs="Arial"/>
          <w:sz w:val="24"/>
          <w:szCs w:val="24"/>
          <w:lang w:val="fr-BE"/>
        </w:rPr>
        <w:t>Principalele sectoare sursă de emisii de substanțe acidifiante sunt: producția și distribuți aenergiei, utlizarea energiei în industrie, procesele industriale, transportul rutier, nerutier, sectorul comercial, industrial.</w:t>
      </w:r>
    </w:p>
    <w:p w:rsidR="00F40E00" w:rsidRPr="00315335" w:rsidRDefault="00F40E00" w:rsidP="00F40E00">
      <w:pPr>
        <w:tabs>
          <w:tab w:val="num" w:pos="0"/>
        </w:tabs>
        <w:spacing w:after="0" w:line="240" w:lineRule="auto"/>
        <w:jc w:val="both"/>
        <w:rPr>
          <w:rFonts w:ascii="Arial" w:hAnsi="Arial" w:cs="Arial"/>
          <w:sz w:val="24"/>
          <w:szCs w:val="24"/>
        </w:rPr>
      </w:pPr>
      <w:r w:rsidRPr="00315335">
        <w:rPr>
          <w:rFonts w:ascii="Arial" w:hAnsi="Arial" w:cs="Arial"/>
          <w:sz w:val="24"/>
          <w:szCs w:val="24"/>
        </w:rPr>
        <w:tab/>
        <w:t>Acidifierea este procesul de modificare a caracterului chimic natural al unui component al mediului, conducând la modificarea pH-ului aerului, precipitaţiilor şi chiar al solului.</w:t>
      </w:r>
    </w:p>
    <w:p w:rsidR="00F40E00" w:rsidRPr="00315335" w:rsidRDefault="00F40E00" w:rsidP="00F40E00">
      <w:pPr>
        <w:spacing w:after="0" w:line="240" w:lineRule="auto"/>
        <w:ind w:firstLine="720"/>
        <w:jc w:val="both"/>
        <w:rPr>
          <w:rFonts w:ascii="Arial" w:hAnsi="Arial" w:cs="Arial"/>
          <w:sz w:val="24"/>
          <w:szCs w:val="24"/>
        </w:rPr>
      </w:pPr>
      <w:r w:rsidRPr="00315335">
        <w:rPr>
          <w:rFonts w:ascii="Arial" w:hAnsi="Arial" w:cs="Arial"/>
          <w:bCs/>
          <w:sz w:val="24"/>
          <w:szCs w:val="24"/>
        </w:rPr>
        <w:t xml:space="preserve">Acidifierea atmosferei este produsă de transformarea emisiilor de </w:t>
      </w:r>
      <w:r w:rsidRPr="00315335">
        <w:rPr>
          <w:rFonts w:ascii="Arial" w:hAnsi="Arial" w:cs="Arial"/>
          <w:sz w:val="24"/>
          <w:szCs w:val="24"/>
        </w:rPr>
        <w:t>oxizii de sulf, oxizii de azot şi amoniac</w:t>
      </w:r>
      <w:r w:rsidRPr="00315335">
        <w:rPr>
          <w:rFonts w:ascii="Arial" w:hAnsi="Arial" w:cs="Arial"/>
          <w:b/>
          <w:sz w:val="24"/>
          <w:szCs w:val="24"/>
        </w:rPr>
        <w:t xml:space="preserve"> în substanţe acide. </w:t>
      </w:r>
      <w:r w:rsidRPr="00315335">
        <w:rPr>
          <w:rFonts w:ascii="Arial" w:hAnsi="Arial" w:cs="Arial"/>
          <w:bCs/>
          <w:sz w:val="24"/>
          <w:szCs w:val="24"/>
        </w:rPr>
        <w:t>Efectul sinergic al acestor poluanţi are un impact semnificativ asupra factorilor de mediu: aer, apă şi sol.</w:t>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Fig.nr.I.2.1-1</w:t>
      </w:r>
    </w:p>
    <w:p w:rsidR="00F40E00" w:rsidRPr="00315335" w:rsidRDefault="00F40E00" w:rsidP="00F40E00">
      <w:pPr>
        <w:pStyle w:val="Listparagraf"/>
        <w:tabs>
          <w:tab w:val="left" w:pos="2528"/>
        </w:tabs>
        <w:ind w:left="1440"/>
        <w:rPr>
          <w:rFonts w:ascii="Arial" w:hAnsi="Arial" w:cs="Arial"/>
        </w:rPr>
      </w:pPr>
    </w:p>
    <w:p w:rsidR="00F40E00" w:rsidRPr="00315335" w:rsidRDefault="00F40E00" w:rsidP="00F40E00">
      <w:pPr>
        <w:pStyle w:val="Listparagraf"/>
        <w:tabs>
          <w:tab w:val="left" w:pos="2528"/>
        </w:tabs>
        <w:ind w:left="1440"/>
        <w:rPr>
          <w:rFonts w:ascii="Arial" w:hAnsi="Arial" w:cs="Arial"/>
        </w:rPr>
      </w:pPr>
      <w:r w:rsidRPr="00315335">
        <w:rPr>
          <w:noProof/>
          <w:lang w:val="ro-RO"/>
        </w:rPr>
        <w:drawing>
          <wp:inline distT="0" distB="0" distL="0" distR="0" wp14:anchorId="34FB39B9" wp14:editId="24E23B63">
            <wp:extent cx="4709795" cy="2028825"/>
            <wp:effectExtent l="0" t="0" r="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Cod indicator România RO 02</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Emisiile de precursori ai ozonului</w:t>
      </w:r>
    </w:p>
    <w:p w:rsidR="00E563DA" w:rsidRDefault="00F40E00" w:rsidP="00E563DA">
      <w:pPr>
        <w:rPr>
          <w:rFonts w:ascii="Arial" w:hAnsi="Arial" w:cs="Arial"/>
          <w:sz w:val="24"/>
          <w:szCs w:val="24"/>
        </w:rPr>
      </w:pPr>
      <w:r w:rsidRPr="00315335">
        <w:rPr>
          <w:rFonts w:ascii="Arial" w:hAnsi="Arial" w:cs="Arial"/>
          <w:sz w:val="24"/>
          <w:szCs w:val="24"/>
        </w:rPr>
        <w:t>Indicatorul urmărește tendințele emisiilor antropice de poluanți precursori ai ozonului: oxizi de azot (NOx), monoxid de carbon (CO), metan(CH</w:t>
      </w:r>
      <w:r w:rsidRPr="00315335">
        <w:rPr>
          <w:rFonts w:ascii="Arial" w:hAnsi="Arial" w:cs="Arial"/>
          <w:sz w:val="24"/>
          <w:szCs w:val="24"/>
          <w:vertAlign w:val="subscript"/>
        </w:rPr>
        <w:t>4</w:t>
      </w:r>
      <w:r w:rsidRPr="00315335">
        <w:rPr>
          <w:rFonts w:ascii="Arial" w:hAnsi="Arial" w:cs="Arial"/>
          <w:sz w:val="24"/>
          <w:szCs w:val="24"/>
        </w:rPr>
        <w:t>) și compuși organici volatili nemetanici(COVNM) proveniți din: producția și distribuția energiei, utilizarea energiei în industrie, procesele industriale, transportul rutier, nerutier, sectorul comercial, industrial.</w:t>
      </w:r>
    </w:p>
    <w:p w:rsidR="00F40E00" w:rsidRPr="00315335" w:rsidRDefault="00F40E00" w:rsidP="00E563DA">
      <w:pPr>
        <w:rPr>
          <w:rFonts w:ascii="Arial" w:hAnsi="Arial" w:cs="Arial"/>
          <w:b/>
          <w:sz w:val="24"/>
          <w:szCs w:val="24"/>
        </w:rPr>
      </w:pPr>
      <w:r w:rsidRPr="00315335">
        <w:rPr>
          <w:rFonts w:ascii="Arial" w:hAnsi="Arial" w:cs="Arial"/>
          <w:b/>
          <w:sz w:val="24"/>
          <w:szCs w:val="24"/>
        </w:rPr>
        <w:t>Fig. nr.I.2.1-2</w:t>
      </w:r>
    </w:p>
    <w:p w:rsidR="00F40E00" w:rsidRPr="00315335" w:rsidRDefault="00F40E00" w:rsidP="00F40E00">
      <w:pPr>
        <w:ind w:firstLine="720"/>
        <w:rPr>
          <w:rFonts w:ascii="Arial" w:hAnsi="Arial" w:cs="Arial"/>
          <w:sz w:val="24"/>
          <w:szCs w:val="24"/>
        </w:rPr>
      </w:pPr>
      <w:r w:rsidRPr="00315335">
        <w:rPr>
          <w:rFonts w:ascii="Arial" w:hAnsi="Arial" w:cs="Arial"/>
          <w:noProof/>
          <w:sz w:val="24"/>
          <w:szCs w:val="24"/>
        </w:rPr>
        <w:drawing>
          <wp:anchor distT="0" distB="0" distL="114300" distR="114300" simplePos="0" relativeHeight="251656704" behindDoc="0" locked="0" layoutInCell="1" allowOverlap="1" wp14:anchorId="160CFBE4" wp14:editId="0B2812C7">
            <wp:simplePos x="1200150" y="5057775"/>
            <wp:positionH relativeFrom="column">
              <wp:align>left</wp:align>
            </wp:positionH>
            <wp:positionV relativeFrom="paragraph">
              <wp:align>top</wp:align>
            </wp:positionV>
            <wp:extent cx="5838825" cy="2286000"/>
            <wp:effectExtent l="0" t="0" r="0" b="0"/>
            <wp:wrapSquare wrapText="bothSides"/>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ind w:firstLine="720"/>
        <w:rPr>
          <w:rFonts w:ascii="Arial" w:hAnsi="Arial" w:cs="Arial"/>
          <w:sz w:val="24"/>
          <w:szCs w:val="24"/>
        </w:rPr>
      </w:pPr>
    </w:p>
    <w:p w:rsidR="00F40E00" w:rsidRPr="00315335" w:rsidRDefault="00F40E00" w:rsidP="00E563DA">
      <w:pPr>
        <w:ind w:firstLine="720"/>
        <w:rPr>
          <w:rFonts w:ascii="Arial" w:hAnsi="Arial" w:cs="Arial"/>
          <w:i/>
        </w:rPr>
      </w:pPr>
      <w:r w:rsidRPr="00315335">
        <w:rPr>
          <w:rFonts w:ascii="Arial" w:hAnsi="Arial" w:cs="Arial"/>
          <w:sz w:val="24"/>
          <w:szCs w:val="24"/>
        </w:rPr>
        <w:br w:type="textWrapping" w:clear="all"/>
      </w:r>
      <w:r w:rsidRPr="00315335">
        <w:rPr>
          <w:rFonts w:ascii="Arial" w:hAnsi="Arial" w:cs="Arial"/>
          <w:i/>
        </w:rPr>
        <w:t>Datele sunt cu caracter provizoriu</w:t>
      </w:r>
    </w:p>
    <w:p w:rsidR="00F40E00" w:rsidRPr="00315335" w:rsidRDefault="00F40E00" w:rsidP="00F40E00">
      <w:pPr>
        <w:spacing w:after="0" w:line="240" w:lineRule="auto"/>
        <w:rPr>
          <w:rFonts w:ascii="Arial" w:hAnsi="Arial" w:cs="Arial"/>
          <w:sz w:val="24"/>
          <w:szCs w:val="24"/>
        </w:rPr>
      </w:pPr>
      <w:r w:rsidRPr="00315335">
        <w:rPr>
          <w:rFonts w:ascii="Arial" w:hAnsi="Arial" w:cs="Arial"/>
          <w:sz w:val="24"/>
          <w:szCs w:val="24"/>
        </w:rPr>
        <w:t>Emisiile de oxizi de azot provin în principal din traficul rutier, din industria energetică şi din industria de prelucrare.</w:t>
      </w:r>
    </w:p>
    <w:p w:rsidR="00F40E00" w:rsidRPr="00315335" w:rsidRDefault="00F40E00" w:rsidP="00F40E00">
      <w:pPr>
        <w:pStyle w:val="Indentcorptext"/>
        <w:spacing w:after="0" w:line="240" w:lineRule="auto"/>
        <w:ind w:left="0"/>
        <w:rPr>
          <w:rFonts w:ascii="Arial" w:hAnsi="Arial" w:cs="Arial"/>
          <w:sz w:val="24"/>
          <w:szCs w:val="24"/>
        </w:rPr>
      </w:pPr>
      <w:r w:rsidRPr="00315335">
        <w:rPr>
          <w:rFonts w:ascii="Arial" w:hAnsi="Arial" w:cs="Arial"/>
          <w:sz w:val="24"/>
          <w:szCs w:val="24"/>
        </w:rPr>
        <w:t>Compuşii organici volatili (COV) sunt compuşi chimici care au o presiune a vaporilor crescută, de unde rezultă volatilitatea lor ridicată.</w:t>
      </w:r>
    </w:p>
    <w:p w:rsidR="00F40E00" w:rsidRPr="00315335" w:rsidRDefault="00F40E00" w:rsidP="00F40E00">
      <w:pPr>
        <w:pStyle w:val="Indentcorptext"/>
        <w:spacing w:after="0" w:line="240" w:lineRule="auto"/>
        <w:ind w:left="0"/>
        <w:rPr>
          <w:rFonts w:ascii="Arial" w:hAnsi="Arial" w:cs="Arial"/>
          <w:sz w:val="24"/>
          <w:szCs w:val="24"/>
        </w:rPr>
      </w:pPr>
      <w:r w:rsidRPr="00315335">
        <w:rPr>
          <w:rFonts w:ascii="Arial" w:hAnsi="Arial" w:cs="Arial"/>
          <w:sz w:val="24"/>
          <w:szCs w:val="24"/>
        </w:rPr>
        <w:t xml:space="preserve">Aceste emisii sunt generate preponderent din activităţile de extractie, de stocare şi distribuţie a combustibililor fosili. </w:t>
      </w: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Cod indicator România RO 03</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particule primare și precursori secundari de particule</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Indicatorul urmărește tendințele emisiilor de particule primare cu diametrul mai mic de 2,5µm (PM</w:t>
      </w:r>
      <w:r w:rsidRPr="00315335">
        <w:rPr>
          <w:rFonts w:ascii="Arial" w:hAnsi="Arial" w:cs="Arial"/>
          <w:sz w:val="24"/>
          <w:szCs w:val="24"/>
          <w:vertAlign w:val="subscript"/>
          <w:lang w:val="fr-BE"/>
        </w:rPr>
        <w:t>2,5</w:t>
      </w:r>
      <w:r w:rsidRPr="00315335">
        <w:rPr>
          <w:rFonts w:ascii="Arial" w:hAnsi="Arial" w:cs="Arial"/>
          <w:sz w:val="24"/>
          <w:szCs w:val="24"/>
          <w:lang w:val="fr-BE"/>
        </w:rPr>
        <w:t>) șirespectiv 10µm (PM</w:t>
      </w:r>
      <w:r w:rsidRPr="00315335">
        <w:rPr>
          <w:rFonts w:ascii="Arial" w:hAnsi="Arial" w:cs="Arial"/>
          <w:sz w:val="24"/>
          <w:szCs w:val="24"/>
          <w:vertAlign w:val="subscript"/>
          <w:lang w:val="fr-BE"/>
        </w:rPr>
        <w:t>10</w:t>
      </w:r>
      <w:r w:rsidRPr="00315335">
        <w:rPr>
          <w:rFonts w:ascii="Arial" w:hAnsi="Arial" w:cs="Arial"/>
          <w:sz w:val="24"/>
          <w:szCs w:val="24"/>
          <w:lang w:val="fr-BE"/>
        </w:rPr>
        <w:t>) provenite de la sursele antropice pe sectoare de sursă: producția șidistribuția energiei, utilizarea energiei în industrie, procesele industriale, transportul rutier, nerutier, sectorul comercial, industrial.</w:t>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nr.I.2.1- 3</w:t>
      </w:r>
    </w:p>
    <w:p w:rsidR="00F40E00" w:rsidRPr="00315335" w:rsidRDefault="00F40E00" w:rsidP="00F40E00">
      <w:pPr>
        <w:tabs>
          <w:tab w:val="left" w:pos="2043"/>
        </w:tabs>
        <w:jc w:val="center"/>
        <w:rPr>
          <w:rFonts w:ascii="Arial" w:hAnsi="Arial" w:cs="Arial"/>
          <w:sz w:val="24"/>
          <w:szCs w:val="24"/>
        </w:rPr>
      </w:pPr>
      <w:r w:rsidRPr="00315335">
        <w:rPr>
          <w:rFonts w:ascii="Arial" w:hAnsi="Arial" w:cs="Arial"/>
          <w:noProof/>
          <w:sz w:val="24"/>
          <w:szCs w:val="24"/>
        </w:rPr>
        <w:drawing>
          <wp:inline distT="0" distB="0" distL="0" distR="0" wp14:anchorId="1B651192" wp14:editId="0F5FC723">
            <wp:extent cx="5038725" cy="2419350"/>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0E00" w:rsidRPr="00315335" w:rsidRDefault="00F40E00" w:rsidP="00F40E00">
      <w:pPr>
        <w:spacing w:after="0" w:line="240" w:lineRule="auto"/>
        <w:jc w:val="both"/>
        <w:rPr>
          <w:rFonts w:ascii="Arial" w:hAnsi="Arial" w:cs="Arial"/>
          <w:sz w:val="24"/>
          <w:szCs w:val="24"/>
          <w:lang w:val="fr-BE"/>
        </w:rPr>
      </w:pP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lastRenderedPageBreak/>
        <w:t>Datele sunt cu caracter provizoriu</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 România RO 38</w:t>
      </w:r>
    </w:p>
    <w:p w:rsidR="00F40E00" w:rsidRPr="00315335" w:rsidRDefault="00F40E00" w:rsidP="00F40E00">
      <w:pPr>
        <w:tabs>
          <w:tab w:val="left" w:pos="5025"/>
        </w:tabs>
        <w:spacing w:after="0" w:line="240" w:lineRule="auto"/>
        <w:jc w:val="both"/>
        <w:rPr>
          <w:rFonts w:ascii="Arial" w:hAnsi="Arial" w:cs="Arial"/>
          <w:sz w:val="24"/>
          <w:szCs w:val="24"/>
          <w:lang w:val="fr-BE"/>
        </w:rPr>
      </w:pPr>
      <w:r w:rsidRPr="00315335">
        <w:rPr>
          <w:rFonts w:ascii="Arial" w:hAnsi="Arial" w:cs="Arial"/>
          <w:sz w:val="24"/>
          <w:szCs w:val="24"/>
          <w:lang w:val="fr-BE"/>
        </w:rPr>
        <w:t>Emisiile de metale grele</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Indicatorul urmărește tendințele emisiilor antropice pe sectoare de activitate: producția și distribuția energiei, utilizarea energiei în industrie, procesele industriale, transportul rutier, nerutier, sectorul comercial, industrial.</w:t>
      </w:r>
    </w:p>
    <w:p w:rsidR="00F40E00" w:rsidRPr="00315335" w:rsidRDefault="00F40E00" w:rsidP="00F40E00">
      <w:pPr>
        <w:spacing w:after="0" w:line="240" w:lineRule="auto"/>
        <w:rPr>
          <w:rFonts w:ascii="Arial" w:hAnsi="Arial" w:cs="Arial"/>
          <w:b/>
          <w:sz w:val="24"/>
          <w:szCs w:val="24"/>
        </w:rPr>
      </w:pPr>
      <w:r w:rsidRPr="00315335">
        <w:rPr>
          <w:rFonts w:ascii="Arial" w:hAnsi="Arial" w:cs="Arial"/>
          <w:sz w:val="24"/>
          <w:szCs w:val="24"/>
        </w:rPr>
        <w:t>Principalele activităţi generatoare de emisii cu conţinut de metale grele sunt traficul naval, traficul rutier.</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b/>
          <w:sz w:val="24"/>
          <w:szCs w:val="24"/>
        </w:rPr>
        <w:t xml:space="preserve">         Fig. nr.I.2.1- 4</w:t>
      </w:r>
    </w:p>
    <w:p w:rsidR="00F40E00" w:rsidRPr="00315335" w:rsidRDefault="00F40E00" w:rsidP="00F40E00">
      <w:pPr>
        <w:tabs>
          <w:tab w:val="left" w:pos="1490"/>
        </w:tabs>
        <w:rPr>
          <w:rFonts w:ascii="Arial" w:hAnsi="Arial" w:cs="Arial"/>
          <w:sz w:val="24"/>
          <w:szCs w:val="24"/>
        </w:rPr>
      </w:pPr>
      <w:r w:rsidRPr="00315335">
        <w:rPr>
          <w:rFonts w:ascii="Arial" w:hAnsi="Arial" w:cs="Arial"/>
          <w:noProof/>
          <w:sz w:val="24"/>
          <w:szCs w:val="24"/>
        </w:rPr>
        <w:drawing>
          <wp:anchor distT="0" distB="0" distL="114300" distR="114300" simplePos="0" relativeHeight="251654656" behindDoc="0" locked="0" layoutInCell="1" allowOverlap="1" wp14:anchorId="68674CEC" wp14:editId="5DFEF750">
            <wp:simplePos x="0" y="0"/>
            <wp:positionH relativeFrom="column">
              <wp:posOffset>575310</wp:posOffset>
            </wp:positionH>
            <wp:positionV relativeFrom="paragraph">
              <wp:posOffset>142240</wp:posOffset>
            </wp:positionV>
            <wp:extent cx="4972050" cy="2590800"/>
            <wp:effectExtent l="19050" t="0" r="0" b="0"/>
            <wp:wrapSquare wrapText="bothSides"/>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315335">
        <w:rPr>
          <w:rFonts w:ascii="Arial" w:hAnsi="Arial" w:cs="Arial"/>
          <w:sz w:val="24"/>
          <w:szCs w:val="24"/>
        </w:rPr>
        <w:tab/>
      </w: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Cod indicator România RO 39</w:t>
      </w:r>
    </w:p>
    <w:p w:rsidR="00F40E00" w:rsidRPr="00315335" w:rsidRDefault="00F40E00" w:rsidP="00F40E00">
      <w:pPr>
        <w:tabs>
          <w:tab w:val="left" w:pos="5025"/>
        </w:tabs>
        <w:spacing w:after="0" w:line="240" w:lineRule="auto"/>
        <w:jc w:val="both"/>
        <w:rPr>
          <w:rFonts w:ascii="Arial" w:hAnsi="Arial" w:cs="Arial"/>
          <w:sz w:val="24"/>
          <w:szCs w:val="24"/>
          <w:lang w:val="fr-BE"/>
        </w:rPr>
      </w:pPr>
    </w:p>
    <w:p w:rsidR="00F40E00" w:rsidRPr="00315335" w:rsidRDefault="00F40E00" w:rsidP="00F40E00">
      <w:pPr>
        <w:tabs>
          <w:tab w:val="left" w:pos="5025"/>
        </w:tabs>
        <w:spacing w:after="0" w:line="240" w:lineRule="auto"/>
        <w:jc w:val="both"/>
        <w:rPr>
          <w:rFonts w:ascii="Arial" w:hAnsi="Arial" w:cs="Arial"/>
          <w:sz w:val="24"/>
          <w:szCs w:val="24"/>
          <w:lang w:val="fr-BE"/>
        </w:rPr>
      </w:pPr>
      <w:r w:rsidRPr="00315335">
        <w:rPr>
          <w:rFonts w:ascii="Arial" w:hAnsi="Arial" w:cs="Arial"/>
          <w:sz w:val="24"/>
          <w:szCs w:val="24"/>
          <w:lang w:val="fr-BE"/>
        </w:rPr>
        <w:t>Emisiile de poluanți organici persistenți</w:t>
      </w:r>
      <w:r w:rsidRPr="00315335">
        <w:rPr>
          <w:rFonts w:ascii="Arial" w:hAnsi="Arial" w:cs="Arial"/>
          <w:sz w:val="24"/>
          <w:szCs w:val="24"/>
          <w:lang w:val="fr-BE"/>
        </w:rPr>
        <w:tab/>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Indicatorul urmărește tendințele emisiilor antropice de poluanți organici persistenți, de hidrocarburi aromatice policiclice (PAH) pe sectoare de activitate: producția și distribuția energiei, utilizarea energiei în industrie, procesele industriale, transportul rutier, nerutier, sectorul comercial, industrial, agricultura, depozitele de deșeuri.</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Poluanţii organici persistenţi sunt substanţe chimice foarte stabile, care se pot acumula în lanţurile trofice biologice, cu un grad mare de risc asupra sănătăţii omului şi mediului înconjurător.</w:t>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nr.I.2.1-5</w:t>
      </w:r>
    </w:p>
    <w:p w:rsidR="00F40E00" w:rsidRPr="00315335" w:rsidRDefault="00F40E00" w:rsidP="00F40E00">
      <w:pPr>
        <w:tabs>
          <w:tab w:val="left" w:pos="1859"/>
        </w:tabs>
        <w:jc w:val="center"/>
        <w:rPr>
          <w:rFonts w:ascii="Arial" w:hAnsi="Arial" w:cs="Arial"/>
          <w:sz w:val="24"/>
          <w:szCs w:val="24"/>
        </w:rPr>
      </w:pPr>
      <w:r w:rsidRPr="00315335">
        <w:rPr>
          <w:rFonts w:ascii="Arial" w:hAnsi="Arial" w:cs="Arial"/>
          <w:noProof/>
          <w:sz w:val="24"/>
          <w:szCs w:val="24"/>
        </w:rPr>
        <w:drawing>
          <wp:inline distT="0" distB="0" distL="0" distR="0" wp14:anchorId="1962A263" wp14:editId="77FC8023">
            <wp:extent cx="5095875" cy="2228850"/>
            <wp:effectExtent l="19050" t="0" r="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I.2.1.2. Industria</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Cod indicator România RO 01</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substanțe acidifiante</w:t>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lastRenderedPageBreak/>
        <w:t xml:space="preserve">  Fig. nr.I.2.1.2-1</w:t>
      </w:r>
    </w:p>
    <w:p w:rsidR="00F40E00" w:rsidRPr="00315335" w:rsidRDefault="00F40E00" w:rsidP="00F40E00">
      <w:pPr>
        <w:jc w:val="center"/>
        <w:rPr>
          <w:rFonts w:ascii="Arial" w:hAnsi="Arial" w:cs="Arial"/>
          <w:sz w:val="24"/>
          <w:szCs w:val="24"/>
        </w:rPr>
      </w:pPr>
      <w:r w:rsidRPr="00315335">
        <w:rPr>
          <w:rFonts w:ascii="Arial" w:hAnsi="Arial" w:cs="Arial"/>
          <w:noProof/>
          <w:sz w:val="24"/>
          <w:szCs w:val="24"/>
        </w:rPr>
        <w:drawing>
          <wp:inline distT="0" distB="0" distL="0" distR="0" wp14:anchorId="2CCCA631" wp14:editId="421079CC">
            <wp:extent cx="4667250" cy="2057400"/>
            <wp:effectExtent l="0" t="0" r="0"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rPr>
        <w:tab/>
      </w:r>
      <w:r w:rsidRPr="00315335">
        <w:rPr>
          <w:rFonts w:ascii="Arial" w:hAnsi="Arial" w:cs="Arial"/>
          <w:i/>
          <w:sz w:val="22"/>
          <w:szCs w:val="22"/>
        </w:rPr>
        <w:t>Datele sunt cu caracter provizoriu</w:t>
      </w:r>
    </w:p>
    <w:p w:rsidR="00F40E00" w:rsidRPr="00315335" w:rsidRDefault="00F40E00" w:rsidP="00F40E00">
      <w:pPr>
        <w:tabs>
          <w:tab w:val="num" w:pos="0"/>
        </w:tabs>
        <w:spacing w:after="0" w:line="240" w:lineRule="auto"/>
        <w:jc w:val="both"/>
        <w:rPr>
          <w:rFonts w:ascii="Arial" w:hAnsi="Arial" w:cs="Arial"/>
          <w:sz w:val="24"/>
          <w:szCs w:val="24"/>
        </w:rPr>
      </w:pPr>
    </w:p>
    <w:p w:rsidR="00F40E00" w:rsidRPr="00315335" w:rsidRDefault="00F40E00" w:rsidP="00F40E00">
      <w:pPr>
        <w:tabs>
          <w:tab w:val="num" w:pos="0"/>
        </w:tabs>
        <w:spacing w:after="0" w:line="240" w:lineRule="auto"/>
        <w:jc w:val="both"/>
        <w:rPr>
          <w:rFonts w:ascii="Arial" w:hAnsi="Arial" w:cs="Arial"/>
          <w:b/>
          <w:sz w:val="24"/>
          <w:szCs w:val="24"/>
        </w:rPr>
      </w:pPr>
      <w:r w:rsidRPr="00315335">
        <w:rPr>
          <w:rFonts w:ascii="Arial" w:hAnsi="Arial" w:cs="Arial"/>
          <w:sz w:val="24"/>
          <w:szCs w:val="24"/>
        </w:rPr>
        <w:tab/>
        <w:t>În prezent, în județul Brăila există o singură instalație mare de ardere  aparținând SC COMPLEXUL ENERGETIC OLTENIA SA - SUCURSALA ELECTROCENTRALE CHISCANI, societate administrată în sistem dualist,. APM Brăila a emis autorizația integrată de mediu nr. 1 din 27.02.2015 valabilă până la data de 27.02.2025 cu condiția exploatării instalației în limita a 17500 ore în perioada 01.01.2016-31.12.2023.</w:t>
      </w:r>
      <w:r w:rsidRPr="00315335">
        <w:t xml:space="preserve"> </w:t>
      </w:r>
      <w:r w:rsidRPr="00315335">
        <w:rPr>
          <w:rFonts w:ascii="Arial" w:hAnsi="Arial" w:cs="Arial"/>
          <w:sz w:val="24"/>
          <w:szCs w:val="24"/>
        </w:rPr>
        <w:t>Instalația nu mai are perioada de tranziție aprobată, iar autorizația integrată de mediu a fost emisă fără program de  măsuri de etapizare/conformare – și a trecut la funcționarea pe gaz metan.</w:t>
      </w:r>
      <w:r w:rsidRPr="00315335">
        <w:rPr>
          <w:rFonts w:ascii="Arial" w:hAnsi="Arial" w:cs="Arial"/>
          <w:b/>
          <w:sz w:val="24"/>
          <w:szCs w:val="24"/>
        </w:rPr>
        <w:tab/>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nr.I.2.1.2 -2</w:t>
      </w:r>
    </w:p>
    <w:p w:rsidR="00F40E00" w:rsidRPr="00315335" w:rsidRDefault="00F40E00" w:rsidP="00F40E00">
      <w:pPr>
        <w:tabs>
          <w:tab w:val="left" w:pos="1457"/>
          <w:tab w:val="left" w:pos="2830"/>
        </w:tabs>
        <w:rPr>
          <w:rFonts w:ascii="Arial" w:hAnsi="Arial" w:cs="Arial"/>
          <w:sz w:val="24"/>
          <w:szCs w:val="24"/>
        </w:rPr>
      </w:pPr>
      <w:r w:rsidRPr="00315335">
        <w:rPr>
          <w:rFonts w:ascii="Arial" w:hAnsi="Arial" w:cs="Arial"/>
          <w:sz w:val="24"/>
          <w:szCs w:val="24"/>
        </w:rPr>
        <w:tab/>
      </w:r>
      <w:r w:rsidRPr="00315335">
        <w:rPr>
          <w:rFonts w:ascii="Arial" w:hAnsi="Arial" w:cs="Arial"/>
          <w:noProof/>
          <w:sz w:val="24"/>
          <w:szCs w:val="24"/>
        </w:rPr>
        <w:drawing>
          <wp:inline distT="0" distB="0" distL="0" distR="0" wp14:anchorId="0D1D5257" wp14:editId="38EC952B">
            <wp:extent cx="4327451" cy="2275368"/>
            <wp:effectExtent l="0" t="0" r="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nr.I.2.1.2-3</w:t>
      </w:r>
    </w:p>
    <w:p w:rsidR="00F40E00" w:rsidRPr="00315335" w:rsidRDefault="00F40E00" w:rsidP="00F40E00">
      <w:pPr>
        <w:tabs>
          <w:tab w:val="left" w:pos="2562"/>
        </w:tabs>
        <w:jc w:val="center"/>
        <w:rPr>
          <w:rFonts w:ascii="Arial" w:hAnsi="Arial" w:cs="Arial"/>
          <w:sz w:val="24"/>
          <w:szCs w:val="24"/>
        </w:rPr>
      </w:pPr>
      <w:r w:rsidRPr="00315335">
        <w:rPr>
          <w:rFonts w:ascii="Arial" w:hAnsi="Arial" w:cs="Arial"/>
          <w:noProof/>
          <w:sz w:val="24"/>
          <w:szCs w:val="24"/>
        </w:rPr>
        <w:drawing>
          <wp:inline distT="0" distB="0" distL="0" distR="0" wp14:anchorId="672369FC" wp14:editId="54A5E0CE">
            <wp:extent cx="5082363" cy="2530548"/>
            <wp:effectExtent l="0" t="0" r="4445" b="3175"/>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sz w:val="24"/>
          <w:szCs w:val="24"/>
          <w:lang w:val="fr-BE"/>
        </w:rPr>
      </w:pP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lastRenderedPageBreak/>
        <w:t>Cod indicator România RO 02</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precursori ai ozonului</w:t>
      </w:r>
    </w:p>
    <w:p w:rsidR="00F40E00" w:rsidRPr="00315335" w:rsidRDefault="00F40E00" w:rsidP="00F40E00">
      <w:pPr>
        <w:spacing w:after="0" w:line="240" w:lineRule="auto"/>
        <w:jc w:val="both"/>
        <w:rPr>
          <w:rFonts w:ascii="Arial" w:hAnsi="Arial" w:cs="Arial"/>
          <w:sz w:val="24"/>
          <w:szCs w:val="24"/>
          <w:lang w:val="fr-BE"/>
        </w:rPr>
      </w:pPr>
    </w:p>
    <w:p w:rsidR="00F40E00" w:rsidRPr="00315335" w:rsidRDefault="00F40E00" w:rsidP="00F40E00">
      <w:pPr>
        <w:spacing w:after="0" w:line="240" w:lineRule="auto"/>
        <w:rPr>
          <w:rFonts w:ascii="Arial" w:hAnsi="Arial" w:cs="Arial"/>
          <w:b/>
          <w:sz w:val="24"/>
          <w:szCs w:val="24"/>
        </w:rPr>
      </w:pPr>
      <w:r w:rsidRPr="00315335">
        <w:rPr>
          <w:rFonts w:ascii="Arial" w:hAnsi="Arial" w:cs="Arial"/>
          <w:b/>
          <w:sz w:val="24"/>
          <w:szCs w:val="24"/>
        </w:rPr>
        <w:t>Fig.nr.I.2.1.2- 4</w:t>
      </w:r>
    </w:p>
    <w:p w:rsidR="00F40E00" w:rsidRPr="00315335" w:rsidRDefault="00F40E00" w:rsidP="00F40E00">
      <w:pPr>
        <w:tabs>
          <w:tab w:val="left" w:pos="1323"/>
        </w:tabs>
        <w:rPr>
          <w:rFonts w:ascii="Arial" w:hAnsi="Arial" w:cs="Arial"/>
          <w:sz w:val="24"/>
          <w:szCs w:val="24"/>
        </w:rPr>
      </w:pPr>
      <w:r w:rsidRPr="00315335">
        <w:rPr>
          <w:rFonts w:ascii="Arial" w:hAnsi="Arial" w:cs="Arial"/>
          <w:b/>
          <w:noProof/>
          <w:sz w:val="24"/>
          <w:szCs w:val="24"/>
        </w:rPr>
        <w:drawing>
          <wp:anchor distT="0" distB="0" distL="114300" distR="114300" simplePos="0" relativeHeight="251655680" behindDoc="0" locked="0" layoutInCell="1" allowOverlap="1" wp14:anchorId="7AAE2D21" wp14:editId="07063338">
            <wp:simplePos x="0" y="0"/>
            <wp:positionH relativeFrom="column">
              <wp:posOffset>661035</wp:posOffset>
            </wp:positionH>
            <wp:positionV relativeFrom="paragraph">
              <wp:posOffset>172085</wp:posOffset>
            </wp:positionV>
            <wp:extent cx="4181475" cy="2409825"/>
            <wp:effectExtent l="0" t="0" r="0" b="0"/>
            <wp:wrapSquare wrapText="bothSides"/>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rPr>
          <w:rFonts w:ascii="Arial" w:hAnsi="Arial" w:cs="Arial"/>
          <w:sz w:val="24"/>
          <w:szCs w:val="24"/>
        </w:rPr>
      </w:pPr>
    </w:p>
    <w:p w:rsidR="00F40E00" w:rsidRPr="00315335" w:rsidRDefault="00F40E00" w:rsidP="00F40E00">
      <w:pPr>
        <w:tabs>
          <w:tab w:val="left" w:pos="1105"/>
        </w:tabs>
        <w:rPr>
          <w:rFonts w:ascii="Arial" w:hAnsi="Arial" w:cs="Arial"/>
          <w:sz w:val="24"/>
          <w:szCs w:val="24"/>
        </w:rPr>
      </w:pPr>
      <w:r w:rsidRPr="00315335">
        <w:rPr>
          <w:rFonts w:ascii="Arial" w:hAnsi="Arial" w:cs="Arial"/>
          <w:sz w:val="24"/>
          <w:szCs w:val="24"/>
        </w:rPr>
        <w:tab/>
      </w: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Cod indicator România RO 03</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particule primare și precursori secundari de particule</w:t>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nr.I.2.1.2- 5</w:t>
      </w:r>
    </w:p>
    <w:p w:rsidR="00F40E00" w:rsidRPr="00315335" w:rsidRDefault="00F40E00" w:rsidP="00F40E00">
      <w:pPr>
        <w:tabs>
          <w:tab w:val="left" w:pos="2428"/>
        </w:tabs>
        <w:jc w:val="center"/>
        <w:rPr>
          <w:rFonts w:ascii="Arial" w:hAnsi="Arial" w:cs="Arial"/>
          <w:sz w:val="24"/>
          <w:szCs w:val="24"/>
        </w:rPr>
      </w:pPr>
      <w:r w:rsidRPr="00315335">
        <w:rPr>
          <w:rFonts w:ascii="Arial" w:hAnsi="Arial" w:cs="Arial"/>
          <w:noProof/>
          <w:sz w:val="24"/>
          <w:szCs w:val="24"/>
        </w:rPr>
        <w:drawing>
          <wp:inline distT="0" distB="0" distL="0" distR="0" wp14:anchorId="13E791EF" wp14:editId="35D64635">
            <wp:extent cx="4486275" cy="1981200"/>
            <wp:effectExtent l="0" t="0" r="0"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rPr>
          <w:rFonts w:ascii="Arial" w:hAnsi="Arial" w:cs="Arial"/>
          <w:sz w:val="24"/>
          <w:szCs w:val="24"/>
          <w:lang w:val="fr-BE"/>
        </w:rPr>
      </w:pPr>
      <w:r w:rsidRPr="00315335">
        <w:rPr>
          <w:rFonts w:ascii="Arial" w:hAnsi="Arial" w:cs="Arial"/>
          <w:sz w:val="24"/>
          <w:szCs w:val="24"/>
          <w:lang w:val="fr-BE"/>
        </w:rPr>
        <w:t>Cod indicator România RO 39</w:t>
      </w:r>
    </w:p>
    <w:p w:rsidR="00F40E00" w:rsidRPr="00315335" w:rsidRDefault="00F40E00" w:rsidP="00F40E00">
      <w:pPr>
        <w:tabs>
          <w:tab w:val="left" w:pos="1088"/>
        </w:tabs>
        <w:spacing w:after="0" w:line="240" w:lineRule="auto"/>
        <w:rPr>
          <w:rFonts w:ascii="Arial" w:hAnsi="Arial" w:cs="Arial"/>
          <w:sz w:val="24"/>
          <w:szCs w:val="24"/>
        </w:rPr>
      </w:pPr>
      <w:r w:rsidRPr="00315335">
        <w:rPr>
          <w:rFonts w:ascii="Arial" w:hAnsi="Arial" w:cs="Arial"/>
          <w:sz w:val="24"/>
          <w:szCs w:val="24"/>
          <w:lang w:val="fr-BE"/>
        </w:rPr>
        <w:t>Emisiile de poluanți organici persistenți</w:t>
      </w:r>
    </w:p>
    <w:p w:rsidR="00F40E00" w:rsidRPr="00315335" w:rsidRDefault="00F40E00" w:rsidP="00F40E00">
      <w:pPr>
        <w:spacing w:after="0" w:line="240" w:lineRule="auto"/>
        <w:rPr>
          <w:rFonts w:ascii="Arial" w:hAnsi="Arial" w:cs="Arial"/>
          <w:b/>
          <w:sz w:val="24"/>
          <w:szCs w:val="24"/>
        </w:rPr>
      </w:pPr>
      <w:r w:rsidRPr="00315335">
        <w:rPr>
          <w:rFonts w:ascii="Arial" w:hAnsi="Arial" w:cs="Arial"/>
          <w:b/>
          <w:sz w:val="24"/>
          <w:szCs w:val="24"/>
        </w:rPr>
        <w:t>Fig. nr.I.2.1.2- 6</w:t>
      </w:r>
    </w:p>
    <w:p w:rsidR="00F40E00" w:rsidRPr="00315335" w:rsidRDefault="00F40E00" w:rsidP="00F40E00">
      <w:pPr>
        <w:tabs>
          <w:tab w:val="left" w:pos="3198"/>
        </w:tabs>
        <w:jc w:val="center"/>
        <w:rPr>
          <w:rFonts w:ascii="Arial" w:hAnsi="Arial" w:cs="Arial"/>
          <w:sz w:val="24"/>
          <w:szCs w:val="24"/>
        </w:rPr>
      </w:pPr>
      <w:r w:rsidRPr="00315335">
        <w:rPr>
          <w:rFonts w:ascii="Arial" w:hAnsi="Arial" w:cs="Arial"/>
          <w:noProof/>
          <w:sz w:val="24"/>
          <w:szCs w:val="24"/>
        </w:rPr>
        <w:drawing>
          <wp:inline distT="0" distB="0" distL="0" distR="0" wp14:anchorId="7850248F" wp14:editId="359782D4">
            <wp:extent cx="4774018" cy="1818168"/>
            <wp:effectExtent l="0" t="0" r="762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I.2.1.3. Transportul</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Cod indicator România RO 01</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substanțe acidifiante</w:t>
      </w:r>
    </w:p>
    <w:p w:rsidR="00F40E00" w:rsidRPr="00315335" w:rsidRDefault="00F40E00" w:rsidP="00F40E00">
      <w:pPr>
        <w:spacing w:after="0" w:line="240" w:lineRule="auto"/>
        <w:jc w:val="both"/>
        <w:rPr>
          <w:rFonts w:ascii="Arial" w:hAnsi="Arial" w:cs="Arial"/>
          <w:sz w:val="24"/>
          <w:szCs w:val="24"/>
          <w:lang w:val="fr-BE"/>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lastRenderedPageBreak/>
        <w:t xml:space="preserve">  Fig. nr.I.2.1.3-1</w:t>
      </w:r>
    </w:p>
    <w:p w:rsidR="00F40E00" w:rsidRPr="00315335" w:rsidRDefault="00F40E00" w:rsidP="00F40E00">
      <w:pPr>
        <w:jc w:val="center"/>
        <w:rPr>
          <w:rFonts w:ascii="Arial" w:hAnsi="Arial" w:cs="Arial"/>
          <w:sz w:val="24"/>
          <w:szCs w:val="24"/>
        </w:rPr>
      </w:pPr>
      <w:r w:rsidRPr="00315335">
        <w:rPr>
          <w:rFonts w:ascii="Arial" w:hAnsi="Arial" w:cs="Arial"/>
          <w:noProof/>
          <w:sz w:val="24"/>
          <w:szCs w:val="24"/>
        </w:rPr>
        <w:drawing>
          <wp:inline distT="0" distB="0" distL="0" distR="0" wp14:anchorId="1082C2AE" wp14:editId="03734184">
            <wp:extent cx="5267325" cy="2828925"/>
            <wp:effectExtent l="1905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 România RO 02</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precursori ai ozonului</w:t>
      </w:r>
    </w:p>
    <w:p w:rsidR="00F40E00" w:rsidRPr="00315335" w:rsidRDefault="00F40E00" w:rsidP="00F40E00">
      <w:pPr>
        <w:tabs>
          <w:tab w:val="left" w:pos="1072"/>
        </w:tabs>
        <w:rPr>
          <w:rFonts w:ascii="Arial" w:hAnsi="Arial" w:cs="Arial"/>
          <w:sz w:val="24"/>
          <w:szCs w:val="24"/>
        </w:rPr>
      </w:pPr>
      <w:r w:rsidRPr="00315335">
        <w:rPr>
          <w:rFonts w:ascii="Arial" w:hAnsi="Arial" w:cs="Arial"/>
          <w:b/>
          <w:sz w:val="24"/>
          <w:szCs w:val="24"/>
        </w:rPr>
        <w:t>Fig. nr.I.2.1.3-2</w:t>
      </w:r>
    </w:p>
    <w:p w:rsidR="00F40E00" w:rsidRPr="00315335" w:rsidRDefault="00F40E00" w:rsidP="00F40E00">
      <w:pPr>
        <w:tabs>
          <w:tab w:val="left" w:pos="3282"/>
        </w:tabs>
        <w:jc w:val="center"/>
        <w:rPr>
          <w:rFonts w:ascii="Arial" w:hAnsi="Arial" w:cs="Arial"/>
          <w:sz w:val="24"/>
          <w:szCs w:val="24"/>
        </w:rPr>
      </w:pPr>
      <w:r w:rsidRPr="00315335">
        <w:rPr>
          <w:rFonts w:ascii="Arial" w:hAnsi="Arial" w:cs="Arial"/>
          <w:noProof/>
          <w:sz w:val="24"/>
          <w:szCs w:val="24"/>
        </w:rPr>
        <w:drawing>
          <wp:inline distT="0" distB="0" distL="0" distR="0" wp14:anchorId="77A5102F" wp14:editId="126AD3DD">
            <wp:extent cx="5263116" cy="2488019"/>
            <wp:effectExtent l="0" t="0" r="0" b="762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 România RO 03</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particule primare și precursori secundari de particule</w:t>
      </w:r>
    </w:p>
    <w:p w:rsidR="00F40E00" w:rsidRPr="00315335" w:rsidRDefault="00F40E00" w:rsidP="00F40E00">
      <w:pPr>
        <w:spacing w:after="0" w:line="240" w:lineRule="auto"/>
        <w:jc w:val="both"/>
        <w:rPr>
          <w:rFonts w:ascii="Arial" w:hAnsi="Arial" w:cs="Arial"/>
          <w:sz w:val="24"/>
          <w:szCs w:val="24"/>
          <w:lang w:val="fr-BE"/>
        </w:rPr>
      </w:pP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nr.I.2.1.3- 3</w:t>
      </w:r>
    </w:p>
    <w:p w:rsidR="00F40E00" w:rsidRPr="00315335" w:rsidRDefault="00F40E00" w:rsidP="00F40E00">
      <w:pPr>
        <w:tabs>
          <w:tab w:val="left" w:pos="1574"/>
        </w:tabs>
        <w:jc w:val="center"/>
        <w:rPr>
          <w:rFonts w:ascii="Arial" w:hAnsi="Arial" w:cs="Arial"/>
          <w:sz w:val="24"/>
          <w:szCs w:val="24"/>
        </w:rPr>
      </w:pPr>
      <w:r w:rsidRPr="00315335">
        <w:rPr>
          <w:rFonts w:ascii="Arial" w:hAnsi="Arial" w:cs="Arial"/>
          <w:noProof/>
          <w:sz w:val="24"/>
          <w:szCs w:val="24"/>
        </w:rPr>
        <w:drawing>
          <wp:inline distT="0" distB="0" distL="0" distR="0" wp14:anchorId="274E7145" wp14:editId="075C2F73">
            <wp:extent cx="5029200" cy="2190307"/>
            <wp:effectExtent l="0" t="0" r="0" b="63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 România RO 38</w:t>
      </w:r>
    </w:p>
    <w:p w:rsidR="00F40E00" w:rsidRPr="00315335" w:rsidRDefault="00F40E00" w:rsidP="00F40E00">
      <w:pPr>
        <w:tabs>
          <w:tab w:val="left" w:pos="5025"/>
        </w:tabs>
        <w:spacing w:after="0" w:line="240" w:lineRule="auto"/>
        <w:jc w:val="both"/>
        <w:rPr>
          <w:rFonts w:ascii="Arial" w:hAnsi="Arial" w:cs="Arial"/>
          <w:sz w:val="24"/>
          <w:szCs w:val="24"/>
          <w:lang w:val="fr-BE"/>
        </w:rPr>
      </w:pPr>
      <w:r w:rsidRPr="00315335">
        <w:rPr>
          <w:rFonts w:ascii="Arial" w:hAnsi="Arial" w:cs="Arial"/>
          <w:sz w:val="24"/>
          <w:szCs w:val="24"/>
          <w:lang w:val="fr-BE"/>
        </w:rPr>
        <w:lastRenderedPageBreak/>
        <w:t>Emisiile de metale grele</w:t>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sz w:val="24"/>
          <w:szCs w:val="24"/>
        </w:rPr>
        <w:tab/>
      </w:r>
      <w:r w:rsidRPr="00315335">
        <w:rPr>
          <w:rFonts w:ascii="Arial" w:hAnsi="Arial" w:cs="Arial"/>
          <w:b/>
          <w:sz w:val="24"/>
          <w:szCs w:val="24"/>
        </w:rPr>
        <w:t>Fig. nr.I.2.1.3- 4</w:t>
      </w:r>
    </w:p>
    <w:p w:rsidR="00F40E00" w:rsidRPr="00315335" w:rsidRDefault="00F40E00" w:rsidP="00F40E00">
      <w:pPr>
        <w:tabs>
          <w:tab w:val="left" w:pos="2880"/>
        </w:tabs>
        <w:jc w:val="center"/>
        <w:rPr>
          <w:rFonts w:ascii="Arial" w:hAnsi="Arial" w:cs="Arial"/>
          <w:sz w:val="24"/>
          <w:szCs w:val="24"/>
        </w:rPr>
      </w:pPr>
      <w:r w:rsidRPr="00315335">
        <w:rPr>
          <w:rFonts w:ascii="Arial" w:hAnsi="Arial" w:cs="Arial"/>
          <w:noProof/>
          <w:sz w:val="24"/>
          <w:szCs w:val="24"/>
        </w:rPr>
        <w:drawing>
          <wp:inline distT="0" distB="0" distL="0" distR="0" wp14:anchorId="7694F7E9" wp14:editId="4BF79B22">
            <wp:extent cx="5143500" cy="2847975"/>
            <wp:effectExtent l="1905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b/>
          <w:sz w:val="24"/>
          <w:szCs w:val="24"/>
          <w:lang w:val="fr-BE"/>
        </w:rPr>
        <w:t>I.2.1.4 Agricultura</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indicatorRomânia RO 01</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substanțe acidifiante</w:t>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 xml:space="preserve">  Fig. nr.I.2.1.4-1</w:t>
      </w:r>
    </w:p>
    <w:p w:rsidR="00F40E00" w:rsidRPr="00315335" w:rsidRDefault="00F40E00" w:rsidP="00F40E00">
      <w:pPr>
        <w:tabs>
          <w:tab w:val="left" w:pos="3366"/>
        </w:tabs>
        <w:jc w:val="center"/>
        <w:rPr>
          <w:rFonts w:ascii="Arial" w:hAnsi="Arial" w:cs="Arial"/>
          <w:sz w:val="24"/>
          <w:szCs w:val="24"/>
        </w:rPr>
      </w:pPr>
      <w:r w:rsidRPr="00315335">
        <w:rPr>
          <w:rFonts w:ascii="Arial" w:hAnsi="Arial" w:cs="Arial"/>
          <w:noProof/>
          <w:sz w:val="24"/>
          <w:szCs w:val="24"/>
        </w:rPr>
        <w:drawing>
          <wp:inline distT="0" distB="0" distL="0" distR="0" wp14:anchorId="750739FF" wp14:editId="3148D2E4">
            <wp:extent cx="5029200" cy="2295525"/>
            <wp:effectExtent l="0" t="0" r="0"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b/>
          <w:sz w:val="24"/>
          <w:szCs w:val="24"/>
        </w:rPr>
        <w:t>I.3.Tendințe și prognoze privind poluarea aerului înconjurător</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indicatorRomânia RO 01</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substanțe acidifiante</w:t>
      </w:r>
    </w:p>
    <w:p w:rsidR="00F40E00" w:rsidRPr="00315335" w:rsidRDefault="00F40E00" w:rsidP="00F40E00">
      <w:pPr>
        <w:tabs>
          <w:tab w:val="left" w:pos="1122"/>
        </w:tabs>
        <w:rPr>
          <w:rFonts w:ascii="Arial" w:hAnsi="Arial" w:cs="Arial"/>
          <w:sz w:val="24"/>
          <w:szCs w:val="24"/>
        </w:rPr>
      </w:pPr>
      <w:r w:rsidRPr="00315335">
        <w:rPr>
          <w:rFonts w:ascii="Arial" w:hAnsi="Arial" w:cs="Arial"/>
          <w:b/>
          <w:sz w:val="24"/>
          <w:szCs w:val="24"/>
        </w:rPr>
        <w:t>Fig. nr.I.3-1</w:t>
      </w:r>
    </w:p>
    <w:p w:rsidR="00F40E00" w:rsidRPr="00315335" w:rsidRDefault="00F40E00" w:rsidP="00F40E00">
      <w:pPr>
        <w:tabs>
          <w:tab w:val="left" w:pos="2327"/>
        </w:tabs>
        <w:jc w:val="center"/>
        <w:rPr>
          <w:rFonts w:ascii="Arial" w:hAnsi="Arial" w:cs="Arial"/>
          <w:sz w:val="24"/>
          <w:szCs w:val="24"/>
        </w:rPr>
      </w:pPr>
      <w:r w:rsidRPr="00315335">
        <w:rPr>
          <w:rFonts w:ascii="Arial" w:hAnsi="Arial" w:cs="Arial"/>
          <w:noProof/>
          <w:sz w:val="24"/>
          <w:szCs w:val="24"/>
        </w:rPr>
        <w:drawing>
          <wp:inline distT="0" distB="0" distL="0" distR="0" wp14:anchorId="51CF33FE" wp14:editId="150A75D6">
            <wp:extent cx="4991100" cy="205740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b/>
          <w:sz w:val="24"/>
          <w:szCs w:val="24"/>
        </w:rPr>
        <w:lastRenderedPageBreak/>
        <w:t>Fig. nr.I.3-2</w:t>
      </w:r>
    </w:p>
    <w:p w:rsidR="00F40E00" w:rsidRPr="00315335" w:rsidRDefault="00F40E00" w:rsidP="00F40E00">
      <w:pPr>
        <w:tabs>
          <w:tab w:val="left" w:pos="2662"/>
        </w:tabs>
        <w:jc w:val="center"/>
        <w:rPr>
          <w:rFonts w:ascii="Arial" w:hAnsi="Arial" w:cs="Arial"/>
          <w:sz w:val="24"/>
          <w:szCs w:val="24"/>
        </w:rPr>
      </w:pPr>
      <w:r w:rsidRPr="00315335">
        <w:rPr>
          <w:rFonts w:ascii="Arial" w:hAnsi="Arial" w:cs="Arial"/>
          <w:noProof/>
          <w:sz w:val="24"/>
          <w:szCs w:val="24"/>
        </w:rPr>
        <w:drawing>
          <wp:inline distT="0" distB="0" distL="0" distR="0" wp14:anchorId="4D574F0F" wp14:editId="2980D4C2">
            <wp:extent cx="4943475" cy="2276475"/>
            <wp:effectExtent l="1905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40E00" w:rsidRPr="00315335" w:rsidRDefault="00F40E00" w:rsidP="00F40E00">
      <w:pPr>
        <w:rPr>
          <w:rFonts w:ascii="Arial" w:hAnsi="Arial" w:cs="Arial"/>
          <w:sz w:val="24"/>
          <w:szCs w:val="24"/>
        </w:rPr>
      </w:pPr>
      <w:r w:rsidRPr="00315335">
        <w:rPr>
          <w:rFonts w:ascii="Arial" w:hAnsi="Arial" w:cs="Arial"/>
          <w:b/>
          <w:sz w:val="24"/>
          <w:szCs w:val="24"/>
        </w:rPr>
        <w:t>Fig. nr.I.3-3</w:t>
      </w:r>
    </w:p>
    <w:p w:rsidR="00F40E00" w:rsidRPr="00315335" w:rsidRDefault="00F40E00" w:rsidP="00F40E00">
      <w:pPr>
        <w:tabs>
          <w:tab w:val="left" w:pos="2863"/>
        </w:tabs>
        <w:jc w:val="center"/>
        <w:rPr>
          <w:rFonts w:ascii="Arial" w:hAnsi="Arial" w:cs="Arial"/>
          <w:sz w:val="24"/>
          <w:szCs w:val="24"/>
        </w:rPr>
      </w:pPr>
      <w:r w:rsidRPr="00315335">
        <w:rPr>
          <w:rFonts w:ascii="Arial" w:hAnsi="Arial" w:cs="Arial"/>
          <w:noProof/>
          <w:sz w:val="24"/>
          <w:szCs w:val="24"/>
        </w:rPr>
        <w:drawing>
          <wp:inline distT="0" distB="0" distL="0" distR="0" wp14:anchorId="4E6ED5F1" wp14:editId="0D1252A0">
            <wp:extent cx="4857750" cy="2333625"/>
            <wp:effectExtent l="1905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ab/>
      </w: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b/>
          <w:sz w:val="24"/>
          <w:szCs w:val="24"/>
        </w:rPr>
        <w:t>Fig. nr.I.3- 4</w:t>
      </w:r>
    </w:p>
    <w:p w:rsidR="00F40E00" w:rsidRPr="00315335" w:rsidRDefault="00F40E00" w:rsidP="00F40E00">
      <w:pPr>
        <w:tabs>
          <w:tab w:val="left" w:pos="2076"/>
        </w:tabs>
        <w:jc w:val="center"/>
        <w:rPr>
          <w:rFonts w:ascii="Arial" w:hAnsi="Arial" w:cs="Arial"/>
          <w:sz w:val="24"/>
          <w:szCs w:val="24"/>
        </w:rPr>
      </w:pPr>
      <w:r w:rsidRPr="00315335">
        <w:rPr>
          <w:rFonts w:ascii="Arial" w:hAnsi="Arial" w:cs="Arial"/>
          <w:noProof/>
          <w:sz w:val="24"/>
          <w:szCs w:val="24"/>
        </w:rPr>
        <w:drawing>
          <wp:inline distT="0" distB="0" distL="0" distR="0" wp14:anchorId="12F86FF6" wp14:editId="5FEBEDCF">
            <wp:extent cx="4972050" cy="2390775"/>
            <wp:effectExtent l="1905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F40E00">
      <w:pPr>
        <w:spacing w:after="0" w:line="240" w:lineRule="auto"/>
        <w:jc w:val="both"/>
        <w:rPr>
          <w:rFonts w:ascii="Arial" w:hAnsi="Arial" w:cs="Arial"/>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sz w:val="24"/>
          <w:szCs w:val="24"/>
        </w:rPr>
        <w:tab/>
      </w:r>
      <w:r w:rsidRPr="00315335">
        <w:rPr>
          <w:rFonts w:ascii="Arial" w:hAnsi="Arial" w:cs="Arial"/>
          <w:b/>
          <w:sz w:val="24"/>
          <w:szCs w:val="24"/>
        </w:rPr>
        <w:t>Fig. nr.I.3- 5</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lastRenderedPageBreak/>
        <w:tab/>
      </w:r>
      <w:r w:rsidRPr="00315335">
        <w:rPr>
          <w:rFonts w:ascii="Arial" w:hAnsi="Arial" w:cs="Arial"/>
          <w:sz w:val="24"/>
          <w:szCs w:val="24"/>
        </w:rPr>
        <w:tab/>
      </w:r>
      <w:r w:rsidRPr="00315335">
        <w:rPr>
          <w:rFonts w:ascii="Arial" w:hAnsi="Arial" w:cs="Arial"/>
          <w:noProof/>
          <w:sz w:val="24"/>
          <w:szCs w:val="24"/>
        </w:rPr>
        <w:drawing>
          <wp:inline distT="0" distB="0" distL="0" distR="0" wp14:anchorId="790EF5F0" wp14:editId="4DFDECED">
            <wp:extent cx="4876800" cy="2695575"/>
            <wp:effectExtent l="1905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 România RO 02</w:t>
      </w:r>
    </w:p>
    <w:p w:rsidR="00F40E00" w:rsidRPr="00315335" w:rsidRDefault="00F40E00" w:rsidP="00F40E00">
      <w:pPr>
        <w:rPr>
          <w:rFonts w:ascii="Arial" w:hAnsi="Arial" w:cs="Arial"/>
          <w:sz w:val="24"/>
          <w:szCs w:val="24"/>
        </w:rPr>
      </w:pPr>
      <w:r w:rsidRPr="00315335">
        <w:rPr>
          <w:rFonts w:ascii="Arial" w:hAnsi="Arial" w:cs="Arial"/>
          <w:sz w:val="24"/>
          <w:szCs w:val="24"/>
          <w:lang w:val="fr-BE"/>
        </w:rPr>
        <w:t>Emisiile de precursori ai ozonului</w:t>
      </w:r>
    </w:p>
    <w:p w:rsidR="00F40E00" w:rsidRPr="00315335" w:rsidRDefault="00F40E00" w:rsidP="00F40E00">
      <w:pPr>
        <w:tabs>
          <w:tab w:val="left" w:pos="1105"/>
        </w:tabs>
        <w:rPr>
          <w:rFonts w:ascii="Arial" w:hAnsi="Arial" w:cs="Arial"/>
          <w:sz w:val="24"/>
          <w:szCs w:val="24"/>
        </w:rPr>
      </w:pPr>
      <w:r w:rsidRPr="00315335">
        <w:rPr>
          <w:rFonts w:ascii="Arial" w:hAnsi="Arial" w:cs="Arial"/>
          <w:sz w:val="24"/>
          <w:szCs w:val="24"/>
        </w:rPr>
        <w:tab/>
      </w:r>
      <w:r w:rsidRPr="00315335">
        <w:rPr>
          <w:rFonts w:ascii="Arial" w:hAnsi="Arial" w:cs="Arial"/>
          <w:b/>
          <w:sz w:val="24"/>
          <w:szCs w:val="24"/>
        </w:rPr>
        <w:t>Fig. nr.I.3- 6</w:t>
      </w:r>
    </w:p>
    <w:p w:rsidR="00F40E00" w:rsidRPr="00315335" w:rsidRDefault="00F40E00" w:rsidP="00F40E00">
      <w:pPr>
        <w:tabs>
          <w:tab w:val="left" w:pos="2662"/>
        </w:tabs>
        <w:jc w:val="center"/>
        <w:rPr>
          <w:rFonts w:ascii="Arial" w:hAnsi="Arial" w:cs="Arial"/>
          <w:sz w:val="24"/>
          <w:szCs w:val="24"/>
        </w:rPr>
      </w:pPr>
      <w:r w:rsidRPr="00315335">
        <w:rPr>
          <w:rFonts w:ascii="Arial" w:hAnsi="Arial" w:cs="Arial"/>
          <w:noProof/>
          <w:sz w:val="24"/>
          <w:szCs w:val="24"/>
        </w:rPr>
        <w:drawing>
          <wp:inline distT="0" distB="0" distL="0" distR="0" wp14:anchorId="217719F0" wp14:editId="712ADDDB">
            <wp:extent cx="4819650" cy="2390775"/>
            <wp:effectExtent l="1905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sz w:val="24"/>
          <w:szCs w:val="24"/>
        </w:rPr>
        <w:tab/>
      </w:r>
      <w:r w:rsidRPr="00315335">
        <w:rPr>
          <w:rFonts w:ascii="Arial" w:hAnsi="Arial" w:cs="Arial"/>
          <w:b/>
          <w:sz w:val="24"/>
          <w:szCs w:val="24"/>
        </w:rPr>
        <w:t>Fig. nr.I.3- 7</w:t>
      </w:r>
    </w:p>
    <w:p w:rsidR="00F40E00" w:rsidRPr="00315335" w:rsidRDefault="00F40E00" w:rsidP="00F40E00">
      <w:pPr>
        <w:tabs>
          <w:tab w:val="left" w:pos="2662"/>
        </w:tabs>
        <w:jc w:val="center"/>
        <w:rPr>
          <w:rFonts w:ascii="Arial" w:hAnsi="Arial" w:cs="Arial"/>
          <w:sz w:val="24"/>
          <w:szCs w:val="24"/>
        </w:rPr>
      </w:pPr>
      <w:r w:rsidRPr="00315335">
        <w:rPr>
          <w:rFonts w:ascii="Arial" w:hAnsi="Arial" w:cs="Arial"/>
          <w:noProof/>
          <w:sz w:val="24"/>
          <w:szCs w:val="24"/>
        </w:rPr>
        <w:drawing>
          <wp:inline distT="0" distB="0" distL="0" distR="0" wp14:anchorId="148E1A50" wp14:editId="2A943D5D">
            <wp:extent cx="4800600" cy="2428875"/>
            <wp:effectExtent l="1905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sz w:val="24"/>
          <w:szCs w:val="24"/>
        </w:rPr>
        <w:tab/>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nr.I.3- 8</w:t>
      </w:r>
    </w:p>
    <w:p w:rsidR="00F40E00" w:rsidRPr="00315335" w:rsidRDefault="00F40E00" w:rsidP="00F40E00">
      <w:pPr>
        <w:tabs>
          <w:tab w:val="left" w:pos="2579"/>
        </w:tabs>
        <w:jc w:val="center"/>
        <w:rPr>
          <w:rFonts w:ascii="Arial" w:hAnsi="Arial" w:cs="Arial"/>
          <w:sz w:val="24"/>
          <w:szCs w:val="24"/>
        </w:rPr>
      </w:pPr>
      <w:r w:rsidRPr="00315335">
        <w:rPr>
          <w:rFonts w:ascii="Arial" w:hAnsi="Arial" w:cs="Arial"/>
          <w:noProof/>
          <w:sz w:val="24"/>
          <w:szCs w:val="24"/>
        </w:rPr>
        <w:lastRenderedPageBreak/>
        <w:drawing>
          <wp:inline distT="0" distB="0" distL="0" distR="0" wp14:anchorId="1402EB82" wp14:editId="4F11A215">
            <wp:extent cx="4772025" cy="1933575"/>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sz w:val="24"/>
          <w:szCs w:val="24"/>
        </w:rPr>
        <w:tab/>
      </w:r>
      <w:r w:rsidRPr="00315335">
        <w:rPr>
          <w:rFonts w:ascii="Arial" w:hAnsi="Arial" w:cs="Arial"/>
          <w:b/>
          <w:sz w:val="24"/>
          <w:szCs w:val="24"/>
        </w:rPr>
        <w:t>Fig. nr.I.3-9</w:t>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E14739">
      <w:pPr>
        <w:pStyle w:val="Listparagraf"/>
        <w:numPr>
          <w:ilvl w:val="0"/>
          <w:numId w:val="44"/>
        </w:numPr>
        <w:jc w:val="both"/>
        <w:rPr>
          <w:rFonts w:ascii="Arial" w:hAnsi="Arial" w:cs="Arial"/>
          <w:i/>
          <w:sz w:val="22"/>
          <w:szCs w:val="22"/>
        </w:rPr>
      </w:pPr>
      <w:r w:rsidRPr="00315335">
        <w:rPr>
          <w:rFonts w:ascii="Arial" w:hAnsi="Arial" w:cs="Arial"/>
          <w:i/>
          <w:sz w:val="22"/>
          <w:szCs w:val="22"/>
        </w:rPr>
        <w:t>Datele sunt cu caracter provizoriu</w:t>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tabs>
          <w:tab w:val="left" w:pos="2411"/>
        </w:tabs>
        <w:jc w:val="center"/>
        <w:rPr>
          <w:rFonts w:ascii="Arial" w:hAnsi="Arial" w:cs="Arial"/>
          <w:sz w:val="24"/>
          <w:szCs w:val="24"/>
        </w:rPr>
      </w:pPr>
      <w:r w:rsidRPr="00315335">
        <w:rPr>
          <w:rFonts w:ascii="Arial" w:hAnsi="Arial" w:cs="Arial"/>
          <w:noProof/>
          <w:sz w:val="24"/>
          <w:szCs w:val="24"/>
        </w:rPr>
        <w:drawing>
          <wp:inline distT="0" distB="0" distL="0" distR="0" wp14:anchorId="7283E0E2" wp14:editId="48573576">
            <wp:extent cx="4933507" cy="2392326"/>
            <wp:effectExtent l="0" t="0" r="635" b="8255"/>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 România RO 03</w:t>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Emisiile de particule primare și precursori secundari de particule</w:t>
      </w:r>
    </w:p>
    <w:p w:rsidR="00F40E00" w:rsidRPr="00315335" w:rsidRDefault="00F40E00" w:rsidP="00F40E00">
      <w:pPr>
        <w:spacing w:after="0" w:line="240" w:lineRule="auto"/>
        <w:jc w:val="both"/>
        <w:rPr>
          <w:rFonts w:ascii="Arial" w:hAnsi="Arial" w:cs="Arial"/>
          <w:sz w:val="24"/>
          <w:szCs w:val="24"/>
          <w:lang w:val="fr-BE"/>
        </w:rPr>
      </w:pPr>
    </w:p>
    <w:p w:rsidR="00F40E00" w:rsidRPr="00315335" w:rsidRDefault="00F40E00" w:rsidP="00F40E00">
      <w:pPr>
        <w:ind w:firstLine="720"/>
        <w:rPr>
          <w:rFonts w:ascii="Arial" w:hAnsi="Arial" w:cs="Arial"/>
          <w:sz w:val="24"/>
          <w:szCs w:val="24"/>
        </w:rPr>
      </w:pPr>
      <w:r w:rsidRPr="00315335">
        <w:rPr>
          <w:rFonts w:ascii="Arial" w:hAnsi="Arial" w:cs="Arial"/>
          <w:b/>
          <w:sz w:val="24"/>
          <w:szCs w:val="24"/>
        </w:rPr>
        <w:t>Fig. nr.I.3-10</w:t>
      </w:r>
    </w:p>
    <w:p w:rsidR="00F40E00" w:rsidRPr="00315335" w:rsidRDefault="00F40E00" w:rsidP="00F40E00">
      <w:pPr>
        <w:tabs>
          <w:tab w:val="left" w:pos="2311"/>
        </w:tabs>
        <w:jc w:val="center"/>
        <w:rPr>
          <w:rFonts w:ascii="Arial" w:hAnsi="Arial" w:cs="Arial"/>
          <w:sz w:val="24"/>
          <w:szCs w:val="24"/>
        </w:rPr>
      </w:pPr>
      <w:r w:rsidRPr="00315335">
        <w:rPr>
          <w:rFonts w:ascii="Arial" w:hAnsi="Arial" w:cs="Arial"/>
          <w:noProof/>
          <w:sz w:val="24"/>
          <w:szCs w:val="24"/>
        </w:rPr>
        <w:drawing>
          <wp:inline distT="0" distB="0" distL="0" distR="0" wp14:anchorId="54AAD758" wp14:editId="39141EE4">
            <wp:extent cx="4880344" cy="2700670"/>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E14739">
      <w:pPr>
        <w:pStyle w:val="Listparagraf"/>
        <w:numPr>
          <w:ilvl w:val="0"/>
          <w:numId w:val="44"/>
        </w:numPr>
        <w:jc w:val="both"/>
        <w:rPr>
          <w:rFonts w:ascii="Arial" w:hAnsi="Arial" w:cs="Arial"/>
          <w:b/>
        </w:rPr>
      </w:pPr>
      <w:r w:rsidRPr="00315335">
        <w:rPr>
          <w:rFonts w:ascii="Arial" w:hAnsi="Arial" w:cs="Arial"/>
          <w:i/>
        </w:rPr>
        <w:t>Datele sunt cu caracter provizoriu</w:t>
      </w:r>
    </w:p>
    <w:p w:rsidR="00F40E00" w:rsidRPr="00315335" w:rsidRDefault="00F40E00" w:rsidP="00F40E00">
      <w:pPr>
        <w:spacing w:after="0" w:line="240" w:lineRule="auto"/>
        <w:jc w:val="both"/>
        <w:rPr>
          <w:rFonts w:ascii="Arial" w:hAnsi="Arial" w:cs="Arial"/>
          <w:b/>
          <w:sz w:val="24"/>
          <w:szCs w:val="24"/>
        </w:rPr>
      </w:pP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nr.I.3-11</w:t>
      </w:r>
    </w:p>
    <w:p w:rsidR="00F40E00" w:rsidRPr="00315335" w:rsidRDefault="00F40E00" w:rsidP="00F40E00">
      <w:pPr>
        <w:jc w:val="center"/>
        <w:rPr>
          <w:rFonts w:ascii="Arial" w:hAnsi="Arial" w:cs="Arial"/>
          <w:sz w:val="24"/>
          <w:szCs w:val="24"/>
        </w:rPr>
      </w:pPr>
      <w:r w:rsidRPr="00315335">
        <w:rPr>
          <w:rFonts w:ascii="Arial" w:hAnsi="Arial" w:cs="Arial"/>
          <w:noProof/>
          <w:sz w:val="24"/>
          <w:szCs w:val="24"/>
        </w:rPr>
        <w:lastRenderedPageBreak/>
        <w:drawing>
          <wp:inline distT="0" distB="0" distL="0" distR="0" wp14:anchorId="53F1D516" wp14:editId="7F889909">
            <wp:extent cx="4772025" cy="2124075"/>
            <wp:effectExtent l="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40E00" w:rsidRPr="00315335" w:rsidRDefault="00F40E00" w:rsidP="00F40E00">
      <w:pPr>
        <w:tabs>
          <w:tab w:val="left" w:pos="1624"/>
        </w:tabs>
        <w:rPr>
          <w:rFonts w:ascii="Arial" w:hAnsi="Arial" w:cs="Arial"/>
          <w:b/>
          <w:sz w:val="24"/>
          <w:szCs w:val="24"/>
        </w:rPr>
      </w:pPr>
      <w:r w:rsidRPr="00315335">
        <w:rPr>
          <w:rFonts w:ascii="Arial" w:hAnsi="Arial" w:cs="Arial"/>
          <w:b/>
          <w:sz w:val="24"/>
          <w:szCs w:val="24"/>
        </w:rPr>
        <w:t>Fig. nr.I.3-12</w:t>
      </w:r>
    </w:p>
    <w:p w:rsidR="00F40E00" w:rsidRPr="00315335" w:rsidRDefault="00F40E00" w:rsidP="00E14739">
      <w:pPr>
        <w:pStyle w:val="Listparagraf"/>
        <w:numPr>
          <w:ilvl w:val="0"/>
          <w:numId w:val="44"/>
        </w:numPr>
        <w:jc w:val="both"/>
        <w:rPr>
          <w:rFonts w:ascii="Arial" w:hAnsi="Arial" w:cs="Arial"/>
          <w:b/>
        </w:rPr>
      </w:pPr>
      <w:r w:rsidRPr="00315335">
        <w:rPr>
          <w:rFonts w:ascii="Arial" w:hAnsi="Arial" w:cs="Arial"/>
          <w:i/>
        </w:rPr>
        <w:t>Datele sunt cu caracter provizoriu</w:t>
      </w:r>
    </w:p>
    <w:p w:rsidR="00F40E00" w:rsidRPr="00315335" w:rsidRDefault="00F40E00" w:rsidP="00F40E00">
      <w:pPr>
        <w:tabs>
          <w:tab w:val="left" w:pos="1624"/>
        </w:tabs>
        <w:rPr>
          <w:rFonts w:ascii="Arial" w:hAnsi="Arial" w:cs="Arial"/>
          <w:b/>
          <w:sz w:val="24"/>
          <w:szCs w:val="24"/>
        </w:rPr>
      </w:pPr>
    </w:p>
    <w:p w:rsidR="00F40E00" w:rsidRPr="00315335" w:rsidRDefault="00F40E00" w:rsidP="00F40E00">
      <w:pPr>
        <w:tabs>
          <w:tab w:val="left" w:pos="1624"/>
        </w:tabs>
        <w:rPr>
          <w:rFonts w:ascii="Arial" w:hAnsi="Arial" w:cs="Arial"/>
          <w:sz w:val="24"/>
          <w:szCs w:val="24"/>
        </w:rPr>
      </w:pPr>
    </w:p>
    <w:p w:rsidR="00F40E00" w:rsidRPr="00315335" w:rsidRDefault="00F40E00" w:rsidP="00F40E00">
      <w:pPr>
        <w:tabs>
          <w:tab w:val="left" w:pos="2512"/>
        </w:tabs>
        <w:jc w:val="center"/>
        <w:rPr>
          <w:rFonts w:ascii="Arial" w:hAnsi="Arial" w:cs="Arial"/>
          <w:sz w:val="24"/>
          <w:szCs w:val="24"/>
        </w:rPr>
      </w:pPr>
      <w:r w:rsidRPr="00315335">
        <w:rPr>
          <w:rFonts w:ascii="Arial" w:hAnsi="Arial" w:cs="Arial"/>
          <w:noProof/>
          <w:sz w:val="24"/>
          <w:szCs w:val="24"/>
        </w:rPr>
        <w:drawing>
          <wp:inline distT="0" distB="0" distL="0" distR="0" wp14:anchorId="3663EBA0" wp14:editId="32532E9F">
            <wp:extent cx="4648200" cy="2209800"/>
            <wp:effectExtent l="1905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 România RO 38</w:t>
      </w:r>
    </w:p>
    <w:p w:rsidR="00F40E00" w:rsidRPr="00315335" w:rsidRDefault="00F40E00" w:rsidP="00F40E00">
      <w:pPr>
        <w:tabs>
          <w:tab w:val="left" w:pos="1425"/>
        </w:tabs>
        <w:spacing w:after="0" w:line="240" w:lineRule="auto"/>
        <w:jc w:val="both"/>
        <w:rPr>
          <w:rFonts w:ascii="Arial" w:hAnsi="Arial" w:cs="Arial"/>
          <w:sz w:val="24"/>
          <w:szCs w:val="24"/>
        </w:rPr>
      </w:pPr>
      <w:r w:rsidRPr="00315335">
        <w:rPr>
          <w:rFonts w:ascii="Arial" w:hAnsi="Arial" w:cs="Arial"/>
          <w:sz w:val="24"/>
          <w:szCs w:val="24"/>
          <w:lang w:val="fr-BE"/>
        </w:rPr>
        <w:t>Emisiile de metale grele</w:t>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nr.I.3-13</w:t>
      </w:r>
    </w:p>
    <w:p w:rsidR="00F40E00" w:rsidRPr="00315335" w:rsidRDefault="00F40E00" w:rsidP="00F40E00">
      <w:pPr>
        <w:tabs>
          <w:tab w:val="left" w:pos="4019"/>
        </w:tabs>
        <w:jc w:val="center"/>
        <w:rPr>
          <w:rFonts w:ascii="Arial" w:hAnsi="Arial" w:cs="Arial"/>
          <w:sz w:val="24"/>
          <w:szCs w:val="24"/>
        </w:rPr>
      </w:pPr>
      <w:r w:rsidRPr="00315335">
        <w:rPr>
          <w:rFonts w:ascii="Arial" w:hAnsi="Arial" w:cs="Arial"/>
          <w:noProof/>
          <w:sz w:val="24"/>
          <w:szCs w:val="24"/>
        </w:rPr>
        <w:drawing>
          <wp:inline distT="0" distB="0" distL="0" distR="0" wp14:anchorId="3C3046E7" wp14:editId="231CEE27">
            <wp:extent cx="4829175" cy="22574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315335">
        <w:rPr>
          <w:rFonts w:ascii="Arial" w:hAnsi="Arial" w:cs="Arial"/>
          <w:sz w:val="24"/>
          <w:szCs w:val="24"/>
        </w:rPr>
        <w:tab/>
      </w:r>
    </w:p>
    <w:p w:rsidR="00F40E00" w:rsidRPr="00315335" w:rsidRDefault="00F40E00" w:rsidP="00E14739">
      <w:pPr>
        <w:pStyle w:val="Listparagraf"/>
        <w:numPr>
          <w:ilvl w:val="0"/>
          <w:numId w:val="44"/>
        </w:numPr>
        <w:jc w:val="both"/>
        <w:rPr>
          <w:rFonts w:ascii="Arial" w:hAnsi="Arial" w:cs="Arial"/>
          <w:b/>
        </w:rPr>
      </w:pPr>
      <w:r w:rsidRPr="00315335">
        <w:rPr>
          <w:rFonts w:ascii="Arial" w:hAnsi="Arial" w:cs="Arial"/>
          <w:i/>
        </w:rPr>
        <w:t>Datele sunt cu caracter provizoriu</w:t>
      </w:r>
    </w:p>
    <w:p w:rsidR="00F40E00" w:rsidRPr="00315335" w:rsidRDefault="00F40E00" w:rsidP="00F40E00">
      <w:pPr>
        <w:tabs>
          <w:tab w:val="left" w:pos="4019"/>
        </w:tabs>
        <w:rPr>
          <w:rFonts w:ascii="Arial" w:hAnsi="Arial" w:cs="Arial"/>
          <w:sz w:val="24"/>
          <w:szCs w:val="24"/>
        </w:rPr>
      </w:pPr>
      <w:r w:rsidRPr="00315335">
        <w:rPr>
          <w:rFonts w:ascii="Arial" w:hAnsi="Arial" w:cs="Arial"/>
          <w:b/>
          <w:sz w:val="24"/>
          <w:szCs w:val="24"/>
        </w:rPr>
        <w:t>Fig. nr.I.3-14</w:t>
      </w:r>
    </w:p>
    <w:p w:rsidR="00F40E00" w:rsidRPr="00315335" w:rsidRDefault="00F40E00" w:rsidP="00F40E00">
      <w:pPr>
        <w:tabs>
          <w:tab w:val="left" w:pos="1557"/>
        </w:tabs>
        <w:jc w:val="center"/>
        <w:rPr>
          <w:rFonts w:ascii="Arial" w:hAnsi="Arial" w:cs="Arial"/>
          <w:sz w:val="24"/>
          <w:szCs w:val="24"/>
        </w:rPr>
      </w:pPr>
      <w:r w:rsidRPr="00315335">
        <w:rPr>
          <w:rFonts w:ascii="Arial" w:hAnsi="Arial" w:cs="Arial"/>
          <w:noProof/>
          <w:sz w:val="24"/>
          <w:szCs w:val="24"/>
        </w:rPr>
        <w:lastRenderedPageBreak/>
        <w:drawing>
          <wp:inline distT="0" distB="0" distL="0" distR="0" wp14:anchorId="27E906AA" wp14:editId="31B17FF3">
            <wp:extent cx="4829175" cy="2143125"/>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40E00" w:rsidRPr="00315335" w:rsidRDefault="00F40E00" w:rsidP="00E14739">
      <w:pPr>
        <w:pStyle w:val="Listparagraf"/>
        <w:numPr>
          <w:ilvl w:val="0"/>
          <w:numId w:val="44"/>
        </w:numPr>
        <w:jc w:val="both"/>
        <w:rPr>
          <w:rFonts w:ascii="Arial" w:hAnsi="Arial" w:cs="Arial"/>
          <w:b/>
        </w:rPr>
      </w:pPr>
      <w:r w:rsidRPr="00315335">
        <w:rPr>
          <w:rFonts w:ascii="Arial" w:hAnsi="Arial" w:cs="Arial"/>
          <w:i/>
        </w:rPr>
        <w:t>Datele sunt cu caracter provizoriu</w:t>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nr.I.3-15</w:t>
      </w:r>
    </w:p>
    <w:p w:rsidR="00F40E00" w:rsidRPr="00315335" w:rsidRDefault="00F40E00" w:rsidP="00F40E00">
      <w:pPr>
        <w:tabs>
          <w:tab w:val="left" w:pos="2009"/>
        </w:tabs>
        <w:jc w:val="center"/>
        <w:rPr>
          <w:rFonts w:ascii="Arial" w:hAnsi="Arial" w:cs="Arial"/>
          <w:sz w:val="24"/>
          <w:szCs w:val="24"/>
        </w:rPr>
      </w:pPr>
      <w:r w:rsidRPr="00315335">
        <w:rPr>
          <w:rFonts w:ascii="Arial" w:hAnsi="Arial" w:cs="Arial"/>
          <w:noProof/>
          <w:sz w:val="24"/>
          <w:szCs w:val="24"/>
        </w:rPr>
        <w:drawing>
          <wp:inline distT="0" distB="0" distL="0" distR="0" wp14:anchorId="01865F1A" wp14:editId="1AFB2969">
            <wp:extent cx="4763386" cy="2009553"/>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40E00" w:rsidRPr="00315335" w:rsidRDefault="00F40E00" w:rsidP="00F40E00">
      <w:pPr>
        <w:spacing w:after="0" w:line="240" w:lineRule="auto"/>
        <w:jc w:val="both"/>
        <w:rPr>
          <w:rFonts w:ascii="Arial" w:hAnsi="Arial" w:cs="Arial"/>
          <w:sz w:val="24"/>
          <w:szCs w:val="24"/>
          <w:lang w:val="fr-BE"/>
        </w:rPr>
      </w:pPr>
      <w:r w:rsidRPr="00315335">
        <w:rPr>
          <w:rFonts w:ascii="Arial" w:hAnsi="Arial" w:cs="Arial"/>
          <w:sz w:val="24"/>
          <w:szCs w:val="24"/>
          <w:lang w:val="fr-BE"/>
        </w:rPr>
        <w:t>Cod indicator România RO 39</w:t>
      </w:r>
    </w:p>
    <w:p w:rsidR="00F40E00" w:rsidRPr="00315335" w:rsidRDefault="00F40E00" w:rsidP="00F40E00">
      <w:pPr>
        <w:tabs>
          <w:tab w:val="left" w:pos="5025"/>
        </w:tabs>
        <w:spacing w:after="0" w:line="240" w:lineRule="auto"/>
        <w:jc w:val="both"/>
        <w:rPr>
          <w:rFonts w:ascii="Arial" w:hAnsi="Arial" w:cs="Arial"/>
          <w:sz w:val="24"/>
          <w:szCs w:val="24"/>
          <w:lang w:val="fr-BE"/>
        </w:rPr>
      </w:pPr>
      <w:r w:rsidRPr="00315335">
        <w:rPr>
          <w:rFonts w:ascii="Arial" w:hAnsi="Arial" w:cs="Arial"/>
          <w:sz w:val="24"/>
          <w:szCs w:val="24"/>
          <w:lang w:val="fr-BE"/>
        </w:rPr>
        <w:t>Emisiile de poluanți organici persistenți</w:t>
      </w:r>
      <w:r w:rsidRPr="00315335">
        <w:rPr>
          <w:rFonts w:ascii="Arial" w:hAnsi="Arial" w:cs="Arial"/>
          <w:sz w:val="24"/>
          <w:szCs w:val="24"/>
          <w:lang w:val="fr-BE"/>
        </w:rPr>
        <w:tab/>
      </w:r>
    </w:p>
    <w:p w:rsidR="00F40E00" w:rsidRPr="00315335" w:rsidRDefault="00F40E00" w:rsidP="00F40E00">
      <w:pPr>
        <w:spacing w:after="0" w:line="240" w:lineRule="auto"/>
        <w:jc w:val="both"/>
        <w:rPr>
          <w:rFonts w:ascii="Arial" w:hAnsi="Arial" w:cs="Arial"/>
          <w:b/>
          <w:sz w:val="24"/>
          <w:szCs w:val="24"/>
        </w:rPr>
      </w:pPr>
      <w:r w:rsidRPr="00315335">
        <w:rPr>
          <w:rFonts w:ascii="Arial" w:hAnsi="Arial" w:cs="Arial"/>
          <w:b/>
          <w:sz w:val="24"/>
          <w:szCs w:val="24"/>
        </w:rPr>
        <w:t>Fig. nr.I.3-16</w:t>
      </w:r>
    </w:p>
    <w:p w:rsidR="00F40E00" w:rsidRPr="00315335" w:rsidRDefault="00F40E00" w:rsidP="00F40E00">
      <w:pPr>
        <w:tabs>
          <w:tab w:val="left" w:pos="2579"/>
        </w:tabs>
        <w:jc w:val="center"/>
        <w:rPr>
          <w:rFonts w:ascii="Arial" w:hAnsi="Arial" w:cs="Arial"/>
          <w:sz w:val="24"/>
          <w:szCs w:val="24"/>
        </w:rPr>
      </w:pPr>
      <w:r w:rsidRPr="00315335">
        <w:rPr>
          <w:rFonts w:ascii="Arial" w:hAnsi="Arial" w:cs="Arial"/>
          <w:noProof/>
          <w:sz w:val="24"/>
          <w:szCs w:val="24"/>
        </w:rPr>
        <w:drawing>
          <wp:inline distT="0" distB="0" distL="0" distR="0" wp14:anchorId="30706721" wp14:editId="633134FD">
            <wp:extent cx="4876800" cy="2362200"/>
            <wp:effectExtent l="19050" t="0" r="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40E00" w:rsidRPr="00315335" w:rsidRDefault="00F40E00" w:rsidP="00E14739">
      <w:pPr>
        <w:pStyle w:val="Listparagraf"/>
        <w:numPr>
          <w:ilvl w:val="0"/>
          <w:numId w:val="44"/>
        </w:numPr>
        <w:jc w:val="both"/>
        <w:rPr>
          <w:rFonts w:ascii="Arial" w:hAnsi="Arial" w:cs="Arial"/>
          <w:b/>
        </w:rPr>
      </w:pPr>
      <w:r w:rsidRPr="00315335">
        <w:rPr>
          <w:rFonts w:ascii="Arial" w:hAnsi="Arial" w:cs="Arial"/>
          <w:i/>
        </w:rPr>
        <w:t>Datele sunt cu caracter provizoriu</w:t>
      </w:r>
    </w:p>
    <w:p w:rsidR="00F40E00" w:rsidRPr="00315335" w:rsidRDefault="00F40E00" w:rsidP="00F40E00">
      <w:pPr>
        <w:spacing w:after="0" w:line="240" w:lineRule="auto"/>
        <w:jc w:val="both"/>
        <w:rPr>
          <w:rFonts w:ascii="Arial" w:hAnsi="Arial" w:cs="Arial"/>
          <w:sz w:val="24"/>
          <w:szCs w:val="24"/>
        </w:rPr>
      </w:pPr>
      <w:r w:rsidRPr="00315335">
        <w:rPr>
          <w:rFonts w:ascii="Arial" w:hAnsi="Arial" w:cs="Arial"/>
          <w:b/>
          <w:sz w:val="24"/>
          <w:szCs w:val="24"/>
        </w:rPr>
        <w:t>Fig.nr.I.3-17</w:t>
      </w:r>
    </w:p>
    <w:p w:rsidR="00F40E00" w:rsidRPr="00315335" w:rsidRDefault="00F40E00" w:rsidP="00F40E00">
      <w:pPr>
        <w:tabs>
          <w:tab w:val="left" w:pos="2746"/>
        </w:tabs>
        <w:jc w:val="center"/>
        <w:rPr>
          <w:rFonts w:ascii="Arial" w:hAnsi="Arial" w:cs="Arial"/>
          <w:sz w:val="24"/>
          <w:szCs w:val="24"/>
        </w:rPr>
      </w:pPr>
      <w:r w:rsidRPr="00315335">
        <w:rPr>
          <w:rFonts w:ascii="Arial" w:hAnsi="Arial" w:cs="Arial"/>
          <w:b/>
          <w:noProof/>
          <w:sz w:val="24"/>
          <w:szCs w:val="24"/>
        </w:rPr>
        <w:drawing>
          <wp:inline distT="0" distB="0" distL="0" distR="0" wp14:anchorId="71CAC7DA" wp14:editId="0B61FAF9">
            <wp:extent cx="4524375" cy="1724025"/>
            <wp:effectExtent l="0" t="0" r="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40E00" w:rsidRPr="00315335" w:rsidRDefault="00F40E00" w:rsidP="00E14739">
      <w:pPr>
        <w:pStyle w:val="Listparagraf"/>
        <w:numPr>
          <w:ilvl w:val="0"/>
          <w:numId w:val="44"/>
        </w:numPr>
        <w:jc w:val="both"/>
        <w:rPr>
          <w:rFonts w:ascii="Arial" w:hAnsi="Arial" w:cs="Arial"/>
          <w:b/>
        </w:rPr>
      </w:pPr>
      <w:r w:rsidRPr="00315335">
        <w:rPr>
          <w:rFonts w:ascii="Arial" w:hAnsi="Arial" w:cs="Arial"/>
          <w:i/>
        </w:rPr>
        <w:lastRenderedPageBreak/>
        <w:t>Datele sunt cu caracter provizoriu</w:t>
      </w:r>
    </w:p>
    <w:p w:rsidR="00F40E00" w:rsidRPr="00315335" w:rsidRDefault="00F40E00" w:rsidP="00F40E00">
      <w:pPr>
        <w:tabs>
          <w:tab w:val="left" w:pos="1155"/>
        </w:tabs>
        <w:rPr>
          <w:rFonts w:ascii="Arial" w:hAnsi="Arial" w:cs="Arial"/>
          <w:sz w:val="24"/>
          <w:szCs w:val="24"/>
        </w:rPr>
      </w:pPr>
      <w:r w:rsidRPr="00315335">
        <w:rPr>
          <w:rFonts w:ascii="Arial" w:hAnsi="Arial" w:cs="Arial"/>
          <w:b/>
          <w:sz w:val="24"/>
          <w:szCs w:val="24"/>
        </w:rPr>
        <w:t>Fig. nr.I.3-18</w:t>
      </w:r>
      <w:r w:rsidRPr="00315335">
        <w:rPr>
          <w:rFonts w:ascii="Arial" w:hAnsi="Arial" w:cs="Arial"/>
          <w:sz w:val="24"/>
          <w:szCs w:val="24"/>
        </w:rPr>
        <w:tab/>
      </w:r>
    </w:p>
    <w:p w:rsidR="00F40E00" w:rsidRPr="00315335" w:rsidRDefault="00F40E00" w:rsidP="00F40E00">
      <w:pPr>
        <w:tabs>
          <w:tab w:val="left" w:pos="3366"/>
        </w:tabs>
        <w:jc w:val="center"/>
        <w:rPr>
          <w:rFonts w:ascii="Arial" w:hAnsi="Arial" w:cs="Arial"/>
          <w:sz w:val="24"/>
          <w:szCs w:val="24"/>
        </w:rPr>
      </w:pPr>
      <w:r w:rsidRPr="00315335">
        <w:rPr>
          <w:rFonts w:ascii="Arial" w:hAnsi="Arial" w:cs="Arial"/>
          <w:noProof/>
          <w:sz w:val="24"/>
          <w:szCs w:val="24"/>
        </w:rPr>
        <w:drawing>
          <wp:inline distT="0" distB="0" distL="0" distR="0" wp14:anchorId="48E5D0D6" wp14:editId="33898C4B">
            <wp:extent cx="4795284" cy="1945758"/>
            <wp:effectExtent l="0" t="0" r="5715"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40E00" w:rsidRPr="00315335" w:rsidRDefault="00F40E00" w:rsidP="00E14739">
      <w:pPr>
        <w:pStyle w:val="Listparagraf"/>
        <w:numPr>
          <w:ilvl w:val="0"/>
          <w:numId w:val="44"/>
        </w:numPr>
        <w:jc w:val="both"/>
        <w:rPr>
          <w:rFonts w:ascii="Arial" w:hAnsi="Arial" w:cs="Arial"/>
          <w:b/>
        </w:rPr>
      </w:pPr>
      <w:r w:rsidRPr="00315335">
        <w:rPr>
          <w:rFonts w:ascii="Arial" w:hAnsi="Arial" w:cs="Arial"/>
          <w:i/>
        </w:rPr>
        <w:t>Datele sunt cu caracter provizoriu</w:t>
      </w:r>
    </w:p>
    <w:p w:rsidR="00F40E00" w:rsidRPr="00315335" w:rsidRDefault="00F40E00" w:rsidP="00F40E00">
      <w:pPr>
        <w:spacing w:after="0" w:line="240" w:lineRule="auto"/>
        <w:jc w:val="both"/>
      </w:pPr>
    </w:p>
    <w:p w:rsidR="00646188" w:rsidRDefault="00646188" w:rsidP="00643CB5">
      <w:pPr>
        <w:pStyle w:val="Indentcorptext2"/>
        <w:spacing w:after="0" w:line="240" w:lineRule="auto"/>
        <w:ind w:left="0"/>
        <w:jc w:val="both"/>
        <w:rPr>
          <w:rFonts w:ascii="Arial" w:hAnsi="Arial" w:cs="Arial"/>
          <w:b/>
          <w:bCs/>
          <w:sz w:val="32"/>
          <w:szCs w:val="32"/>
          <w:lang w:val="ro-RO"/>
        </w:rPr>
      </w:pPr>
    </w:p>
    <w:p w:rsidR="00643CB5" w:rsidRPr="00315335" w:rsidRDefault="00643CB5" w:rsidP="00643CB5">
      <w:pPr>
        <w:pStyle w:val="Indentcorptext2"/>
        <w:spacing w:after="0" w:line="240" w:lineRule="auto"/>
        <w:ind w:left="0"/>
        <w:jc w:val="both"/>
        <w:rPr>
          <w:rFonts w:ascii="Arial" w:hAnsi="Arial" w:cs="Arial"/>
          <w:b/>
          <w:bCs/>
          <w:sz w:val="32"/>
          <w:szCs w:val="32"/>
          <w:lang w:val="ro-RO"/>
        </w:rPr>
      </w:pPr>
      <w:r w:rsidRPr="00315335">
        <w:rPr>
          <w:rFonts w:ascii="Arial" w:hAnsi="Arial" w:cs="Arial"/>
          <w:b/>
          <w:bCs/>
          <w:sz w:val="32"/>
          <w:szCs w:val="32"/>
          <w:lang w:val="ro-RO"/>
        </w:rPr>
        <w:t>II.  APA</w:t>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Conform poziționării geografice , din punct de vedere hidrografic județul Brăila aparține de Bazinul Hidrografic Ialomița – Buzău</w:t>
      </w:r>
    </w:p>
    <w:p w:rsidR="00643CB5" w:rsidRPr="00315335" w:rsidRDefault="00643CB5" w:rsidP="00643CB5">
      <w:pPr>
        <w:spacing w:after="0" w:line="240" w:lineRule="auto"/>
        <w:jc w:val="both"/>
        <w:rPr>
          <w:rFonts w:ascii="Arial" w:hAnsi="Arial" w:cs="Arial"/>
          <w:sz w:val="24"/>
          <w:szCs w:val="24"/>
        </w:rPr>
      </w:pPr>
    </w:p>
    <w:p w:rsidR="00643CB5" w:rsidRPr="00315335" w:rsidRDefault="00643CB5" w:rsidP="00643CB5">
      <w:pPr>
        <w:pStyle w:val="Default"/>
        <w:jc w:val="both"/>
        <w:rPr>
          <w:rFonts w:ascii="Arial" w:hAnsi="Arial" w:cs="Arial"/>
          <w:b/>
          <w:bCs/>
          <w:color w:val="auto"/>
          <w:lang w:val="ro-RO"/>
        </w:rPr>
      </w:pPr>
      <w:r w:rsidRPr="00315335">
        <w:rPr>
          <w:rFonts w:ascii="Arial" w:hAnsi="Arial" w:cs="Arial"/>
          <w:b/>
          <w:bCs/>
          <w:color w:val="auto"/>
          <w:lang w:val="ro-RO"/>
        </w:rPr>
        <w:t xml:space="preserve">   II.1 Resursele de apă, Cantități și debite - </w:t>
      </w:r>
      <w:r w:rsidRPr="00315335">
        <w:rPr>
          <w:rFonts w:ascii="Arial" w:hAnsi="Arial" w:cs="Arial"/>
          <w:bCs/>
          <w:i/>
          <w:color w:val="auto"/>
          <w:lang w:val="ro-RO"/>
        </w:rPr>
        <w:t>date de la ANAR si INHGA</w:t>
      </w:r>
    </w:p>
    <w:p w:rsidR="00643CB5" w:rsidRPr="00315335" w:rsidRDefault="00643CB5" w:rsidP="00643CB5">
      <w:pPr>
        <w:pStyle w:val="Indentcorptext2"/>
        <w:spacing w:after="0" w:line="240" w:lineRule="auto"/>
        <w:ind w:left="0"/>
        <w:jc w:val="both"/>
        <w:rPr>
          <w:rFonts w:ascii="Arial" w:hAnsi="Arial" w:cs="Arial"/>
          <w:b/>
          <w:bCs/>
          <w:lang w:val="ro-RO"/>
        </w:rPr>
      </w:pPr>
      <w:r w:rsidRPr="00315335">
        <w:rPr>
          <w:rFonts w:ascii="Arial" w:hAnsi="Arial" w:cs="Arial"/>
          <w:b/>
          <w:bCs/>
          <w:iCs/>
          <w:lang w:val="ro-RO"/>
        </w:rPr>
        <w:t xml:space="preserve">      II.1.1 Stare, presiuni şi consecinţe</w:t>
      </w:r>
      <w:r w:rsidRPr="00315335">
        <w:rPr>
          <w:rFonts w:ascii="Arial" w:hAnsi="Arial" w:cs="Arial"/>
          <w:b/>
          <w:bCs/>
          <w:lang w:val="ro-RO"/>
        </w:rPr>
        <w:tab/>
      </w:r>
    </w:p>
    <w:p w:rsidR="00643CB5" w:rsidRPr="00315335" w:rsidRDefault="00643CB5" w:rsidP="00643CB5">
      <w:pPr>
        <w:pStyle w:val="Indentcorptext2"/>
        <w:spacing w:after="0" w:line="240" w:lineRule="auto"/>
        <w:ind w:left="0"/>
        <w:jc w:val="both"/>
        <w:rPr>
          <w:rFonts w:ascii="Arial" w:hAnsi="Arial" w:cs="Arial"/>
          <w:b/>
          <w:bCs/>
        </w:rPr>
      </w:pPr>
      <w:r w:rsidRPr="00315335">
        <w:rPr>
          <w:rFonts w:ascii="Arial" w:hAnsi="Arial" w:cs="Arial"/>
          <w:b/>
          <w:bCs/>
          <w:lang w:val="ro-RO"/>
        </w:rPr>
        <w:tab/>
      </w:r>
      <w:r w:rsidRPr="00315335">
        <w:rPr>
          <w:rFonts w:ascii="Arial" w:hAnsi="Arial" w:cs="Arial"/>
          <w:b/>
        </w:rPr>
        <w:t>II.1.1.1 Resurse de apă potențiale și tehnic utilizabile</w:t>
      </w:r>
    </w:p>
    <w:p w:rsidR="00643CB5" w:rsidRPr="00315335" w:rsidRDefault="00643CB5" w:rsidP="00643CB5">
      <w:pPr>
        <w:spacing w:after="0" w:line="240" w:lineRule="auto"/>
        <w:ind w:firstLine="708"/>
        <w:jc w:val="both"/>
        <w:rPr>
          <w:rFonts w:ascii="Arial" w:hAnsi="Arial" w:cs="Arial"/>
          <w:b/>
          <w:sz w:val="26"/>
          <w:szCs w:val="26"/>
        </w:rPr>
      </w:pPr>
      <w:r w:rsidRPr="00315335">
        <w:rPr>
          <w:rFonts w:ascii="Arial" w:hAnsi="Arial" w:cs="Arial"/>
          <w:b/>
          <w:sz w:val="26"/>
          <w:szCs w:val="26"/>
        </w:rPr>
        <w:t>Resursa naturală de apă la nivelul anului 2018</w:t>
      </w:r>
    </w:p>
    <w:p w:rsidR="00643CB5" w:rsidRPr="00315335" w:rsidRDefault="00643CB5" w:rsidP="00643CB5">
      <w:pPr>
        <w:spacing w:after="0" w:line="240" w:lineRule="auto"/>
        <w:ind w:left="708"/>
        <w:jc w:val="both"/>
        <w:rPr>
          <w:rFonts w:ascii="Arial" w:hAnsi="Arial" w:cs="Arial"/>
          <w:sz w:val="24"/>
          <w:szCs w:val="24"/>
        </w:rPr>
      </w:pPr>
      <w:r w:rsidRPr="00315335">
        <w:rPr>
          <w:rFonts w:ascii="Arial" w:hAnsi="Arial" w:cs="Arial"/>
          <w:b/>
          <w:sz w:val="24"/>
          <w:szCs w:val="24"/>
        </w:rPr>
        <w:t>Resursele naturale</w:t>
      </w:r>
      <w:r w:rsidRPr="00315335">
        <w:rPr>
          <w:rFonts w:ascii="Arial" w:hAnsi="Arial" w:cs="Arial"/>
          <w:sz w:val="24"/>
          <w:szCs w:val="24"/>
        </w:rPr>
        <w:t xml:space="preserve"> de apă reprezintă </w:t>
      </w:r>
      <w:r w:rsidRPr="00315335">
        <w:rPr>
          <w:rFonts w:ascii="Arial" w:hAnsi="Arial" w:cs="Arial"/>
          <w:b/>
          <w:sz w:val="24"/>
          <w:szCs w:val="24"/>
        </w:rPr>
        <w:t>rezervele de apă de suprafață și subterane</w:t>
      </w:r>
      <w:r w:rsidRPr="00315335">
        <w:rPr>
          <w:rFonts w:ascii="Arial" w:hAnsi="Arial" w:cs="Arial"/>
          <w:sz w:val="24"/>
          <w:szCs w:val="24"/>
        </w:rPr>
        <w:t xml:space="preserve"> ale unui teritoriu care pot fi folosite pentru diverse scopuri.</w:t>
      </w:r>
    </w:p>
    <w:p w:rsidR="00643CB5" w:rsidRPr="00315335" w:rsidRDefault="00643CB5" w:rsidP="00643CB5">
      <w:pPr>
        <w:spacing w:after="0" w:line="240" w:lineRule="auto"/>
        <w:ind w:left="708"/>
        <w:jc w:val="both"/>
        <w:rPr>
          <w:rFonts w:ascii="Arial" w:hAnsi="Arial" w:cs="Arial"/>
          <w:sz w:val="24"/>
          <w:szCs w:val="24"/>
        </w:rPr>
      </w:pPr>
      <w:r w:rsidRPr="00315335">
        <w:rPr>
          <w:rFonts w:ascii="Arial" w:hAnsi="Arial" w:cs="Arial"/>
          <w:b/>
          <w:sz w:val="24"/>
          <w:szCs w:val="24"/>
        </w:rPr>
        <w:t>Resursa naturală</w:t>
      </w:r>
      <w:r w:rsidRPr="00315335">
        <w:rPr>
          <w:rFonts w:ascii="Arial" w:hAnsi="Arial" w:cs="Arial"/>
          <w:sz w:val="24"/>
          <w:szCs w:val="24"/>
        </w:rPr>
        <w:t xml:space="preserve"> este cantitatea de apă exprimată în unități de volum acumulată în corpurile de apă într-un interval de timp dat, în cazul de față în cursul anului 2018.</w:t>
      </w:r>
    </w:p>
    <w:p w:rsidR="00643CB5" w:rsidRPr="00315335" w:rsidRDefault="00643CB5" w:rsidP="00643CB5">
      <w:pPr>
        <w:spacing w:after="0" w:line="240" w:lineRule="auto"/>
        <w:ind w:left="708"/>
        <w:jc w:val="both"/>
        <w:rPr>
          <w:rFonts w:ascii="Arial" w:hAnsi="Arial" w:cs="Arial"/>
          <w:sz w:val="24"/>
          <w:szCs w:val="24"/>
        </w:rPr>
      </w:pPr>
      <w:r w:rsidRPr="00315335">
        <w:rPr>
          <w:rFonts w:ascii="Arial" w:hAnsi="Arial" w:cs="Arial"/>
          <w:b/>
          <w:i/>
          <w:sz w:val="24"/>
          <w:szCs w:val="24"/>
        </w:rPr>
        <w:t xml:space="preserve">Resursa teoretică </w:t>
      </w:r>
      <w:r w:rsidRPr="00315335">
        <w:rPr>
          <w:rFonts w:ascii="Arial" w:hAnsi="Arial" w:cs="Arial"/>
          <w:sz w:val="24"/>
          <w:szCs w:val="24"/>
        </w:rPr>
        <w:t>este dată de stocul mediu anual reprezentând totalitatea resurselor naturale de apă atât de suprafață cât și subterane.</w:t>
      </w:r>
    </w:p>
    <w:p w:rsidR="00643CB5" w:rsidRPr="00315335" w:rsidRDefault="00643CB5" w:rsidP="00643CB5">
      <w:pPr>
        <w:spacing w:after="0" w:line="240" w:lineRule="auto"/>
        <w:ind w:left="708"/>
        <w:jc w:val="both"/>
        <w:rPr>
          <w:rFonts w:ascii="Arial" w:hAnsi="Arial" w:cs="Arial"/>
          <w:sz w:val="24"/>
          <w:szCs w:val="24"/>
        </w:rPr>
      </w:pPr>
      <w:r w:rsidRPr="00315335">
        <w:rPr>
          <w:rFonts w:ascii="Arial" w:hAnsi="Arial" w:cs="Arial"/>
          <w:b/>
          <w:i/>
          <w:sz w:val="24"/>
          <w:szCs w:val="24"/>
        </w:rPr>
        <w:t xml:space="preserve">Resursa tehnic utilizabilă </w:t>
      </w:r>
      <w:r w:rsidRPr="00315335">
        <w:rPr>
          <w:rFonts w:ascii="Arial" w:hAnsi="Arial" w:cs="Arial"/>
          <w:sz w:val="24"/>
          <w:szCs w:val="24"/>
        </w:rPr>
        <w:t>este cota parte din resursa teoretică care poate fi prelevată pentru a servi la satisfacerea cerințelor de apă ale economiei.</w:t>
      </w:r>
    </w:p>
    <w:p w:rsidR="00643CB5" w:rsidRPr="00315335" w:rsidRDefault="00643CB5" w:rsidP="00643CB5">
      <w:pPr>
        <w:spacing w:after="0" w:line="240" w:lineRule="auto"/>
        <w:ind w:left="708"/>
        <w:jc w:val="both"/>
        <w:rPr>
          <w:rFonts w:ascii="Arial" w:hAnsi="Arial" w:cs="Arial"/>
          <w:b/>
          <w:i/>
          <w:sz w:val="24"/>
          <w:szCs w:val="24"/>
        </w:rPr>
      </w:pPr>
    </w:p>
    <w:p w:rsidR="00643CB5" w:rsidRPr="00315335" w:rsidRDefault="00643CB5" w:rsidP="00643CB5">
      <w:pPr>
        <w:spacing w:after="0" w:line="240" w:lineRule="auto"/>
        <w:jc w:val="both"/>
        <w:rPr>
          <w:rFonts w:ascii="Arial" w:hAnsi="Arial" w:cs="Arial"/>
          <w:b/>
          <w:i/>
          <w:sz w:val="24"/>
          <w:szCs w:val="24"/>
        </w:rPr>
      </w:pPr>
      <w:r w:rsidRPr="00315335">
        <w:rPr>
          <w:rFonts w:ascii="Arial" w:hAnsi="Arial" w:cs="Arial"/>
          <w:b/>
          <w:i/>
          <w:sz w:val="24"/>
          <w:szCs w:val="24"/>
        </w:rPr>
        <w:t xml:space="preserve">Resursele de apă de suprafață </w:t>
      </w:r>
    </w:p>
    <w:p w:rsidR="00643CB5" w:rsidRPr="00315335" w:rsidRDefault="00643CB5" w:rsidP="00643CB5">
      <w:pPr>
        <w:spacing w:after="0" w:line="240" w:lineRule="auto"/>
        <w:jc w:val="both"/>
        <w:rPr>
          <w:rFonts w:ascii="Arial" w:hAnsi="Arial" w:cs="Arial"/>
          <w:sz w:val="24"/>
          <w:szCs w:val="24"/>
          <w:lang w:val="en-GB"/>
        </w:rPr>
      </w:pPr>
      <w:r w:rsidRPr="00315335">
        <w:rPr>
          <w:rFonts w:ascii="Arial" w:hAnsi="Arial" w:cs="Arial"/>
          <w:sz w:val="24"/>
          <w:szCs w:val="24"/>
        </w:rPr>
        <w:t>Resursele de apă de suprafață ale României provin din 2 categorii de surse, respectiv</w:t>
      </w:r>
      <w:r w:rsidRPr="00315335">
        <w:rPr>
          <w:rFonts w:ascii="Arial" w:hAnsi="Arial" w:cs="Arial"/>
          <w:sz w:val="24"/>
          <w:szCs w:val="24"/>
          <w:lang w:val="en-GB"/>
        </w:rPr>
        <w:t>:</w:t>
      </w:r>
    </w:p>
    <w:p w:rsidR="00643CB5" w:rsidRPr="00315335" w:rsidRDefault="00643CB5" w:rsidP="00643CB5">
      <w:pPr>
        <w:pStyle w:val="Listparagraf"/>
        <w:numPr>
          <w:ilvl w:val="0"/>
          <w:numId w:val="9"/>
        </w:numPr>
        <w:jc w:val="both"/>
        <w:rPr>
          <w:rFonts w:ascii="Arial" w:hAnsi="Arial" w:cs="Arial"/>
        </w:rPr>
      </w:pPr>
      <w:r w:rsidRPr="00315335">
        <w:rPr>
          <w:rFonts w:ascii="Arial" w:hAnsi="Arial" w:cs="Arial"/>
        </w:rPr>
        <w:t>râurile interioare (inclusiv lacurile naturale)</w:t>
      </w:r>
    </w:p>
    <w:p w:rsidR="00643CB5" w:rsidRPr="00315335" w:rsidRDefault="00643CB5" w:rsidP="00643CB5">
      <w:pPr>
        <w:pStyle w:val="Listparagraf"/>
        <w:numPr>
          <w:ilvl w:val="0"/>
          <w:numId w:val="9"/>
        </w:numPr>
        <w:jc w:val="both"/>
        <w:rPr>
          <w:rFonts w:ascii="Arial" w:hAnsi="Arial" w:cs="Arial"/>
        </w:rPr>
      </w:pPr>
      <w:r w:rsidRPr="00315335">
        <w:rPr>
          <w:rFonts w:ascii="Arial" w:hAnsi="Arial" w:cs="Arial"/>
        </w:rPr>
        <w:t>fluviul Dunărea</w:t>
      </w:r>
    </w:p>
    <w:p w:rsidR="00643CB5" w:rsidRPr="00315335" w:rsidRDefault="00643CB5" w:rsidP="00643CB5">
      <w:pPr>
        <w:spacing w:after="0" w:line="240" w:lineRule="auto"/>
        <w:ind w:firstLine="360"/>
        <w:jc w:val="both"/>
        <w:rPr>
          <w:rFonts w:ascii="Arial" w:hAnsi="Arial" w:cs="Arial"/>
          <w:sz w:val="24"/>
          <w:szCs w:val="24"/>
        </w:rPr>
      </w:pPr>
      <w:r w:rsidRPr="00315335">
        <w:rPr>
          <w:rFonts w:ascii="Arial" w:hAnsi="Arial" w:cs="Arial"/>
          <w:sz w:val="24"/>
          <w:szCs w:val="24"/>
        </w:rPr>
        <w:t>Pentru utilizatorii din România ponderea principală în asigurarea resursei necesare o au râurile interioare. Lacurile naturale au volume reduse de apă, cu excepția lacurilor litorale din sistemul lagunar Razelm – Sinoe care, deși dispun de volume apreciabile, au apă salmastră datorită legăturilor cu apele Mării Negre.</w:t>
      </w:r>
    </w:p>
    <w:p w:rsidR="00643CB5" w:rsidRPr="00315335" w:rsidRDefault="00643CB5" w:rsidP="00643CB5">
      <w:pPr>
        <w:spacing w:after="0" w:line="240" w:lineRule="auto"/>
        <w:ind w:firstLine="360"/>
        <w:jc w:val="both"/>
        <w:rPr>
          <w:rFonts w:ascii="Arial" w:hAnsi="Arial" w:cs="Arial"/>
          <w:sz w:val="24"/>
          <w:szCs w:val="24"/>
        </w:rPr>
      </w:pPr>
      <w:r w:rsidRPr="00315335">
        <w:rPr>
          <w:rFonts w:ascii="Arial" w:hAnsi="Arial" w:cs="Arial"/>
          <w:sz w:val="24"/>
          <w:szCs w:val="24"/>
        </w:rPr>
        <w:t>Fluviul Dunărea, deși deține întâietatea în ceea ce privește volumul total al resursei, fiind situat excentric față de teritoriul național, este mai puțin folosit ca sursă de apă utilizabilă. Până în prezent singura utilizare a resursei de apă oferită de Dunăre a fost în domeniul agricol (pentru irigații).</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b/>
          <w:i/>
          <w:sz w:val="24"/>
          <w:szCs w:val="24"/>
          <w:u w:val="single"/>
        </w:rPr>
        <w:t xml:space="preserve">Resursa naturală de apă a anului 2018 </w:t>
      </w:r>
      <w:r w:rsidRPr="00315335">
        <w:rPr>
          <w:rFonts w:ascii="Arial" w:hAnsi="Arial" w:cs="Arial"/>
          <w:b/>
          <w:sz w:val="24"/>
          <w:szCs w:val="24"/>
          <w:u w:val="single"/>
        </w:rPr>
        <w:t>provenită din râurile interioare</w:t>
      </w:r>
      <w:r w:rsidRPr="00315335">
        <w:rPr>
          <w:rFonts w:ascii="Arial" w:hAnsi="Arial" w:cs="Arial"/>
          <w:sz w:val="24"/>
          <w:szCs w:val="24"/>
        </w:rPr>
        <w:t xml:space="preserve"> a reprezentat un volum scurs de 40722*10</w:t>
      </w:r>
      <w:r w:rsidRPr="00315335">
        <w:rPr>
          <w:rFonts w:ascii="Arial" w:hAnsi="Arial" w:cs="Arial"/>
          <w:sz w:val="24"/>
          <w:szCs w:val="24"/>
          <w:vertAlign w:val="superscript"/>
        </w:rPr>
        <w:t>6</w:t>
      </w:r>
      <w:r w:rsidRPr="00315335">
        <w:rPr>
          <w:rFonts w:ascii="Arial" w:hAnsi="Arial" w:cs="Arial"/>
          <w:sz w:val="24"/>
          <w:szCs w:val="24"/>
        </w:rPr>
        <w:t>m</w:t>
      </w:r>
      <w:r w:rsidRPr="00315335">
        <w:rPr>
          <w:rFonts w:ascii="Arial" w:hAnsi="Arial" w:cs="Arial"/>
          <w:sz w:val="24"/>
          <w:szCs w:val="24"/>
          <w:vertAlign w:val="superscript"/>
        </w:rPr>
        <w:t>3</w:t>
      </w:r>
      <w:r w:rsidRPr="00315335">
        <w:rPr>
          <w:rFonts w:ascii="Arial" w:hAnsi="Arial" w:cs="Arial"/>
          <w:sz w:val="24"/>
          <w:szCs w:val="24"/>
        </w:rPr>
        <w:t xml:space="preserve"> care îl situează aproape de nivelul volumului mediu multianual calculat pentru o perioadă îndelungată (1950 – 2018), respectiv 40054*10</w:t>
      </w:r>
      <w:r w:rsidRPr="00315335">
        <w:rPr>
          <w:rFonts w:ascii="Arial" w:hAnsi="Arial" w:cs="Arial"/>
          <w:sz w:val="24"/>
          <w:szCs w:val="24"/>
          <w:vertAlign w:val="superscript"/>
        </w:rPr>
        <w:t>6</w:t>
      </w:r>
      <w:r w:rsidRPr="00315335">
        <w:rPr>
          <w:rFonts w:ascii="Arial" w:hAnsi="Arial" w:cs="Arial"/>
          <w:sz w:val="24"/>
          <w:szCs w:val="24"/>
        </w:rPr>
        <w:t>m</w:t>
      </w:r>
      <w:r w:rsidRPr="00315335">
        <w:rPr>
          <w:rFonts w:ascii="Arial" w:hAnsi="Arial" w:cs="Arial"/>
          <w:sz w:val="24"/>
          <w:szCs w:val="24"/>
          <w:vertAlign w:val="superscript"/>
        </w:rPr>
        <w:t>3</w:t>
      </w:r>
      <w:r w:rsidRPr="00315335">
        <w:rPr>
          <w:rFonts w:ascii="Arial" w:hAnsi="Arial" w:cs="Arial"/>
          <w:sz w:val="24"/>
          <w:szCs w:val="24"/>
        </w:rPr>
        <w:t>.</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În acest context anul 2018 poate fi considerat un an normal.</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Comparativ cu ultimii 5 ani (2013 – 2017), volumul scurs în anul 2018 este mai mare cu 11,1 % față de media multianuală a stocului anual (36651*10</w:t>
      </w:r>
      <w:r w:rsidRPr="00315335">
        <w:rPr>
          <w:rFonts w:ascii="Arial" w:hAnsi="Arial" w:cs="Arial"/>
          <w:sz w:val="24"/>
          <w:szCs w:val="24"/>
          <w:vertAlign w:val="superscript"/>
        </w:rPr>
        <w:t>6</w:t>
      </w:r>
      <w:r w:rsidRPr="00315335">
        <w:rPr>
          <w:rFonts w:ascii="Arial" w:hAnsi="Arial" w:cs="Arial"/>
          <w:sz w:val="24"/>
          <w:szCs w:val="24"/>
        </w:rPr>
        <w:t>m</w:t>
      </w:r>
      <w:r w:rsidRPr="00315335">
        <w:rPr>
          <w:rFonts w:ascii="Arial" w:hAnsi="Arial" w:cs="Arial"/>
          <w:sz w:val="24"/>
          <w:szCs w:val="24"/>
          <w:vertAlign w:val="superscript"/>
        </w:rPr>
        <w:t>3</w:t>
      </w:r>
      <w:r w:rsidRPr="00315335">
        <w:rPr>
          <w:rFonts w:ascii="Arial" w:hAnsi="Arial" w:cs="Arial"/>
          <w:sz w:val="24"/>
          <w:szCs w:val="24"/>
        </w:rPr>
        <w:t>) scurs în intervalul amintit (Tabelul II.1.1.1.1).</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lastRenderedPageBreak/>
        <w:t>Creșterea față de media multianuală a ultimilor 5 ani se explică prin faptul că anul 2018, comparativ cu ceilalți a fost un an oarecum ploios care l-a plasat în grupa anilor considerați normali din punct de vedere hidrologic.</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În ultimii 5 ani în acest interval au existat ani secetoși (2017) comparativ cu anul 2018 care au scăzut valoarea medie a resursei de apă (Figura nr. II.1.1.1.1).</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Extinzând analiza evoluției comparative a resursei aferente anului 2018 la nivelul bazinelor principale constatăm că în zona de sud a țării și de est, volumul scurs în 2018 a fost excedentar față de media multianuală a ultimilor 5 ani. Situația menționată se observă în bazinele hidrografice ale râurilor Jiu, Nera și Cerna (Tabelul II.1.1.1.1). Cea mai mare creștere se constată în bazinul râului Vedea unde stocul anual din 2018 a reprezentat 146,9% din media stocului multianual (2013-2017) urmat de bazinul hidrografic al râului Prut (130% din media stocului mediu pe ultimii 5 ani).</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În concluzie, anul 2018 a fost un an normal în ceea ce privește cuantumul resursei de apă totale provenită din râurile interioare, stocul mediu anual fiind egal cu valoarea medie multianuală calculată pe lungă perioadă (40000*10</w:t>
      </w:r>
      <w:r w:rsidRPr="00315335">
        <w:rPr>
          <w:rFonts w:ascii="Arial" w:hAnsi="Arial" w:cs="Arial"/>
          <w:sz w:val="24"/>
          <w:szCs w:val="24"/>
          <w:vertAlign w:val="superscript"/>
        </w:rPr>
        <w:t>6</w:t>
      </w:r>
      <w:r w:rsidRPr="00315335">
        <w:rPr>
          <w:rFonts w:ascii="Arial" w:hAnsi="Arial" w:cs="Arial"/>
          <w:sz w:val="24"/>
          <w:szCs w:val="24"/>
        </w:rPr>
        <w:t>*m</w:t>
      </w:r>
      <w:r w:rsidRPr="00315335">
        <w:rPr>
          <w:rFonts w:ascii="Arial" w:hAnsi="Arial" w:cs="Arial"/>
          <w:sz w:val="24"/>
          <w:szCs w:val="24"/>
          <w:vertAlign w:val="superscript"/>
        </w:rPr>
        <w:t>3</w:t>
      </w:r>
      <w:r w:rsidRPr="00315335">
        <w:rPr>
          <w:rFonts w:ascii="Arial" w:hAnsi="Arial" w:cs="Arial"/>
          <w:sz w:val="24"/>
          <w:szCs w:val="24"/>
        </w:rPr>
        <w:t>).</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Fluviul Dunărea prezintă o situație asemănătoare cu cea înregistrată pe cursurile râurilor interioare, volumul scurs la intrarea în țară (st. h. Baziaș) și cel înregistrat la ieșirea din țară (st. h. Isaccea) situându-se sub nivelul mediu calculat pe ultimii 5 ani (Tabelul II.1.1.1.3).</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Resursa corespunzătoare fluviului Dunărea la intrarea în țară este de 79975,3 mid.m</w:t>
      </w:r>
      <w:r w:rsidRPr="00315335">
        <w:rPr>
          <w:rFonts w:ascii="Arial" w:hAnsi="Arial" w:cs="Arial"/>
          <w:sz w:val="24"/>
          <w:szCs w:val="24"/>
          <w:vertAlign w:val="superscript"/>
        </w:rPr>
        <w:t>3</w:t>
      </w:r>
      <w:r w:rsidRPr="00315335">
        <w:rPr>
          <w:rFonts w:ascii="Arial" w:hAnsi="Arial" w:cs="Arial"/>
          <w:sz w:val="24"/>
          <w:szCs w:val="24"/>
        </w:rPr>
        <w:t xml:space="preserve"> în anul 2018 (respectiv 71 429  mld. m</w:t>
      </w:r>
      <w:r w:rsidRPr="00315335">
        <w:rPr>
          <w:rFonts w:ascii="Arial" w:hAnsi="Arial" w:cs="Arial"/>
          <w:sz w:val="24"/>
          <w:szCs w:val="24"/>
          <w:vertAlign w:val="superscript"/>
        </w:rPr>
        <w:t>3</w:t>
      </w:r>
      <w:r w:rsidRPr="00315335">
        <w:rPr>
          <w:rFonts w:ascii="Arial" w:hAnsi="Arial" w:cs="Arial"/>
          <w:sz w:val="24"/>
          <w:szCs w:val="24"/>
        </w:rPr>
        <w:t xml:space="preserve"> în anul 2017 și 85008,8 mld. m</w:t>
      </w:r>
      <w:r w:rsidRPr="00315335">
        <w:rPr>
          <w:rFonts w:ascii="Arial" w:hAnsi="Arial" w:cs="Arial"/>
          <w:sz w:val="24"/>
          <w:szCs w:val="24"/>
          <w:vertAlign w:val="superscript"/>
        </w:rPr>
        <w:t>3</w:t>
      </w:r>
      <w:r w:rsidRPr="00315335">
        <w:rPr>
          <w:rFonts w:ascii="Arial" w:hAnsi="Arial" w:cs="Arial"/>
          <w:sz w:val="24"/>
          <w:szCs w:val="24"/>
        </w:rPr>
        <w:t xml:space="preserve"> în perioada 2013-2017), cu 6% mai puțin faţă de media multianuală a fluviului care, pentru ultimii 60 ani, este de circa 85000 mld. m</w:t>
      </w:r>
      <w:r w:rsidRPr="00315335">
        <w:rPr>
          <w:rFonts w:ascii="Arial" w:hAnsi="Arial" w:cs="Arial"/>
          <w:sz w:val="24"/>
          <w:szCs w:val="24"/>
          <w:vertAlign w:val="superscript"/>
        </w:rPr>
        <w:t>3</w:t>
      </w:r>
      <w:r w:rsidRPr="00315335">
        <w:rPr>
          <w:rFonts w:ascii="Arial" w:hAnsi="Arial" w:cs="Arial"/>
          <w:sz w:val="24"/>
          <w:szCs w:val="24"/>
        </w:rPr>
        <w:t xml:space="preserve"> (valorile reprezintă 50% din volumele scurse pe Dunăre la intrarea în țară, aferente României, cealaltă jumătate revenind Republicii Serbia).</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Față de volumul total al resursei oferite de râurile interioare (407222*10</w:t>
      </w:r>
      <w:r w:rsidRPr="00315335">
        <w:rPr>
          <w:rFonts w:ascii="Arial" w:hAnsi="Arial" w:cs="Arial"/>
          <w:sz w:val="24"/>
          <w:szCs w:val="24"/>
          <w:vertAlign w:val="superscript"/>
        </w:rPr>
        <w:t>6</w:t>
      </w:r>
      <w:r w:rsidRPr="00315335">
        <w:rPr>
          <w:rFonts w:ascii="Arial" w:hAnsi="Arial" w:cs="Arial"/>
          <w:sz w:val="24"/>
          <w:szCs w:val="24"/>
        </w:rPr>
        <w:t>m</w:t>
      </w:r>
      <w:r w:rsidRPr="00315335">
        <w:rPr>
          <w:rFonts w:ascii="Arial" w:hAnsi="Arial" w:cs="Arial"/>
          <w:sz w:val="24"/>
          <w:szCs w:val="24"/>
          <w:vertAlign w:val="superscript"/>
        </w:rPr>
        <w:t>3</w:t>
      </w:r>
      <w:r w:rsidRPr="00315335">
        <w:rPr>
          <w:rFonts w:ascii="Arial" w:hAnsi="Arial" w:cs="Arial"/>
          <w:sz w:val="24"/>
          <w:szCs w:val="24"/>
        </w:rPr>
        <w:t>), la ieșirea din țară (Isaccea), Dunărea a avut un volum scurs de circa 5 ori mai mare (204952*10</w:t>
      </w:r>
      <w:r w:rsidRPr="00315335">
        <w:rPr>
          <w:rFonts w:ascii="Arial" w:hAnsi="Arial" w:cs="Arial"/>
          <w:sz w:val="24"/>
          <w:szCs w:val="24"/>
          <w:vertAlign w:val="superscript"/>
        </w:rPr>
        <w:t xml:space="preserve">6 </w:t>
      </w:r>
      <w:r w:rsidRPr="00315335">
        <w:rPr>
          <w:rFonts w:ascii="Arial" w:hAnsi="Arial" w:cs="Arial"/>
          <w:sz w:val="24"/>
          <w:szCs w:val="24"/>
        </w:rPr>
        <w:t>m</w:t>
      </w:r>
      <w:r w:rsidRPr="00315335">
        <w:rPr>
          <w:rFonts w:ascii="Arial" w:hAnsi="Arial" w:cs="Arial"/>
          <w:sz w:val="24"/>
          <w:szCs w:val="24"/>
          <w:vertAlign w:val="superscript"/>
        </w:rPr>
        <w:t>3</w:t>
      </w:r>
      <w:r w:rsidRPr="00315335">
        <w:rPr>
          <w:rFonts w:ascii="Arial" w:hAnsi="Arial" w:cs="Arial"/>
          <w:sz w:val="24"/>
          <w:szCs w:val="24"/>
        </w:rPr>
        <w:t>).</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Resursa considerabilă pe care o reprezintă fluviul Dunărea este însă puțin accesibilă din cauza poluării apelor fluviului și a excentricității poziției sale față de utilizatorii potențiali din România.</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Resursa medie la nivelul României este de circa 0,170 mil. m</w:t>
      </w:r>
      <w:r w:rsidRPr="00315335">
        <w:rPr>
          <w:rFonts w:ascii="Arial" w:hAnsi="Arial" w:cs="Arial"/>
          <w:sz w:val="24"/>
          <w:szCs w:val="24"/>
          <w:vertAlign w:val="superscript"/>
        </w:rPr>
        <w:t>3</w:t>
      </w:r>
      <w:r w:rsidRPr="00315335">
        <w:rPr>
          <w:rFonts w:ascii="Arial" w:hAnsi="Arial" w:cs="Arial"/>
          <w:sz w:val="24"/>
          <w:szCs w:val="24"/>
        </w:rPr>
        <w:t>/km</w:t>
      </w:r>
      <w:r w:rsidRPr="00315335">
        <w:rPr>
          <w:rFonts w:ascii="Arial" w:hAnsi="Arial" w:cs="Arial"/>
          <w:sz w:val="24"/>
          <w:szCs w:val="24"/>
          <w:vertAlign w:val="superscript"/>
        </w:rPr>
        <w:t>2</w:t>
      </w:r>
      <w:r w:rsidRPr="00315335">
        <w:rPr>
          <w:rFonts w:ascii="Arial" w:hAnsi="Arial" w:cs="Arial"/>
          <w:sz w:val="24"/>
          <w:szCs w:val="24"/>
        </w:rPr>
        <w:t>. În anul 2018 cea mai bogată resursă de apă a revenit bazinelor Vedea, Prut, Tisa, Crișuri, Mureș, Siret, bazinelor hidrografice ale afluenților mici au Dunării în timp ce unitățile cele mai deficitare din acest punct de vedere sunt bazinele râurilor Someș, Bega – Timiș – Caraș, Nera – Cerna, Jiu, Argeș, Ialomița și Dobrogea.</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De asemenea, România a avut la nivelul anului 2018 o resursă specifică din râurile interioare de 2074,47 m</w:t>
      </w:r>
      <w:r w:rsidRPr="00315335">
        <w:rPr>
          <w:rFonts w:ascii="Arial" w:hAnsi="Arial" w:cs="Arial"/>
          <w:sz w:val="24"/>
          <w:szCs w:val="24"/>
          <w:vertAlign w:val="superscript"/>
        </w:rPr>
        <w:t>3</w:t>
      </w:r>
      <w:r w:rsidRPr="00315335">
        <w:rPr>
          <w:rFonts w:ascii="Arial" w:hAnsi="Arial" w:cs="Arial"/>
          <w:sz w:val="24"/>
          <w:szCs w:val="24"/>
        </w:rPr>
        <w:t>/loc./an raportat la 19.63 mil loc. (populația României la 1 ianuarie 2017).</w:t>
      </w:r>
    </w:p>
    <w:p w:rsidR="00643CB5" w:rsidRPr="00315335" w:rsidRDefault="00643CB5" w:rsidP="00643CB5">
      <w:pPr>
        <w:jc w:val="center"/>
        <w:rPr>
          <w:rFonts w:ascii="Arial" w:eastAsia="Times New Roman" w:hAnsi="Arial" w:cs="Arial"/>
          <w:b/>
          <w:iCs/>
          <w:sz w:val="24"/>
          <w:szCs w:val="24"/>
        </w:rPr>
      </w:pPr>
      <w:r w:rsidRPr="00315335">
        <w:rPr>
          <w:rFonts w:ascii="Arial" w:eastAsia="Times New Roman" w:hAnsi="Arial" w:cs="Arial"/>
          <w:b/>
          <w:iCs/>
          <w:sz w:val="24"/>
          <w:szCs w:val="24"/>
        </w:rPr>
        <w:t xml:space="preserve">Tabelul </w:t>
      </w:r>
      <w:r w:rsidRPr="00315335">
        <w:rPr>
          <w:rFonts w:ascii="Arial" w:hAnsi="Arial" w:cs="Arial"/>
          <w:b/>
          <w:sz w:val="24"/>
          <w:szCs w:val="24"/>
        </w:rPr>
        <w:t xml:space="preserve">II.1.1.1.1 </w:t>
      </w:r>
      <w:r w:rsidRPr="00315335">
        <w:rPr>
          <w:rFonts w:ascii="Arial" w:eastAsia="Times New Roman" w:hAnsi="Arial" w:cs="Arial"/>
          <w:b/>
          <w:iCs/>
          <w:sz w:val="24"/>
          <w:szCs w:val="24"/>
        </w:rPr>
        <w:t>Resursele de apă teoretice medii ale anului 2018, comparativ cu perioada anterioară (2013-2017)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041"/>
        <w:gridCol w:w="808"/>
        <w:gridCol w:w="766"/>
        <w:gridCol w:w="766"/>
        <w:gridCol w:w="766"/>
        <w:gridCol w:w="766"/>
        <w:gridCol w:w="802"/>
        <w:gridCol w:w="1059"/>
        <w:gridCol w:w="891"/>
        <w:gridCol w:w="1031"/>
      </w:tblGrid>
      <w:tr w:rsidR="00315335" w:rsidRPr="00315335" w:rsidTr="00916B06">
        <w:trPr>
          <w:trHeight w:val="312"/>
          <w:jc w:val="center"/>
        </w:trPr>
        <w:tc>
          <w:tcPr>
            <w:tcW w:w="2268" w:type="dxa"/>
            <w:vMerge w:val="restart"/>
            <w:tcBorders>
              <w:top w:val="single" w:sz="8" w:space="0" w:color="auto"/>
              <w:left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Bazin hidrografic</w:t>
            </w:r>
          </w:p>
        </w:tc>
        <w:tc>
          <w:tcPr>
            <w:tcW w:w="1292" w:type="dxa"/>
            <w:vMerge w:val="restart"/>
            <w:tcBorders>
              <w:top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Parametru</w:t>
            </w:r>
          </w:p>
        </w:tc>
        <w:tc>
          <w:tcPr>
            <w:tcW w:w="1021" w:type="dxa"/>
            <w:vMerge w:val="restart"/>
            <w:tcBorders>
              <w:top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F (km</w:t>
            </w:r>
            <w:r w:rsidRPr="00315335">
              <w:rPr>
                <w:rFonts w:ascii="Arial" w:eastAsia="Times New Roman" w:hAnsi="Arial" w:cs="Arial"/>
                <w:sz w:val="24"/>
                <w:szCs w:val="24"/>
                <w:vertAlign w:val="superscript"/>
              </w:rPr>
              <w:t>2</w:t>
            </w:r>
            <w:r w:rsidRPr="00315335">
              <w:rPr>
                <w:rFonts w:ascii="Arial" w:eastAsia="Times New Roman" w:hAnsi="Arial" w:cs="Arial"/>
                <w:sz w:val="24"/>
                <w:szCs w:val="24"/>
              </w:rPr>
              <w:t>)</w:t>
            </w:r>
          </w:p>
        </w:tc>
        <w:tc>
          <w:tcPr>
            <w:tcW w:w="7364" w:type="dxa"/>
            <w:gridSpan w:val="7"/>
            <w:tcBorders>
              <w:top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b/>
                <w:bCs/>
                <w:sz w:val="24"/>
                <w:szCs w:val="24"/>
              </w:rPr>
              <w:t xml:space="preserve">Q </w:t>
            </w:r>
            <w:r w:rsidRPr="00315335">
              <w:rPr>
                <w:rFonts w:ascii="Arial" w:eastAsia="Times New Roman" w:hAnsi="Arial" w:cs="Arial"/>
                <w:b/>
                <w:bCs/>
                <w:sz w:val="24"/>
                <w:szCs w:val="24"/>
                <w:vertAlign w:val="subscript"/>
              </w:rPr>
              <w:t xml:space="preserve">med anual </w:t>
            </w:r>
            <w:r w:rsidRPr="00315335">
              <w:rPr>
                <w:rFonts w:ascii="Arial" w:eastAsia="Times New Roman" w:hAnsi="Arial" w:cs="Arial"/>
                <w:b/>
                <w:bCs/>
                <w:sz w:val="24"/>
                <w:szCs w:val="24"/>
              </w:rPr>
              <w:t>(m</w:t>
            </w:r>
            <w:r w:rsidRPr="00315335">
              <w:rPr>
                <w:rFonts w:ascii="Arial" w:eastAsia="Times New Roman" w:hAnsi="Arial" w:cs="Arial"/>
                <w:b/>
                <w:bCs/>
                <w:sz w:val="24"/>
                <w:szCs w:val="24"/>
                <w:vertAlign w:val="superscript"/>
              </w:rPr>
              <w:t>3</w:t>
            </w:r>
            <w:r w:rsidRPr="00315335">
              <w:rPr>
                <w:rFonts w:ascii="Arial" w:eastAsia="Times New Roman" w:hAnsi="Arial" w:cs="Arial"/>
                <w:b/>
                <w:bCs/>
                <w:sz w:val="24"/>
                <w:szCs w:val="24"/>
              </w:rPr>
              <w:t>/s)</w:t>
            </w:r>
          </w:p>
        </w:tc>
        <w:tc>
          <w:tcPr>
            <w:tcW w:w="1204" w:type="dxa"/>
            <w:vMerge w:val="restart"/>
            <w:tcBorders>
              <w:top w:val="single" w:sz="8" w:space="0" w:color="auto"/>
              <w:right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r w:rsidRPr="00315335">
              <w:rPr>
                <w:rFonts w:ascii="Arial" w:eastAsia="Times New Roman" w:hAnsi="Arial" w:cs="Arial"/>
                <w:sz w:val="24"/>
                <w:szCs w:val="24"/>
                <w:vertAlign w:val="subscript"/>
              </w:rPr>
              <w:t>2018</w:t>
            </w:r>
            <w:r w:rsidRPr="00315335">
              <w:rPr>
                <w:rFonts w:ascii="Arial" w:eastAsia="Times New Roman" w:hAnsi="Arial" w:cs="Arial"/>
                <w:sz w:val="24"/>
                <w:szCs w:val="24"/>
              </w:rPr>
              <w:t>/Q</w:t>
            </w:r>
            <w:r w:rsidRPr="00315335">
              <w:rPr>
                <w:rFonts w:ascii="Arial" w:eastAsia="Times New Roman" w:hAnsi="Arial" w:cs="Arial"/>
                <w:sz w:val="24"/>
                <w:szCs w:val="24"/>
                <w:vertAlign w:val="subscript"/>
              </w:rPr>
              <w:t>med</w:t>
            </w:r>
            <w:r w:rsidRPr="00315335">
              <w:rPr>
                <w:rFonts w:ascii="Arial" w:eastAsia="Times New Roman" w:hAnsi="Arial" w:cs="Arial"/>
                <w:sz w:val="24"/>
                <w:szCs w:val="24"/>
              </w:rPr>
              <w:t xml:space="preserve"> (%)</w:t>
            </w:r>
          </w:p>
        </w:tc>
      </w:tr>
      <w:tr w:rsidR="00315335" w:rsidRPr="00315335" w:rsidTr="00916B06">
        <w:trPr>
          <w:trHeight w:val="300"/>
          <w:jc w:val="center"/>
        </w:trPr>
        <w:tc>
          <w:tcPr>
            <w:tcW w:w="2268" w:type="dxa"/>
            <w:vMerge/>
            <w:tcBorders>
              <w:left w:val="single" w:sz="8" w:space="0" w:color="auto"/>
              <w:bottom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vMerge/>
            <w:tcBorders>
              <w:bottom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021" w:type="dxa"/>
            <w:vMerge/>
            <w:tcBorders>
              <w:bottom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tcBorders>
              <w:bottom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2013</w:t>
            </w:r>
          </w:p>
        </w:tc>
        <w:tc>
          <w:tcPr>
            <w:tcW w:w="964"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2014</w:t>
            </w:r>
          </w:p>
        </w:tc>
        <w:tc>
          <w:tcPr>
            <w:tcW w:w="964"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2015</w:t>
            </w:r>
          </w:p>
        </w:tc>
        <w:tc>
          <w:tcPr>
            <w:tcW w:w="964"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2016</w:t>
            </w:r>
          </w:p>
        </w:tc>
        <w:tc>
          <w:tcPr>
            <w:tcW w:w="1012"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2017</w:t>
            </w:r>
          </w:p>
        </w:tc>
        <w:tc>
          <w:tcPr>
            <w:tcW w:w="1362" w:type="dxa"/>
            <w:tcBorders>
              <w:bottom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MED</w:t>
            </w:r>
          </w:p>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vertAlign w:val="subscript"/>
              </w:rPr>
              <w:t>2013-2017</w:t>
            </w:r>
          </w:p>
        </w:tc>
        <w:tc>
          <w:tcPr>
            <w:tcW w:w="1134" w:type="dxa"/>
            <w:tcBorders>
              <w:bottom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2018</w:t>
            </w:r>
          </w:p>
        </w:tc>
        <w:tc>
          <w:tcPr>
            <w:tcW w:w="1204" w:type="dxa"/>
            <w:vMerge/>
            <w:tcBorders>
              <w:bottom w:val="single" w:sz="8" w:space="0" w:color="auto"/>
              <w:right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top w:val="single" w:sz="8" w:space="0" w:color="auto"/>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TISA</w:t>
            </w:r>
          </w:p>
        </w:tc>
        <w:tc>
          <w:tcPr>
            <w:tcW w:w="1292" w:type="dxa"/>
            <w:tcBorders>
              <w:top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tcBorders>
              <w:top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4540</w:t>
            </w:r>
          </w:p>
        </w:tc>
        <w:tc>
          <w:tcPr>
            <w:tcW w:w="964" w:type="dxa"/>
            <w:tcBorders>
              <w:top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57.9</w:t>
            </w:r>
          </w:p>
        </w:tc>
        <w:tc>
          <w:tcPr>
            <w:tcW w:w="964" w:type="dxa"/>
            <w:tcBorders>
              <w:top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40.9</w:t>
            </w:r>
          </w:p>
        </w:tc>
        <w:tc>
          <w:tcPr>
            <w:tcW w:w="964" w:type="dxa"/>
            <w:tcBorders>
              <w:top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50.1</w:t>
            </w:r>
          </w:p>
        </w:tc>
        <w:tc>
          <w:tcPr>
            <w:tcW w:w="964" w:type="dxa"/>
            <w:tcBorders>
              <w:top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62.2</w:t>
            </w:r>
          </w:p>
        </w:tc>
        <w:tc>
          <w:tcPr>
            <w:tcW w:w="1012" w:type="dxa"/>
            <w:tcBorders>
              <w:top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74.57</w:t>
            </w:r>
          </w:p>
        </w:tc>
        <w:tc>
          <w:tcPr>
            <w:tcW w:w="1362" w:type="dxa"/>
            <w:tcBorders>
              <w:top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57.134</w:t>
            </w:r>
          </w:p>
        </w:tc>
        <w:tc>
          <w:tcPr>
            <w:tcW w:w="1134" w:type="dxa"/>
            <w:tcBorders>
              <w:top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70.7</w:t>
            </w:r>
          </w:p>
        </w:tc>
        <w:tc>
          <w:tcPr>
            <w:tcW w:w="1204" w:type="dxa"/>
            <w:vMerge w:val="restart"/>
            <w:tcBorders>
              <w:top w:val="single" w:sz="8" w:space="0" w:color="auto"/>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123.7</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1826</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1288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1579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1980</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2352</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1805</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2230</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SOMEȘ</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17840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112.9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68.7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92.6</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129.8</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95.21</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99.842</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93.21</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93.4</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3559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2166</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2919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4105</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3003</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3150.4</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2939</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CRIȘURI</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1486</w:t>
            </w:r>
            <w:r w:rsidRPr="00315335">
              <w:rPr>
                <w:rFonts w:ascii="Arial" w:eastAsia="Times New Roman" w:hAnsi="Arial" w:cs="Arial"/>
                <w:sz w:val="24"/>
                <w:szCs w:val="24"/>
              </w:rPr>
              <w:lastRenderedPageBreak/>
              <w:t>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lastRenderedPageBreak/>
              <w:t>86.3</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51.9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55</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90.4</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64.9</w:t>
            </w:r>
            <w:r w:rsidRPr="00315335">
              <w:rPr>
                <w:rFonts w:ascii="Arial" w:eastAsia="Times New Roman" w:hAnsi="Arial" w:cs="Arial"/>
                <w:sz w:val="24"/>
                <w:szCs w:val="24"/>
              </w:rPr>
              <w:lastRenderedPageBreak/>
              <w:t>2</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lastRenderedPageBreak/>
              <w:t>69.704</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81.48</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116.8</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2723</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1637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1734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2859</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2047</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2200</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2569</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MUREȘ</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29390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125.4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176.4</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116.1</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133.78</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159.4</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119.2</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3954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4005</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3910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5578</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3661</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4221.6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5027</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BEGA - TIMIȘ - CARAȘ</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13060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94.6</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73.1</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57.132</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78.85</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46.61</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70.0584</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66.3</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94.6</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2984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2305</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1802</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2487</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1470</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2209.6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2091</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NERA - CERNA</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2740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36.06</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54.2</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41.75</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35.8</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19.38</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37.438</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33.01</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88.2</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1137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1710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1317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11329</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611</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3220.8</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1041</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JIU</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10080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168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154</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70.8</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124.36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111</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89.3</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3154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5298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4068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4870</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2233</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3924.6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3500</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OLT</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24050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226</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168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162</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134</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163.6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205</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125.3</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4037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7127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5298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5123</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4226</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5162.2</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6465</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VEDEA</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5430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7.07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37.7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17.6</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15.9</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7.15</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17.084</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25.1</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146.9</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223</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1188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555</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503</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225</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538.8</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791</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ARGEȘ</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12550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95.4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83.8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75</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57.68</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77.176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74.85</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96.9</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2333</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3008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2642</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23726</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1819</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6705.6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2361</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IALOMITA</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10350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40.51</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61.9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42.5</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45.1</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40.2</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46.042</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45</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97.7</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1278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1952</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1340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1426</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1268</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1452.8</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1419</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DUNĂREA</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34141</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26.7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41.7</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36.9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33.1</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23.55</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32.39</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35.17</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108.6</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841</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1316</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1164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1047</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743</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1022.2</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1109</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SIRET</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42890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219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288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206</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217</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160.3</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218.06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272.57</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124.9</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6899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9084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6481</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6862</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5055</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6876.2</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8596</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PRUT</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10990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17.8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13.1</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6.92</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7.39</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13.72</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11.786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15.16</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128.6</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560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412</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218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234</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433</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371.4</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478</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DOBROGEA</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5480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2.05</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2.51</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3.92</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4.88</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2.63</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3.198</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3.34</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104.4</w:t>
            </w:r>
          </w:p>
        </w:tc>
      </w:tr>
      <w:tr w:rsidR="00315335" w:rsidRPr="00315335" w:rsidTr="00916B06">
        <w:trPr>
          <w:trHeight w:val="300"/>
          <w:jc w:val="center"/>
        </w:trPr>
        <w:tc>
          <w:tcPr>
            <w:tcW w:w="2268" w:type="dxa"/>
            <w:vMerge/>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65</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79</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124</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154</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82.8</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100.96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105</w:t>
            </w:r>
          </w:p>
        </w:tc>
        <w:tc>
          <w:tcPr>
            <w:tcW w:w="1204"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268" w:type="dxa"/>
            <w:vMerge w:val="restart"/>
            <w:tcBorders>
              <w:left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Total România fără fluviul Dunărea (fig. 2.1)</w:t>
            </w:r>
          </w:p>
        </w:tc>
        <w:tc>
          <w:tcPr>
            <w:tcW w:w="1292"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021" w:type="dxa"/>
            <w:vMerge w:val="restart"/>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238391</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1128</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1350</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1115</w:t>
            </w:r>
          </w:p>
        </w:tc>
        <w:tc>
          <w:tcPr>
            <w:tcW w:w="96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1288</w:t>
            </w:r>
          </w:p>
        </w:tc>
        <w:tc>
          <w:tcPr>
            <w:tcW w:w="101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926.83</w:t>
            </w:r>
          </w:p>
        </w:tc>
        <w:tc>
          <w:tcPr>
            <w:tcW w:w="1362"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1161.566</w:t>
            </w:r>
          </w:p>
        </w:tc>
        <w:tc>
          <w:tcPr>
            <w:tcW w:w="1134" w:type="dxa"/>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1291.29</w:t>
            </w:r>
          </w:p>
        </w:tc>
        <w:tc>
          <w:tcPr>
            <w:tcW w:w="1204"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111.2</w:t>
            </w:r>
          </w:p>
        </w:tc>
      </w:tr>
      <w:tr w:rsidR="00315335" w:rsidRPr="00315335" w:rsidTr="00916B06">
        <w:trPr>
          <w:trHeight w:val="288"/>
          <w:jc w:val="center"/>
        </w:trPr>
        <w:tc>
          <w:tcPr>
            <w:tcW w:w="2268" w:type="dxa"/>
            <w:vMerge/>
            <w:tcBorders>
              <w:left w:val="single" w:sz="8" w:space="0" w:color="auto"/>
              <w:bottom w:val="single" w:sz="8" w:space="0" w:color="auto"/>
            </w:tcBorders>
            <w:shd w:val="clear" w:color="auto" w:fill="auto"/>
            <w:noWrap/>
            <w:vAlign w:val="center"/>
            <w:hideMark/>
          </w:tcPr>
          <w:p w:rsidR="00643CB5" w:rsidRPr="00315335" w:rsidRDefault="00643CB5" w:rsidP="00916B06">
            <w:pPr>
              <w:spacing w:after="0"/>
              <w:rPr>
                <w:rFonts w:ascii="Arial" w:eastAsia="Times New Roman" w:hAnsi="Arial" w:cs="Arial"/>
                <w:sz w:val="24"/>
                <w:szCs w:val="24"/>
              </w:rPr>
            </w:pPr>
          </w:p>
        </w:tc>
        <w:tc>
          <w:tcPr>
            <w:tcW w:w="1292" w:type="dxa"/>
            <w:tcBorders>
              <w:bottom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021" w:type="dxa"/>
            <w:vMerge/>
            <w:tcBorders>
              <w:bottom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964" w:type="dxa"/>
            <w:tcBorders>
              <w:bottom w:val="single" w:sz="8" w:space="0" w:color="auto"/>
            </w:tcBorders>
            <w:shd w:val="clear" w:color="auto" w:fill="auto"/>
            <w:noWrap/>
            <w:vAlign w:val="bottom"/>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35573</w:t>
            </w:r>
          </w:p>
        </w:tc>
        <w:tc>
          <w:tcPr>
            <w:tcW w:w="964" w:type="dxa"/>
            <w:tcBorders>
              <w:bottom w:val="single" w:sz="8" w:space="0" w:color="auto"/>
            </w:tcBorders>
            <w:shd w:val="clear" w:color="auto" w:fill="auto"/>
            <w:noWrap/>
            <w:vAlign w:val="bottom"/>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42575</w:t>
            </w:r>
          </w:p>
        </w:tc>
        <w:tc>
          <w:tcPr>
            <w:tcW w:w="964" w:type="dxa"/>
            <w:tcBorders>
              <w:bottom w:val="single" w:sz="8" w:space="0" w:color="auto"/>
            </w:tcBorders>
            <w:shd w:val="clear" w:color="auto" w:fill="auto"/>
            <w:noWrap/>
            <w:vAlign w:val="bottom"/>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35151</w:t>
            </w:r>
          </w:p>
        </w:tc>
        <w:tc>
          <w:tcPr>
            <w:tcW w:w="964" w:type="dxa"/>
            <w:tcBorders>
              <w:bottom w:val="single" w:sz="8" w:space="0" w:color="auto"/>
            </w:tcBorders>
            <w:shd w:val="clear" w:color="auto" w:fill="auto"/>
            <w:noWrap/>
            <w:vAlign w:val="bottom"/>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40732</w:t>
            </w:r>
          </w:p>
        </w:tc>
        <w:tc>
          <w:tcPr>
            <w:tcW w:w="1012" w:type="dxa"/>
            <w:tcBorders>
              <w:bottom w:val="single" w:sz="8" w:space="0" w:color="auto"/>
            </w:tcBorders>
            <w:shd w:val="clear" w:color="auto" w:fill="auto"/>
            <w:noWrap/>
            <w:vAlign w:val="bottom"/>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29228</w:t>
            </w:r>
          </w:p>
        </w:tc>
        <w:tc>
          <w:tcPr>
            <w:tcW w:w="1362" w:type="dxa"/>
            <w:tcBorders>
              <w:bottom w:val="single" w:sz="8" w:space="0" w:color="auto"/>
            </w:tcBorders>
            <w:shd w:val="clear" w:color="auto" w:fill="auto"/>
            <w:noWrap/>
            <w:vAlign w:val="bottom"/>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36651.8</w:t>
            </w:r>
          </w:p>
        </w:tc>
        <w:tc>
          <w:tcPr>
            <w:tcW w:w="1134" w:type="dxa"/>
            <w:tcBorders>
              <w:bottom w:val="single" w:sz="8" w:space="0" w:color="auto"/>
            </w:tcBorders>
            <w:shd w:val="clear" w:color="auto" w:fill="auto"/>
            <w:noWrap/>
            <w:vAlign w:val="bottom"/>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40722</w:t>
            </w:r>
          </w:p>
        </w:tc>
        <w:tc>
          <w:tcPr>
            <w:tcW w:w="1204" w:type="dxa"/>
            <w:vMerge/>
            <w:tcBorders>
              <w:bottom w:val="single" w:sz="8" w:space="0" w:color="auto"/>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bl>
    <w:p w:rsidR="00643CB5" w:rsidRPr="00315335" w:rsidRDefault="00643CB5" w:rsidP="00643CB5">
      <w:pPr>
        <w:spacing w:before="40" w:after="40"/>
        <w:rPr>
          <w:rFonts w:ascii="Arial" w:hAnsi="Arial" w:cs="Arial"/>
          <w:sz w:val="24"/>
          <w:szCs w:val="24"/>
        </w:rPr>
      </w:pPr>
      <w:r w:rsidRPr="00315335">
        <w:rPr>
          <w:rFonts w:ascii="Arial" w:hAnsi="Arial" w:cs="Arial"/>
          <w:sz w:val="24"/>
          <w:szCs w:val="24"/>
        </w:rPr>
        <w:t xml:space="preserve">     Q = debit (m</w:t>
      </w:r>
      <w:r w:rsidRPr="00315335">
        <w:rPr>
          <w:rFonts w:ascii="Arial" w:hAnsi="Arial" w:cs="Arial"/>
          <w:sz w:val="24"/>
          <w:szCs w:val="24"/>
          <w:vertAlign w:val="superscript"/>
        </w:rPr>
        <w:t>3</w:t>
      </w:r>
      <w:r w:rsidRPr="00315335">
        <w:rPr>
          <w:rFonts w:ascii="Arial" w:hAnsi="Arial" w:cs="Arial"/>
          <w:sz w:val="24"/>
          <w:szCs w:val="24"/>
        </w:rPr>
        <w:t>/s); V = volum total (10</w:t>
      </w:r>
      <w:r w:rsidRPr="00315335">
        <w:rPr>
          <w:rFonts w:ascii="Arial" w:hAnsi="Arial" w:cs="Arial"/>
          <w:sz w:val="24"/>
          <w:szCs w:val="24"/>
          <w:vertAlign w:val="superscript"/>
        </w:rPr>
        <w:t>6</w:t>
      </w:r>
      <w:r w:rsidRPr="00315335">
        <w:rPr>
          <w:rFonts w:ascii="Arial" w:hAnsi="Arial" w:cs="Arial"/>
          <w:sz w:val="24"/>
          <w:szCs w:val="24"/>
        </w:rPr>
        <w:t>m</w:t>
      </w:r>
      <w:r w:rsidRPr="00315335">
        <w:rPr>
          <w:rFonts w:ascii="Arial" w:hAnsi="Arial" w:cs="Arial"/>
          <w:sz w:val="24"/>
          <w:szCs w:val="24"/>
          <w:vertAlign w:val="superscript"/>
        </w:rPr>
        <w:t>3</w:t>
      </w:r>
      <w:r w:rsidRPr="00315335">
        <w:rPr>
          <w:rFonts w:ascii="Arial" w:hAnsi="Arial" w:cs="Arial"/>
          <w:sz w:val="24"/>
          <w:szCs w:val="24"/>
        </w:rPr>
        <w:t>)</w:t>
      </w:r>
    </w:p>
    <w:p w:rsidR="00643CB5" w:rsidRPr="00315335" w:rsidRDefault="00643CB5" w:rsidP="00643CB5">
      <w:pPr>
        <w:spacing w:after="0" w:line="240" w:lineRule="auto"/>
        <w:jc w:val="both"/>
        <w:rPr>
          <w:rFonts w:ascii="Arial" w:eastAsia="Times New Roman" w:hAnsi="Arial" w:cs="Arial"/>
          <w:bCs/>
        </w:rPr>
      </w:pPr>
    </w:p>
    <w:p w:rsidR="00643CB5" w:rsidRPr="00315335" w:rsidRDefault="00643CB5" w:rsidP="00643CB5">
      <w:pPr>
        <w:spacing w:after="0" w:line="240" w:lineRule="auto"/>
        <w:jc w:val="both"/>
        <w:rPr>
          <w:rFonts w:ascii="Arial" w:hAnsi="Arial" w:cs="Arial"/>
        </w:rPr>
      </w:pPr>
    </w:p>
    <w:p w:rsidR="00643CB5" w:rsidRPr="00315335" w:rsidRDefault="00643CB5" w:rsidP="00643CB5">
      <w:pPr>
        <w:jc w:val="center"/>
        <w:rPr>
          <w:rFonts w:ascii="Arial" w:eastAsia="Times New Roman" w:hAnsi="Arial" w:cs="Arial"/>
          <w:iCs/>
          <w:sz w:val="24"/>
          <w:szCs w:val="24"/>
        </w:rPr>
      </w:pPr>
      <w:r w:rsidRPr="00315335">
        <w:rPr>
          <w:rFonts w:ascii="Arial" w:eastAsia="Times New Roman" w:hAnsi="Arial" w:cs="Arial"/>
          <w:b/>
          <w:bCs/>
          <w:i/>
        </w:rPr>
        <w:t>Tabel nr.II.1.1.1.-2</w:t>
      </w:r>
      <w:r w:rsidRPr="00315335">
        <w:rPr>
          <w:rFonts w:ascii="Arial" w:eastAsia="Times New Roman" w:hAnsi="Arial" w:cs="Arial"/>
          <w:bCs/>
          <w:i/>
        </w:rPr>
        <w:t xml:space="preserve">. </w:t>
      </w:r>
      <w:r w:rsidRPr="00315335">
        <w:rPr>
          <w:rFonts w:ascii="Arial" w:eastAsia="Times New Roman" w:hAnsi="Arial" w:cs="Arial"/>
          <w:iCs/>
          <w:sz w:val="24"/>
          <w:szCs w:val="24"/>
        </w:rPr>
        <w:t>Resursa de apă teoretică a fluviului Dunărea în anul 2018, comparativ cu perioada anterioară (2013-2017)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164"/>
        <w:gridCol w:w="867"/>
        <w:gridCol w:w="867"/>
        <w:gridCol w:w="867"/>
        <w:gridCol w:w="867"/>
        <w:gridCol w:w="867"/>
        <w:gridCol w:w="1027"/>
        <w:gridCol w:w="921"/>
        <w:gridCol w:w="1111"/>
      </w:tblGrid>
      <w:tr w:rsidR="00315335" w:rsidRPr="00315335" w:rsidTr="00916B06">
        <w:trPr>
          <w:trHeight w:val="312"/>
          <w:jc w:val="center"/>
        </w:trPr>
        <w:tc>
          <w:tcPr>
            <w:tcW w:w="2466" w:type="dxa"/>
            <w:vMerge w:val="restart"/>
            <w:tcBorders>
              <w:top w:val="single" w:sz="8" w:space="0" w:color="auto"/>
              <w:left w:val="single" w:sz="8" w:space="0" w:color="auto"/>
            </w:tcBorders>
            <w:shd w:val="clear" w:color="000000" w:fill="FFFF00"/>
            <w:noWrap/>
            <w:vAlign w:val="center"/>
            <w:hideMark/>
          </w:tcPr>
          <w:p w:rsidR="00643CB5" w:rsidRPr="00315335" w:rsidRDefault="00643CB5" w:rsidP="00916B06">
            <w:pPr>
              <w:spacing w:after="0"/>
              <w:rPr>
                <w:rFonts w:ascii="Arial" w:eastAsia="Times New Roman" w:hAnsi="Arial" w:cs="Arial"/>
                <w:sz w:val="24"/>
                <w:szCs w:val="24"/>
              </w:rPr>
            </w:pPr>
            <w:r w:rsidRPr="00315335">
              <w:rPr>
                <w:rFonts w:ascii="Arial" w:eastAsia="Times New Roman" w:hAnsi="Arial" w:cs="Arial"/>
                <w:sz w:val="24"/>
                <w:szCs w:val="24"/>
              </w:rPr>
              <w:t xml:space="preserve">Stații </w:t>
            </w:r>
            <w:r w:rsidRPr="00315335">
              <w:rPr>
                <w:rFonts w:ascii="Arial" w:eastAsia="Times New Roman" w:hAnsi="Arial" w:cs="Arial"/>
                <w:sz w:val="24"/>
                <w:szCs w:val="24"/>
              </w:rPr>
              <w:lastRenderedPageBreak/>
              <w:t>hidrometrice de control pe fluviul Dunărea</w:t>
            </w:r>
          </w:p>
        </w:tc>
        <w:tc>
          <w:tcPr>
            <w:tcW w:w="1511" w:type="dxa"/>
            <w:vMerge w:val="restart"/>
            <w:tcBorders>
              <w:top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lastRenderedPageBreak/>
              <w:t>Paramet</w:t>
            </w:r>
            <w:r w:rsidRPr="00315335">
              <w:rPr>
                <w:rFonts w:ascii="Arial" w:eastAsia="Times New Roman" w:hAnsi="Arial" w:cs="Arial"/>
                <w:sz w:val="24"/>
                <w:szCs w:val="24"/>
              </w:rPr>
              <w:lastRenderedPageBreak/>
              <w:t>rul</w:t>
            </w:r>
          </w:p>
        </w:tc>
        <w:tc>
          <w:tcPr>
            <w:tcW w:w="8033" w:type="dxa"/>
            <w:gridSpan w:val="7"/>
            <w:tcBorders>
              <w:top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b/>
                <w:bCs/>
                <w:sz w:val="24"/>
                <w:szCs w:val="24"/>
              </w:rPr>
              <w:lastRenderedPageBreak/>
              <w:t xml:space="preserve">Q </w:t>
            </w:r>
            <w:r w:rsidRPr="00315335">
              <w:rPr>
                <w:rFonts w:ascii="Arial" w:eastAsia="Times New Roman" w:hAnsi="Arial" w:cs="Arial"/>
                <w:b/>
                <w:bCs/>
                <w:sz w:val="24"/>
                <w:szCs w:val="24"/>
                <w:vertAlign w:val="subscript"/>
              </w:rPr>
              <w:t xml:space="preserve">med anual </w:t>
            </w:r>
            <w:r w:rsidRPr="00315335">
              <w:rPr>
                <w:rFonts w:ascii="Arial" w:eastAsia="Times New Roman" w:hAnsi="Arial" w:cs="Arial"/>
                <w:b/>
                <w:bCs/>
                <w:sz w:val="24"/>
                <w:szCs w:val="24"/>
              </w:rPr>
              <w:t>(m</w:t>
            </w:r>
            <w:r w:rsidRPr="00315335">
              <w:rPr>
                <w:rFonts w:ascii="Arial" w:eastAsia="Times New Roman" w:hAnsi="Arial" w:cs="Arial"/>
                <w:b/>
                <w:bCs/>
                <w:sz w:val="24"/>
                <w:szCs w:val="24"/>
                <w:vertAlign w:val="superscript"/>
              </w:rPr>
              <w:t>3</w:t>
            </w:r>
            <w:r w:rsidRPr="00315335">
              <w:rPr>
                <w:rFonts w:ascii="Arial" w:eastAsia="Times New Roman" w:hAnsi="Arial" w:cs="Arial"/>
                <w:b/>
                <w:bCs/>
                <w:sz w:val="24"/>
                <w:szCs w:val="24"/>
              </w:rPr>
              <w:t>/s)</w:t>
            </w:r>
          </w:p>
        </w:tc>
        <w:tc>
          <w:tcPr>
            <w:tcW w:w="1439" w:type="dxa"/>
            <w:vMerge w:val="restart"/>
            <w:tcBorders>
              <w:top w:val="single" w:sz="8" w:space="0" w:color="auto"/>
              <w:right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r w:rsidRPr="00315335">
              <w:rPr>
                <w:rFonts w:ascii="Arial" w:eastAsia="Times New Roman" w:hAnsi="Arial" w:cs="Arial"/>
                <w:sz w:val="24"/>
                <w:szCs w:val="24"/>
                <w:vertAlign w:val="subscript"/>
              </w:rPr>
              <w:t>2018</w:t>
            </w:r>
            <w:r w:rsidRPr="00315335">
              <w:rPr>
                <w:rFonts w:ascii="Arial" w:eastAsia="Times New Roman" w:hAnsi="Arial" w:cs="Arial"/>
                <w:sz w:val="24"/>
                <w:szCs w:val="24"/>
              </w:rPr>
              <w:t>/Q</w:t>
            </w:r>
            <w:r w:rsidRPr="00315335">
              <w:rPr>
                <w:rFonts w:ascii="Arial" w:eastAsia="Times New Roman" w:hAnsi="Arial" w:cs="Arial"/>
                <w:sz w:val="24"/>
                <w:szCs w:val="24"/>
                <w:vertAlign w:val="subscript"/>
              </w:rPr>
              <w:lastRenderedPageBreak/>
              <w:t>med</w:t>
            </w:r>
            <w:r w:rsidRPr="00315335">
              <w:rPr>
                <w:rFonts w:ascii="Arial" w:eastAsia="Times New Roman" w:hAnsi="Arial" w:cs="Arial"/>
                <w:sz w:val="24"/>
                <w:szCs w:val="24"/>
              </w:rPr>
              <w:t xml:space="preserve"> (%)</w:t>
            </w:r>
          </w:p>
        </w:tc>
      </w:tr>
      <w:tr w:rsidR="00315335" w:rsidRPr="00315335" w:rsidTr="00916B06">
        <w:trPr>
          <w:trHeight w:val="300"/>
          <w:jc w:val="center"/>
        </w:trPr>
        <w:tc>
          <w:tcPr>
            <w:tcW w:w="2466" w:type="dxa"/>
            <w:vMerge/>
            <w:tcBorders>
              <w:left w:val="single" w:sz="8" w:space="0" w:color="auto"/>
              <w:bottom w:val="single" w:sz="8" w:space="0" w:color="auto"/>
            </w:tcBorders>
            <w:shd w:val="clear" w:color="000000" w:fill="FFFF00"/>
            <w:noWrap/>
            <w:vAlign w:val="center"/>
            <w:hideMark/>
          </w:tcPr>
          <w:p w:rsidR="00643CB5" w:rsidRPr="00315335" w:rsidRDefault="00643CB5" w:rsidP="00916B06">
            <w:pPr>
              <w:spacing w:after="0"/>
              <w:rPr>
                <w:rFonts w:ascii="Arial" w:eastAsia="Times New Roman" w:hAnsi="Arial" w:cs="Arial"/>
                <w:sz w:val="24"/>
                <w:szCs w:val="24"/>
              </w:rPr>
            </w:pPr>
          </w:p>
        </w:tc>
        <w:tc>
          <w:tcPr>
            <w:tcW w:w="1511" w:type="dxa"/>
            <w:vMerge/>
            <w:tcBorders>
              <w:bottom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p>
        </w:tc>
        <w:tc>
          <w:tcPr>
            <w:tcW w:w="1106"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2013</w:t>
            </w:r>
          </w:p>
        </w:tc>
        <w:tc>
          <w:tcPr>
            <w:tcW w:w="1106"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2014</w:t>
            </w:r>
          </w:p>
        </w:tc>
        <w:tc>
          <w:tcPr>
            <w:tcW w:w="1106"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2015</w:t>
            </w:r>
          </w:p>
        </w:tc>
        <w:tc>
          <w:tcPr>
            <w:tcW w:w="1106"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2016</w:t>
            </w:r>
          </w:p>
        </w:tc>
        <w:tc>
          <w:tcPr>
            <w:tcW w:w="1106"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2017</w:t>
            </w:r>
          </w:p>
        </w:tc>
        <w:tc>
          <w:tcPr>
            <w:tcW w:w="1324" w:type="dxa"/>
            <w:tcBorders>
              <w:bottom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MED</w:t>
            </w:r>
          </w:p>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b/>
                <w:bCs/>
                <w:sz w:val="24"/>
                <w:szCs w:val="24"/>
                <w:vertAlign w:val="subscript"/>
              </w:rPr>
              <w:t>2013-2017</w:t>
            </w:r>
          </w:p>
        </w:tc>
        <w:tc>
          <w:tcPr>
            <w:tcW w:w="1178" w:type="dxa"/>
            <w:tcBorders>
              <w:bottom w:val="single" w:sz="8" w:space="0" w:color="auto"/>
            </w:tcBorders>
            <w:shd w:val="clear" w:color="000000" w:fill="FFFF00"/>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2018</w:t>
            </w:r>
          </w:p>
        </w:tc>
        <w:tc>
          <w:tcPr>
            <w:tcW w:w="1439" w:type="dxa"/>
            <w:vMerge/>
            <w:tcBorders>
              <w:bottom w:val="single" w:sz="8" w:space="0" w:color="auto"/>
              <w:right w:val="single" w:sz="8" w:space="0" w:color="auto"/>
            </w:tcBorders>
            <w:shd w:val="clear" w:color="000000" w:fill="FFFF00"/>
            <w:noWrap/>
            <w:vAlign w:val="center"/>
            <w:hideMark/>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466" w:type="dxa"/>
            <w:vMerge w:val="restart"/>
            <w:tcBorders>
              <w:top w:val="single" w:sz="8" w:space="0" w:color="auto"/>
              <w:left w:val="single" w:sz="8" w:space="0" w:color="auto"/>
            </w:tcBorders>
            <w:shd w:val="clear" w:color="auto" w:fill="auto"/>
            <w:noWrap/>
            <w:vAlign w:val="center"/>
            <w:hideMark/>
          </w:tcPr>
          <w:p w:rsidR="00643CB5" w:rsidRPr="00315335" w:rsidRDefault="00643CB5" w:rsidP="00916B06">
            <w:pPr>
              <w:spacing w:after="0"/>
              <w:rPr>
                <w:rFonts w:ascii="Arial" w:eastAsia="Times New Roman" w:hAnsi="Arial" w:cs="Arial"/>
                <w:sz w:val="24"/>
                <w:szCs w:val="24"/>
              </w:rPr>
            </w:pPr>
            <w:r w:rsidRPr="00315335">
              <w:rPr>
                <w:rFonts w:ascii="Arial" w:eastAsia="Times New Roman" w:hAnsi="Arial" w:cs="Arial"/>
                <w:b/>
                <w:bCs/>
                <w:sz w:val="24"/>
                <w:szCs w:val="24"/>
              </w:rPr>
              <w:t>Baziaș</w:t>
            </w:r>
          </w:p>
        </w:tc>
        <w:tc>
          <w:tcPr>
            <w:tcW w:w="1511" w:type="dxa"/>
            <w:tcBorders>
              <w:top w:val="single" w:sz="8" w:space="0" w:color="auto"/>
            </w:tcBorders>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106" w:type="dxa"/>
            <w:tcBorders>
              <w:top w:val="single" w:sz="8" w:space="0" w:color="auto"/>
            </w:tcBorders>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6080</w:t>
            </w:r>
          </w:p>
        </w:tc>
        <w:tc>
          <w:tcPr>
            <w:tcW w:w="1106" w:type="dxa"/>
            <w:tcBorders>
              <w:top w:val="single" w:sz="8" w:space="0" w:color="auto"/>
            </w:tcBorders>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6016</w:t>
            </w:r>
          </w:p>
        </w:tc>
        <w:tc>
          <w:tcPr>
            <w:tcW w:w="1106" w:type="dxa"/>
            <w:tcBorders>
              <w:top w:val="single" w:sz="8" w:space="0" w:color="auto"/>
            </w:tcBorders>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4920</w:t>
            </w:r>
          </w:p>
        </w:tc>
        <w:tc>
          <w:tcPr>
            <w:tcW w:w="1106" w:type="dxa"/>
            <w:tcBorders>
              <w:top w:val="single" w:sz="8" w:space="0" w:color="auto"/>
            </w:tcBorders>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5410</w:t>
            </w:r>
          </w:p>
        </w:tc>
        <w:tc>
          <w:tcPr>
            <w:tcW w:w="1106" w:type="dxa"/>
            <w:tcBorders>
              <w:top w:val="single" w:sz="8" w:space="0" w:color="auto"/>
            </w:tcBorders>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4530</w:t>
            </w:r>
          </w:p>
        </w:tc>
        <w:tc>
          <w:tcPr>
            <w:tcW w:w="1324" w:type="dxa"/>
            <w:tcBorders>
              <w:top w:val="single" w:sz="8" w:space="0" w:color="auto"/>
            </w:tcBorders>
            <w:shd w:val="clear" w:color="auto" w:fill="auto"/>
            <w:noWrap/>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5391.2</w:t>
            </w:r>
          </w:p>
        </w:tc>
        <w:tc>
          <w:tcPr>
            <w:tcW w:w="1178" w:type="dxa"/>
            <w:tcBorders>
              <w:top w:val="single" w:sz="8" w:space="0" w:color="auto"/>
            </w:tcBorders>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5072</w:t>
            </w:r>
          </w:p>
        </w:tc>
        <w:tc>
          <w:tcPr>
            <w:tcW w:w="1439" w:type="dxa"/>
            <w:vMerge w:val="restart"/>
            <w:tcBorders>
              <w:top w:val="single" w:sz="8" w:space="0" w:color="auto"/>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94</w:t>
            </w:r>
          </w:p>
        </w:tc>
      </w:tr>
      <w:tr w:rsidR="00315335" w:rsidRPr="00315335" w:rsidTr="00916B06">
        <w:trPr>
          <w:trHeight w:val="300"/>
          <w:jc w:val="center"/>
        </w:trPr>
        <w:tc>
          <w:tcPr>
            <w:tcW w:w="2466" w:type="dxa"/>
            <w:vMerge/>
            <w:tcBorders>
              <w:left w:val="single" w:sz="8" w:space="0" w:color="auto"/>
            </w:tcBorders>
            <w:shd w:val="clear" w:color="auto" w:fill="auto"/>
            <w:noWrap/>
            <w:vAlign w:val="center"/>
            <w:hideMark/>
          </w:tcPr>
          <w:p w:rsidR="00643CB5" w:rsidRPr="00315335" w:rsidRDefault="00643CB5" w:rsidP="00916B06">
            <w:pPr>
              <w:spacing w:after="0"/>
              <w:rPr>
                <w:rFonts w:ascii="Arial" w:eastAsia="Times New Roman" w:hAnsi="Arial" w:cs="Arial"/>
                <w:sz w:val="24"/>
                <w:szCs w:val="24"/>
              </w:rPr>
            </w:pPr>
          </w:p>
        </w:tc>
        <w:tc>
          <w:tcPr>
            <w:tcW w:w="1511"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191739</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189721</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155157</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170610</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142858</w:t>
            </w:r>
          </w:p>
        </w:tc>
        <w:tc>
          <w:tcPr>
            <w:tcW w:w="1324" w:type="dxa"/>
            <w:shd w:val="clear" w:color="auto" w:fill="auto"/>
            <w:noWrap/>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170017</w:t>
            </w:r>
          </w:p>
        </w:tc>
        <w:tc>
          <w:tcPr>
            <w:tcW w:w="1178"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159950</w:t>
            </w:r>
          </w:p>
        </w:tc>
        <w:tc>
          <w:tcPr>
            <w:tcW w:w="1439"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300"/>
          <w:jc w:val="center"/>
        </w:trPr>
        <w:tc>
          <w:tcPr>
            <w:tcW w:w="2466" w:type="dxa"/>
            <w:vMerge/>
            <w:tcBorders>
              <w:left w:val="single" w:sz="8" w:space="0" w:color="auto"/>
            </w:tcBorders>
            <w:shd w:val="clear" w:color="auto" w:fill="auto"/>
            <w:noWrap/>
            <w:vAlign w:val="center"/>
            <w:hideMark/>
          </w:tcPr>
          <w:p w:rsidR="00643CB5" w:rsidRPr="00315335" w:rsidRDefault="00643CB5" w:rsidP="00916B06">
            <w:pPr>
              <w:spacing w:after="0"/>
              <w:rPr>
                <w:rFonts w:ascii="Arial" w:eastAsia="Times New Roman" w:hAnsi="Arial" w:cs="Arial"/>
                <w:sz w:val="24"/>
                <w:szCs w:val="24"/>
              </w:rPr>
            </w:pPr>
          </w:p>
        </w:tc>
        <w:tc>
          <w:tcPr>
            <w:tcW w:w="1511"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 1/2</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95870</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94861</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77579</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85305</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71429</w:t>
            </w:r>
          </w:p>
        </w:tc>
        <w:tc>
          <w:tcPr>
            <w:tcW w:w="1324" w:type="dxa"/>
            <w:shd w:val="clear" w:color="auto" w:fill="auto"/>
            <w:noWrap/>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85008.8</w:t>
            </w:r>
          </w:p>
        </w:tc>
        <w:tc>
          <w:tcPr>
            <w:tcW w:w="1178"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79975,3</w:t>
            </w:r>
          </w:p>
        </w:tc>
        <w:tc>
          <w:tcPr>
            <w:tcW w:w="1439"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r w:rsidR="00315335" w:rsidRPr="00315335" w:rsidTr="00916B06">
        <w:trPr>
          <w:trHeight w:val="288"/>
          <w:jc w:val="center"/>
        </w:trPr>
        <w:tc>
          <w:tcPr>
            <w:tcW w:w="2466" w:type="dxa"/>
            <w:vMerge w:val="restart"/>
            <w:tcBorders>
              <w:left w:val="single" w:sz="8" w:space="0" w:color="auto"/>
            </w:tcBorders>
            <w:shd w:val="clear" w:color="auto" w:fill="auto"/>
            <w:noWrap/>
            <w:vAlign w:val="center"/>
            <w:hideMark/>
          </w:tcPr>
          <w:p w:rsidR="00643CB5" w:rsidRPr="00315335" w:rsidRDefault="00643CB5" w:rsidP="00916B06">
            <w:pPr>
              <w:spacing w:after="0"/>
              <w:rPr>
                <w:rFonts w:ascii="Arial" w:eastAsia="Times New Roman" w:hAnsi="Arial" w:cs="Arial"/>
                <w:sz w:val="24"/>
                <w:szCs w:val="24"/>
              </w:rPr>
            </w:pPr>
            <w:r w:rsidRPr="00315335">
              <w:rPr>
                <w:rFonts w:ascii="Arial" w:eastAsia="Times New Roman" w:hAnsi="Arial" w:cs="Arial"/>
                <w:b/>
                <w:bCs/>
                <w:sz w:val="24"/>
                <w:szCs w:val="24"/>
              </w:rPr>
              <w:t>Isaccea</w:t>
            </w:r>
          </w:p>
        </w:tc>
        <w:tc>
          <w:tcPr>
            <w:tcW w:w="1511"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Q</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7170</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7439</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6170</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6470</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5210</w:t>
            </w:r>
          </w:p>
        </w:tc>
        <w:tc>
          <w:tcPr>
            <w:tcW w:w="1324" w:type="dxa"/>
            <w:shd w:val="clear" w:color="auto" w:fill="auto"/>
            <w:noWrap/>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6491.8</w:t>
            </w:r>
          </w:p>
        </w:tc>
        <w:tc>
          <w:tcPr>
            <w:tcW w:w="1178"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6499</w:t>
            </w:r>
          </w:p>
        </w:tc>
        <w:tc>
          <w:tcPr>
            <w:tcW w:w="1439" w:type="dxa"/>
            <w:vMerge w:val="restart"/>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100</w:t>
            </w:r>
          </w:p>
        </w:tc>
      </w:tr>
      <w:tr w:rsidR="00315335" w:rsidRPr="00315335" w:rsidTr="00916B06">
        <w:trPr>
          <w:trHeight w:val="300"/>
          <w:jc w:val="center"/>
        </w:trPr>
        <w:tc>
          <w:tcPr>
            <w:tcW w:w="2466" w:type="dxa"/>
            <w:vMerge/>
            <w:tcBorders>
              <w:left w:val="single" w:sz="8" w:space="0" w:color="auto"/>
            </w:tcBorders>
            <w:shd w:val="clear" w:color="auto" w:fill="auto"/>
            <w:noWrap/>
            <w:vAlign w:val="center"/>
            <w:hideMark/>
          </w:tcPr>
          <w:p w:rsidR="00643CB5" w:rsidRPr="00315335" w:rsidRDefault="00643CB5" w:rsidP="00916B06">
            <w:pPr>
              <w:spacing w:after="0"/>
              <w:rPr>
                <w:rFonts w:ascii="Arial" w:eastAsia="Times New Roman" w:hAnsi="Arial" w:cs="Arial"/>
                <w:sz w:val="24"/>
                <w:szCs w:val="24"/>
              </w:rPr>
            </w:pPr>
          </w:p>
        </w:tc>
        <w:tc>
          <w:tcPr>
            <w:tcW w:w="1511" w:type="dxa"/>
            <w:shd w:val="clear" w:color="auto" w:fill="auto"/>
            <w:noWrap/>
            <w:vAlign w:val="center"/>
            <w:hideMark/>
          </w:tcPr>
          <w:p w:rsidR="00643CB5" w:rsidRPr="00315335" w:rsidRDefault="00643CB5" w:rsidP="00916B06">
            <w:pPr>
              <w:spacing w:after="0"/>
              <w:jc w:val="center"/>
              <w:rPr>
                <w:rFonts w:ascii="Arial" w:eastAsia="Times New Roman" w:hAnsi="Arial" w:cs="Arial"/>
                <w:sz w:val="24"/>
                <w:szCs w:val="24"/>
              </w:rPr>
            </w:pPr>
            <w:r w:rsidRPr="00315335">
              <w:rPr>
                <w:rFonts w:ascii="Arial" w:eastAsia="Times New Roman" w:hAnsi="Arial" w:cs="Arial"/>
                <w:sz w:val="24"/>
                <w:szCs w:val="24"/>
              </w:rPr>
              <w:t>V</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226113</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234596</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194577</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204038</w:t>
            </w:r>
          </w:p>
        </w:tc>
        <w:tc>
          <w:tcPr>
            <w:tcW w:w="1106"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164303</w:t>
            </w:r>
          </w:p>
        </w:tc>
        <w:tc>
          <w:tcPr>
            <w:tcW w:w="1324" w:type="dxa"/>
            <w:shd w:val="clear" w:color="auto" w:fill="auto"/>
            <w:noWrap/>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204725.4</w:t>
            </w:r>
          </w:p>
        </w:tc>
        <w:tc>
          <w:tcPr>
            <w:tcW w:w="1178" w:type="dxa"/>
            <w:shd w:val="clear" w:color="auto" w:fill="auto"/>
            <w:noWrap/>
            <w:vAlign w:val="bottom"/>
          </w:tcPr>
          <w:p w:rsidR="00643CB5" w:rsidRPr="00315335" w:rsidRDefault="00643CB5" w:rsidP="00916B06">
            <w:pPr>
              <w:spacing w:after="0"/>
              <w:jc w:val="right"/>
              <w:rPr>
                <w:rFonts w:ascii="Arial" w:eastAsia="Times New Roman" w:hAnsi="Arial" w:cs="Arial"/>
                <w:sz w:val="24"/>
                <w:szCs w:val="24"/>
              </w:rPr>
            </w:pPr>
            <w:r w:rsidRPr="00315335">
              <w:rPr>
                <w:rFonts w:ascii="Arial" w:eastAsia="Times New Roman" w:hAnsi="Arial" w:cs="Arial"/>
                <w:sz w:val="24"/>
                <w:szCs w:val="24"/>
              </w:rPr>
              <w:t>204952</w:t>
            </w:r>
          </w:p>
        </w:tc>
        <w:tc>
          <w:tcPr>
            <w:tcW w:w="1439" w:type="dxa"/>
            <w:vMerge/>
            <w:tcBorders>
              <w:right w:val="single" w:sz="8" w:space="0" w:color="auto"/>
            </w:tcBorders>
            <w:shd w:val="clear" w:color="auto" w:fill="auto"/>
            <w:noWrap/>
            <w:vAlign w:val="center"/>
          </w:tcPr>
          <w:p w:rsidR="00643CB5" w:rsidRPr="00315335" w:rsidRDefault="00643CB5" w:rsidP="00916B06">
            <w:pPr>
              <w:spacing w:after="0"/>
              <w:jc w:val="center"/>
              <w:rPr>
                <w:rFonts w:ascii="Arial" w:eastAsia="Times New Roman" w:hAnsi="Arial" w:cs="Arial"/>
                <w:sz w:val="24"/>
                <w:szCs w:val="24"/>
              </w:rPr>
            </w:pPr>
          </w:p>
        </w:tc>
      </w:tr>
    </w:tbl>
    <w:p w:rsidR="00643CB5" w:rsidRPr="00315335" w:rsidRDefault="00643CB5" w:rsidP="00643CB5">
      <w:pPr>
        <w:spacing w:before="40" w:after="40"/>
        <w:rPr>
          <w:rFonts w:ascii="Arial" w:hAnsi="Arial" w:cs="Arial"/>
          <w:sz w:val="20"/>
          <w:szCs w:val="20"/>
        </w:rPr>
      </w:pPr>
      <w:r w:rsidRPr="00315335">
        <w:rPr>
          <w:rFonts w:ascii="Arial" w:hAnsi="Arial" w:cs="Arial"/>
          <w:sz w:val="20"/>
          <w:szCs w:val="20"/>
        </w:rPr>
        <w:t xml:space="preserve">    Q = debit (m</w:t>
      </w:r>
      <w:r w:rsidRPr="00315335">
        <w:rPr>
          <w:rFonts w:ascii="Arial" w:hAnsi="Arial" w:cs="Arial"/>
          <w:sz w:val="20"/>
          <w:szCs w:val="20"/>
          <w:vertAlign w:val="superscript"/>
        </w:rPr>
        <w:t>3</w:t>
      </w:r>
      <w:r w:rsidRPr="00315335">
        <w:rPr>
          <w:rFonts w:ascii="Arial" w:hAnsi="Arial" w:cs="Arial"/>
          <w:sz w:val="20"/>
          <w:szCs w:val="20"/>
        </w:rPr>
        <w:t>/s); V = volum total (10</w:t>
      </w:r>
      <w:r w:rsidRPr="00315335">
        <w:rPr>
          <w:rFonts w:ascii="Arial" w:hAnsi="Arial" w:cs="Arial"/>
          <w:sz w:val="20"/>
          <w:szCs w:val="20"/>
          <w:vertAlign w:val="superscript"/>
        </w:rPr>
        <w:t>6</w:t>
      </w:r>
      <w:r w:rsidRPr="00315335">
        <w:rPr>
          <w:rFonts w:ascii="Arial" w:hAnsi="Arial" w:cs="Arial"/>
          <w:sz w:val="20"/>
          <w:szCs w:val="20"/>
        </w:rPr>
        <w:t>m</w:t>
      </w:r>
      <w:r w:rsidRPr="00315335">
        <w:rPr>
          <w:rFonts w:ascii="Arial" w:hAnsi="Arial" w:cs="Arial"/>
          <w:sz w:val="20"/>
          <w:szCs w:val="20"/>
          <w:vertAlign w:val="superscript"/>
        </w:rPr>
        <w:t>3</w:t>
      </w:r>
      <w:r w:rsidRPr="00315335">
        <w:rPr>
          <w:rFonts w:ascii="Arial" w:hAnsi="Arial" w:cs="Arial"/>
          <w:sz w:val="20"/>
          <w:szCs w:val="20"/>
        </w:rPr>
        <w:t>); V 1/2 = 50% din volumele scurse pe Dunăre la intrarea în țară, aferente României, cealaltă jumătate revenind Republicii Serbia</w:t>
      </w:r>
    </w:p>
    <w:p w:rsidR="00643CB5" w:rsidRPr="00315335" w:rsidRDefault="00643CB5" w:rsidP="00643CB5">
      <w:pPr>
        <w:spacing w:after="0" w:line="240" w:lineRule="auto"/>
        <w:jc w:val="both"/>
        <w:rPr>
          <w:rFonts w:ascii="Arial" w:hAnsi="Arial" w:cs="Arial"/>
        </w:rPr>
      </w:pPr>
    </w:p>
    <w:p w:rsidR="00643CB5" w:rsidRPr="00315335" w:rsidRDefault="00643CB5" w:rsidP="00643CB5">
      <w:pPr>
        <w:keepNext/>
        <w:jc w:val="center"/>
      </w:pPr>
      <w:r w:rsidRPr="00315335">
        <w:rPr>
          <w:rFonts w:ascii="Arial" w:hAnsi="Arial" w:cs="Arial"/>
          <w:noProof/>
        </w:rPr>
        <w:drawing>
          <wp:inline distT="0" distB="0" distL="0" distR="0" wp14:anchorId="46883E5A" wp14:editId="73CCD0FE">
            <wp:extent cx="5991225" cy="3833813"/>
            <wp:effectExtent l="0" t="0" r="9525" b="14605"/>
            <wp:docPr id="238" name="Chart 4">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43CB5" w:rsidRPr="00315335" w:rsidRDefault="00643CB5" w:rsidP="00643CB5">
      <w:pPr>
        <w:spacing w:after="0"/>
        <w:jc w:val="center"/>
        <w:rPr>
          <w:rFonts w:ascii="Arial" w:hAnsi="Arial" w:cs="Arial"/>
          <w:b/>
          <w:bCs/>
          <w:iCs/>
          <w:sz w:val="24"/>
          <w:szCs w:val="24"/>
        </w:rPr>
      </w:pPr>
      <w:r w:rsidRPr="00315335">
        <w:rPr>
          <w:rFonts w:ascii="Arial" w:hAnsi="Arial" w:cs="Arial"/>
          <w:b/>
          <w:bCs/>
          <w:iCs/>
          <w:sz w:val="24"/>
          <w:szCs w:val="24"/>
        </w:rPr>
        <w:t>Fig. nr.II.1.1.1.-1 Resursele de apă teoretice medii  (volum 10</w:t>
      </w:r>
      <w:r w:rsidRPr="00315335">
        <w:rPr>
          <w:rFonts w:ascii="Arial" w:hAnsi="Arial" w:cs="Arial"/>
          <w:b/>
          <w:bCs/>
          <w:iCs/>
          <w:sz w:val="24"/>
          <w:szCs w:val="24"/>
          <w:vertAlign w:val="superscript"/>
        </w:rPr>
        <w:t xml:space="preserve">6 </w:t>
      </w:r>
      <w:r w:rsidRPr="00315335">
        <w:rPr>
          <w:rFonts w:ascii="Arial" w:hAnsi="Arial" w:cs="Arial"/>
          <w:b/>
          <w:bCs/>
          <w:iCs/>
          <w:sz w:val="24"/>
          <w:szCs w:val="24"/>
        </w:rPr>
        <w:t>m</w:t>
      </w:r>
      <w:r w:rsidRPr="00315335">
        <w:rPr>
          <w:rFonts w:ascii="Arial" w:hAnsi="Arial" w:cs="Arial"/>
          <w:b/>
          <w:bCs/>
          <w:iCs/>
          <w:sz w:val="24"/>
          <w:szCs w:val="24"/>
          <w:vertAlign w:val="superscript"/>
        </w:rPr>
        <w:t>3</w:t>
      </w:r>
      <w:r w:rsidRPr="00315335">
        <w:rPr>
          <w:rFonts w:ascii="Arial" w:hAnsi="Arial" w:cs="Arial"/>
          <w:b/>
          <w:bCs/>
          <w:iCs/>
          <w:sz w:val="24"/>
          <w:szCs w:val="24"/>
        </w:rPr>
        <w:t>) ale anului 2018, comparativ cu perioada anterioară (2013-2017)</w:t>
      </w:r>
    </w:p>
    <w:p w:rsidR="00643CB5" w:rsidRPr="00315335" w:rsidRDefault="00643CB5" w:rsidP="00643CB5">
      <w:pPr>
        <w:spacing w:after="120"/>
        <w:ind w:firstLine="709"/>
        <w:jc w:val="both"/>
        <w:rPr>
          <w:rFonts w:ascii="Arial" w:hAnsi="Arial" w:cs="Arial"/>
          <w:b/>
          <w:sz w:val="24"/>
          <w:szCs w:val="24"/>
        </w:rPr>
      </w:pPr>
    </w:p>
    <w:p w:rsidR="00643CB5" w:rsidRPr="00315335" w:rsidRDefault="00643CB5" w:rsidP="00643CB5">
      <w:pPr>
        <w:jc w:val="both"/>
        <w:rPr>
          <w:rFonts w:ascii="Arial" w:hAnsi="Arial" w:cs="Arial"/>
          <w:b/>
          <w:sz w:val="24"/>
          <w:szCs w:val="24"/>
        </w:rPr>
      </w:pPr>
      <w:r w:rsidRPr="00315335">
        <w:rPr>
          <w:rFonts w:ascii="Arial" w:hAnsi="Arial" w:cs="Arial"/>
          <w:b/>
          <w:sz w:val="24"/>
          <w:szCs w:val="24"/>
        </w:rPr>
        <w:t>RESURSE DE APĂ SUBTERANĂ</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b/>
          <w:sz w:val="24"/>
          <w:szCs w:val="24"/>
        </w:rPr>
        <w:t>Resursele de apă subterană</w:t>
      </w:r>
      <w:r w:rsidRPr="00315335">
        <w:rPr>
          <w:rFonts w:ascii="Arial" w:hAnsi="Arial" w:cs="Arial"/>
          <w:sz w:val="24"/>
          <w:szCs w:val="24"/>
        </w:rPr>
        <w:t xml:space="preserve"> reprezintă volumul de apă care poate fi extras dintr-un strat acvifer, deci volumul de apă exploatabilă. Această noţiune este complexă, deoarece cantitatea de apă ce poate fi furnizată de un strat acvifer depinde de volumul rezervelor şi este limitată de posibilităţile tehnice şi economice, de conservare şi protecţie a resurselor.</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b/>
          <w:sz w:val="24"/>
          <w:szCs w:val="24"/>
        </w:rPr>
        <w:t>Rezervele de apă subterană</w:t>
      </w:r>
      <w:r w:rsidRPr="00315335">
        <w:rPr>
          <w:rFonts w:ascii="Arial" w:hAnsi="Arial" w:cs="Arial"/>
          <w:sz w:val="24"/>
          <w:szCs w:val="24"/>
        </w:rPr>
        <w:t xml:space="preserve"> reprezintă volumul de apă gravitațională înmagazinată ȋntr-o anumită perioadă sau ȋntr-un anumit moment dat, ȋntr-un acvifer sau rocă magazin. Rezervele sunt condiţionate astfel, de structura geologică, adică de geometria acviferului şi de porozitatea eficace sau coeficientul de înmagazinare, factor care exprimă volumul de apă liberă ȋn roca magazin. Rezervele depind exclusiv de datele volumetrice şi se exprimă ȋn unităţi de volum (de regulă, ȋn m</w:t>
      </w:r>
      <w:r w:rsidRPr="00315335">
        <w:rPr>
          <w:rFonts w:ascii="Arial" w:hAnsi="Arial" w:cs="Arial"/>
          <w:sz w:val="24"/>
          <w:szCs w:val="24"/>
          <w:vertAlign w:val="superscript"/>
        </w:rPr>
        <w:t>3</w:t>
      </w:r>
      <w:r w:rsidRPr="00315335">
        <w:rPr>
          <w:rFonts w:ascii="Arial" w:hAnsi="Arial" w:cs="Arial"/>
          <w:sz w:val="24"/>
          <w:szCs w:val="24"/>
        </w:rPr>
        <w:t xml:space="preserve">). </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lastRenderedPageBreak/>
        <w:t>Resursele totale de apă subterană din România au fost estimate la 9,68 mld. m</w:t>
      </w:r>
      <w:r w:rsidRPr="00315335">
        <w:rPr>
          <w:rFonts w:ascii="Arial" w:hAnsi="Arial" w:cs="Arial"/>
          <w:sz w:val="24"/>
          <w:szCs w:val="24"/>
          <w:vertAlign w:val="superscript"/>
        </w:rPr>
        <w:t>3</w:t>
      </w:r>
      <w:r w:rsidRPr="00315335">
        <w:rPr>
          <w:rFonts w:ascii="Arial" w:hAnsi="Arial" w:cs="Arial"/>
          <w:sz w:val="24"/>
          <w:szCs w:val="24"/>
        </w:rPr>
        <w:t>/an, din care 4,74 mld. m</w:t>
      </w:r>
      <w:r w:rsidRPr="00315335">
        <w:rPr>
          <w:rFonts w:ascii="Arial" w:hAnsi="Arial" w:cs="Arial"/>
          <w:sz w:val="24"/>
          <w:szCs w:val="24"/>
          <w:vertAlign w:val="superscript"/>
        </w:rPr>
        <w:t>3</w:t>
      </w:r>
      <w:r w:rsidRPr="00315335">
        <w:rPr>
          <w:rFonts w:ascii="Arial" w:hAnsi="Arial" w:cs="Arial"/>
          <w:sz w:val="24"/>
          <w:szCs w:val="24"/>
        </w:rPr>
        <w:t>/an apele freatice și 4,94 mld. m</w:t>
      </w:r>
      <w:r w:rsidRPr="00315335">
        <w:rPr>
          <w:rFonts w:ascii="Arial" w:hAnsi="Arial" w:cs="Arial"/>
          <w:sz w:val="24"/>
          <w:szCs w:val="24"/>
          <w:vertAlign w:val="superscript"/>
        </w:rPr>
        <w:t>3</w:t>
      </w:r>
      <w:r w:rsidRPr="00315335">
        <w:rPr>
          <w:rFonts w:ascii="Arial" w:hAnsi="Arial" w:cs="Arial"/>
          <w:sz w:val="24"/>
          <w:szCs w:val="24"/>
        </w:rPr>
        <w:t xml:space="preserve">/an de apă subterană de adâncime, reprezentând circa 25% din apa de suprafață. </w:t>
      </w:r>
    </w:p>
    <w:p w:rsidR="00643CB5" w:rsidRPr="00315335" w:rsidRDefault="00643CB5" w:rsidP="00643CB5">
      <w:pPr>
        <w:spacing w:after="0"/>
        <w:ind w:firstLine="720"/>
        <w:jc w:val="both"/>
        <w:rPr>
          <w:rFonts w:ascii="Arial" w:hAnsi="Arial" w:cs="Arial"/>
          <w:sz w:val="24"/>
          <w:szCs w:val="24"/>
        </w:rPr>
      </w:pPr>
      <w:r w:rsidRPr="00315335">
        <w:rPr>
          <w:rFonts w:ascii="Arial" w:hAnsi="Arial" w:cs="Arial"/>
          <w:sz w:val="24"/>
          <w:szCs w:val="24"/>
        </w:rPr>
        <w:t>În general, apa subterană din primul orizont acvifer întâlnit în adâncime, este utilizată pentru irigații şi industrie, pentru alimentarea populaţiei fiind utilizată apa captată prin izvoare şi foraje de adâncime. Calitatea apei este determinată de alcătuirea mineralogică şi chimică a rocii în care este localizată apa subterană, dar şi de evoluţia tectonică regională şi/sau locală. Astfel, există ape subterane de adâncime cu un grad ridicat de mineralizare, cum sunt cele din partea nordică a Moldovei (unde depozitele sunt alcătuite preponderent din argile nisipoase şi nisipuri fine, acviferele având capacitate redusă de debitare şi grosime mică), partea central-nordică a Depresiunii Transilvaniei sau ȋn zona de curbură a Carpaţilor (datorită diapirelor la zi sau la mică adâncime). Aceste aspecte calitative fac ca apa subterană să nu poată fi utilizată pentru alimentarea populaţiei. În Depresiunea Transilvaniei, Câmpia de Vest, vestul Olteniei, apele de adâncime au local, în mod natural, conținuturi ridicate de amoniu, ceea determină caracterul nepotabil al acestora şi aplicarea unor măsuri de tratare.</w:t>
      </w:r>
    </w:p>
    <w:p w:rsidR="00643CB5" w:rsidRPr="00315335" w:rsidRDefault="00643CB5" w:rsidP="00643CB5">
      <w:pPr>
        <w:spacing w:before="120" w:after="0" w:line="240" w:lineRule="auto"/>
        <w:rPr>
          <w:rFonts w:ascii="Arial" w:hAnsi="Arial" w:cs="Arial"/>
          <w:b/>
          <w:i/>
          <w:sz w:val="24"/>
          <w:szCs w:val="24"/>
        </w:rPr>
      </w:pPr>
      <w:r w:rsidRPr="00315335">
        <w:rPr>
          <w:rFonts w:ascii="Arial" w:hAnsi="Arial" w:cs="Arial"/>
          <w:b/>
          <w:i/>
          <w:sz w:val="24"/>
          <w:szCs w:val="24"/>
        </w:rPr>
        <w:t>Caracterizarea regimului de curgere a apelor subterane de mică adâncime în anul 2018 comparativ cu anul 2017</w:t>
      </w:r>
    </w:p>
    <w:p w:rsidR="00643CB5" w:rsidRPr="00315335" w:rsidRDefault="00643CB5" w:rsidP="00643CB5">
      <w:pPr>
        <w:spacing w:after="0"/>
        <w:ind w:firstLine="709"/>
        <w:jc w:val="both"/>
        <w:rPr>
          <w:rFonts w:ascii="Arial" w:hAnsi="Arial" w:cs="Arial"/>
          <w:sz w:val="24"/>
          <w:szCs w:val="24"/>
        </w:rPr>
      </w:pPr>
      <w:r w:rsidRPr="00315335">
        <w:rPr>
          <w:rFonts w:ascii="Arial" w:hAnsi="Arial" w:cs="Arial"/>
          <w:sz w:val="24"/>
          <w:szCs w:val="24"/>
        </w:rPr>
        <w:t>Pe baza prelucrărilor statistice efectuate asupra valorilor caracteristice ale nivelurilor piezometrice măsurate într-un număr de 271 de foraje reprezentative a fost elaborată caracterizarea anului hidrogeologic 2018 prin comparație cu anul anterior şi cu valorile caracteristice (</w:t>
      </w:r>
      <w:r w:rsidRPr="00315335">
        <w:rPr>
          <w:rFonts w:ascii="Arial" w:hAnsi="Arial" w:cs="Arial"/>
          <w:i/>
          <w:sz w:val="24"/>
          <w:szCs w:val="24"/>
        </w:rPr>
        <w:t>media lunară multianuală, minima istorică</w:t>
      </w:r>
      <w:r w:rsidRPr="00315335">
        <w:rPr>
          <w:rFonts w:ascii="Arial" w:hAnsi="Arial" w:cs="Arial"/>
          <w:sz w:val="24"/>
          <w:szCs w:val="24"/>
        </w:rPr>
        <w:t>). Interpretarea rezultatelor a fost integrată spaţial ȋn cadrul unităţilor geomorfologice majore ale României.</w:t>
      </w:r>
    </w:p>
    <w:p w:rsidR="00643CB5" w:rsidRPr="00315335" w:rsidRDefault="00643CB5" w:rsidP="00643CB5">
      <w:pPr>
        <w:spacing w:after="0"/>
        <w:ind w:firstLine="567"/>
        <w:jc w:val="both"/>
        <w:rPr>
          <w:rFonts w:ascii="Arial" w:hAnsi="Arial" w:cs="Arial"/>
          <w:sz w:val="24"/>
          <w:szCs w:val="24"/>
        </w:rPr>
      </w:pPr>
      <w:r w:rsidRPr="00315335">
        <w:rPr>
          <w:rFonts w:ascii="Arial" w:hAnsi="Arial" w:cs="Arial"/>
          <w:sz w:val="24"/>
          <w:szCs w:val="24"/>
        </w:rPr>
        <w:t xml:space="preserve">Din calculul mediilor anuale şi multianuale reactualizat la nivelul anului 2018, rezultă că în aproximativ 45% dintre forajele de monitorizare, adâncimea nivelului piezometric a crescut cu până la </w:t>
      </w:r>
      <w:smartTag w:uri="urn:schemas-microsoft-com:office:smarttags" w:element="metricconverter">
        <w:smartTagPr>
          <w:attr w:name="ProductID" w:val="236 cm"/>
        </w:smartTagPr>
        <w:r w:rsidRPr="00315335">
          <w:rPr>
            <w:rFonts w:ascii="Arial" w:hAnsi="Arial" w:cs="Arial"/>
            <w:sz w:val="24"/>
            <w:szCs w:val="24"/>
          </w:rPr>
          <w:t>236 cm</w:t>
        </w:r>
      </w:smartTag>
      <w:r w:rsidRPr="00315335">
        <w:rPr>
          <w:rFonts w:ascii="Arial" w:hAnsi="Arial" w:cs="Arial"/>
          <w:sz w:val="24"/>
          <w:szCs w:val="24"/>
        </w:rPr>
        <w:t xml:space="preserve"> (Ceamurlia, Dobrogea de Sud), iar în 55% a scăzut cu până la </w:t>
      </w:r>
      <w:smartTag w:uri="urn:schemas-microsoft-com:office:smarttags" w:element="metricconverter">
        <w:smartTagPr>
          <w:attr w:name="ProductID" w:val="103 cm"/>
        </w:smartTagPr>
        <w:r w:rsidRPr="00315335">
          <w:rPr>
            <w:rFonts w:ascii="Arial" w:hAnsi="Arial" w:cs="Arial"/>
            <w:sz w:val="24"/>
            <w:szCs w:val="24"/>
          </w:rPr>
          <w:t>103 cm</w:t>
        </w:r>
      </w:smartTag>
      <w:r w:rsidRPr="00315335">
        <w:rPr>
          <w:rFonts w:ascii="Arial" w:hAnsi="Arial" w:cs="Arial"/>
          <w:sz w:val="24"/>
          <w:szCs w:val="24"/>
        </w:rPr>
        <w:t xml:space="preserve"> (Brastavăţu, Câmpia Caracal), după cum este ilustrat în </w:t>
      </w:r>
      <w:r w:rsidRPr="00315335">
        <w:rPr>
          <w:rFonts w:ascii="Arial" w:hAnsi="Arial" w:cs="Arial"/>
          <w:i/>
          <w:sz w:val="24"/>
          <w:szCs w:val="24"/>
        </w:rPr>
        <w:t>Figura nr. II.1.1.1.-2.</w:t>
      </w:r>
      <w:r w:rsidRPr="00315335">
        <w:rPr>
          <w:rFonts w:ascii="Arial" w:hAnsi="Arial" w:cs="Arial"/>
          <w:sz w:val="24"/>
          <w:szCs w:val="24"/>
        </w:rPr>
        <w:t xml:space="preserve"> În ceea ce priveşte valorile minime istorice (adâncimi maxime ale nivelurilor piezometrice), în anul 2018 acestea nu au fost depăşite. </w:t>
      </w:r>
    </w:p>
    <w:p w:rsidR="00643CB5" w:rsidRPr="00315335" w:rsidRDefault="00643CB5" w:rsidP="00643CB5">
      <w:pPr>
        <w:tabs>
          <w:tab w:val="left" w:pos="993"/>
        </w:tabs>
        <w:spacing w:before="120" w:after="0" w:line="240" w:lineRule="auto"/>
        <w:jc w:val="center"/>
        <w:rPr>
          <w:rFonts w:ascii="Arial" w:hAnsi="Arial" w:cs="Arial"/>
          <w:bCs/>
          <w:i/>
          <w:sz w:val="24"/>
          <w:szCs w:val="24"/>
        </w:rPr>
      </w:pPr>
      <w:r w:rsidRPr="00315335">
        <w:rPr>
          <w:rFonts w:ascii="Arial" w:hAnsi="Arial" w:cs="Arial"/>
          <w:noProof/>
          <w:sz w:val="24"/>
          <w:szCs w:val="24"/>
        </w:rPr>
        <w:drawing>
          <wp:inline distT="0" distB="0" distL="0" distR="0" wp14:anchorId="137A995C" wp14:editId="615A2647">
            <wp:extent cx="5939790" cy="4155634"/>
            <wp:effectExtent l="0" t="0" r="3810" b="0"/>
            <wp:docPr id="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9790" cy="4155634"/>
                    </a:xfrm>
                    <a:prstGeom prst="rect">
                      <a:avLst/>
                    </a:prstGeom>
                    <a:noFill/>
                    <a:ln>
                      <a:noFill/>
                    </a:ln>
                  </pic:spPr>
                </pic:pic>
              </a:graphicData>
            </a:graphic>
          </wp:inline>
        </w:drawing>
      </w:r>
    </w:p>
    <w:p w:rsidR="00643CB5" w:rsidRPr="00315335" w:rsidRDefault="00643CB5" w:rsidP="00643CB5">
      <w:pPr>
        <w:tabs>
          <w:tab w:val="left" w:pos="993"/>
        </w:tabs>
        <w:spacing w:before="120" w:after="0" w:line="240" w:lineRule="auto"/>
        <w:jc w:val="center"/>
        <w:rPr>
          <w:rFonts w:ascii="Arial" w:hAnsi="Arial" w:cs="Arial"/>
          <w:bCs/>
          <w:sz w:val="24"/>
          <w:szCs w:val="24"/>
        </w:rPr>
      </w:pPr>
      <w:r w:rsidRPr="00315335">
        <w:rPr>
          <w:rFonts w:ascii="Arial" w:hAnsi="Arial" w:cs="Arial"/>
          <w:bCs/>
          <w:sz w:val="24"/>
          <w:szCs w:val="24"/>
        </w:rPr>
        <w:lastRenderedPageBreak/>
        <w:t xml:space="preserve">Fig.nr. II.1.1.1.- 2 Regimul de curgere a apelor subterane freatice în anul 2018 </w:t>
      </w:r>
    </w:p>
    <w:p w:rsidR="00643CB5" w:rsidRPr="00315335" w:rsidRDefault="00643CB5" w:rsidP="00643CB5">
      <w:pPr>
        <w:tabs>
          <w:tab w:val="left" w:pos="993"/>
        </w:tabs>
        <w:spacing w:after="0" w:line="240" w:lineRule="auto"/>
        <w:jc w:val="center"/>
        <w:rPr>
          <w:rFonts w:ascii="Arial" w:hAnsi="Arial" w:cs="Arial"/>
          <w:bCs/>
          <w:sz w:val="24"/>
          <w:szCs w:val="24"/>
        </w:rPr>
      </w:pPr>
      <w:r w:rsidRPr="00315335">
        <w:rPr>
          <w:rFonts w:ascii="Arial" w:hAnsi="Arial" w:cs="Arial"/>
          <w:bCs/>
          <w:sz w:val="24"/>
          <w:szCs w:val="24"/>
        </w:rPr>
        <w:t xml:space="preserve">comparativ cu anul anterior </w:t>
      </w:r>
    </w:p>
    <w:p w:rsidR="00643CB5" w:rsidRPr="00315335" w:rsidRDefault="00643CB5" w:rsidP="00643CB5">
      <w:pPr>
        <w:spacing w:after="0" w:line="240" w:lineRule="auto"/>
        <w:jc w:val="both"/>
        <w:rPr>
          <w:rFonts w:ascii="Arial" w:hAnsi="Arial" w:cs="Arial"/>
          <w:sz w:val="24"/>
          <w:szCs w:val="24"/>
        </w:rPr>
      </w:pPr>
    </w:p>
    <w:p w:rsidR="00643CB5" w:rsidRPr="00315335" w:rsidRDefault="00643CB5" w:rsidP="00643CB5">
      <w:pPr>
        <w:spacing w:line="240" w:lineRule="auto"/>
        <w:ind w:firstLine="709"/>
        <w:jc w:val="both"/>
        <w:rPr>
          <w:rFonts w:ascii="Arial" w:hAnsi="Arial" w:cs="Arial"/>
          <w:sz w:val="24"/>
          <w:szCs w:val="24"/>
        </w:rPr>
      </w:pPr>
      <w:r w:rsidRPr="00315335">
        <w:rPr>
          <w:rFonts w:ascii="Arial" w:hAnsi="Arial" w:cs="Arial"/>
          <w:sz w:val="24"/>
          <w:szCs w:val="24"/>
        </w:rPr>
        <w:t xml:space="preserve">Diferențele calculate între valorile medii ale anului 2018, valorile medii ale anului 2017 şi valorile multianuale, grupate pe zone geografice, sunt sintetizate în </w:t>
      </w:r>
      <w:r w:rsidRPr="00315335">
        <w:rPr>
          <w:rFonts w:ascii="Arial" w:hAnsi="Arial" w:cs="Arial"/>
          <w:i/>
          <w:sz w:val="24"/>
          <w:szCs w:val="24"/>
        </w:rPr>
        <w:t>tabelul II.1.1.1.3</w:t>
      </w:r>
    </w:p>
    <w:p w:rsidR="00643CB5" w:rsidRPr="00315335" w:rsidRDefault="00643CB5" w:rsidP="00643CB5">
      <w:pPr>
        <w:spacing w:after="0"/>
        <w:jc w:val="center"/>
        <w:rPr>
          <w:rFonts w:ascii="Arial" w:hAnsi="Arial" w:cs="Arial"/>
          <w:i/>
          <w:sz w:val="24"/>
          <w:szCs w:val="24"/>
        </w:rPr>
      </w:pPr>
      <w:r w:rsidRPr="00315335">
        <w:rPr>
          <w:rFonts w:ascii="Arial" w:hAnsi="Arial" w:cs="Arial"/>
          <w:bCs/>
          <w:i/>
          <w:sz w:val="24"/>
          <w:szCs w:val="24"/>
        </w:rPr>
        <w:t>Tabelul nr.II.1.1.1.3. Diferențele dintre mediile anuale 2018 comparativ cu anul  2017</w:t>
      </w:r>
      <w:r w:rsidRPr="00315335">
        <w:rPr>
          <w:rFonts w:ascii="Arial" w:hAnsi="Arial" w:cs="Arial"/>
          <w:i/>
          <w:sz w:val="24"/>
          <w:szCs w:val="24"/>
        </w:rPr>
        <w:t xml:space="preserve"> </w:t>
      </w:r>
      <w:r w:rsidRPr="00315335">
        <w:rPr>
          <w:rFonts w:ascii="Arial" w:hAnsi="Arial" w:cs="Arial"/>
          <w:bCs/>
          <w:i/>
          <w:sz w:val="24"/>
          <w:szCs w:val="24"/>
        </w:rPr>
        <w:t>şi mediile multianuale</w:t>
      </w:r>
    </w:p>
    <w:tbl>
      <w:tblPr>
        <w:tblW w:w="493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002"/>
        <w:gridCol w:w="1298"/>
        <w:gridCol w:w="1303"/>
        <w:gridCol w:w="1335"/>
        <w:gridCol w:w="1163"/>
        <w:gridCol w:w="1190"/>
      </w:tblGrid>
      <w:tr w:rsidR="00315335" w:rsidRPr="00315335" w:rsidTr="00916B06">
        <w:trPr>
          <w:trHeight w:val="252"/>
          <w:jc w:val="center"/>
        </w:trPr>
        <w:tc>
          <w:tcPr>
            <w:tcW w:w="3693" w:type="dxa"/>
            <w:vMerge w:val="restart"/>
            <w:shd w:val="clear" w:color="000000" w:fill="FFFFCC"/>
            <w:vAlign w:val="center"/>
          </w:tcPr>
          <w:p w:rsidR="00643CB5" w:rsidRPr="00315335" w:rsidRDefault="00643CB5" w:rsidP="00916B06">
            <w:pPr>
              <w:spacing w:after="0" w:line="240" w:lineRule="auto"/>
              <w:jc w:val="center"/>
              <w:rPr>
                <w:rFonts w:ascii="Arial" w:hAnsi="Arial" w:cs="Arial"/>
                <w:b/>
                <w:bCs/>
                <w:sz w:val="20"/>
                <w:szCs w:val="20"/>
              </w:rPr>
            </w:pPr>
            <w:r w:rsidRPr="00315335">
              <w:rPr>
                <w:rFonts w:ascii="Arial" w:hAnsi="Arial" w:cs="Arial"/>
                <w:b/>
                <w:bCs/>
                <w:sz w:val="20"/>
                <w:szCs w:val="20"/>
              </w:rPr>
              <w:t>Zona / Depășiri ale adâncimii nivelului piezometric (cm)</w:t>
            </w:r>
          </w:p>
        </w:tc>
        <w:tc>
          <w:tcPr>
            <w:tcW w:w="1198" w:type="dxa"/>
            <w:vMerge w:val="restart"/>
            <w:shd w:val="clear" w:color="000000" w:fill="FFFFCC"/>
            <w:vAlign w:val="center"/>
          </w:tcPr>
          <w:p w:rsidR="00643CB5" w:rsidRPr="00315335" w:rsidRDefault="00643CB5" w:rsidP="00916B06">
            <w:pPr>
              <w:spacing w:after="0" w:line="240" w:lineRule="auto"/>
              <w:jc w:val="center"/>
              <w:rPr>
                <w:rFonts w:ascii="Arial" w:hAnsi="Arial" w:cs="Arial"/>
                <w:b/>
                <w:bCs/>
                <w:sz w:val="20"/>
                <w:szCs w:val="20"/>
              </w:rPr>
            </w:pPr>
            <w:r w:rsidRPr="00315335">
              <w:rPr>
                <w:rFonts w:ascii="Arial" w:hAnsi="Arial" w:cs="Arial"/>
                <w:b/>
                <w:bCs/>
                <w:sz w:val="20"/>
                <w:szCs w:val="20"/>
              </w:rPr>
              <w:t>Nr. foraje</w:t>
            </w:r>
          </w:p>
        </w:tc>
        <w:tc>
          <w:tcPr>
            <w:tcW w:w="2434" w:type="dxa"/>
            <w:gridSpan w:val="2"/>
            <w:shd w:val="clear" w:color="000000" w:fill="FFFFCC"/>
            <w:noWrap/>
            <w:vAlign w:val="center"/>
          </w:tcPr>
          <w:p w:rsidR="00643CB5" w:rsidRPr="00315335" w:rsidRDefault="00643CB5" w:rsidP="00916B06">
            <w:pPr>
              <w:spacing w:after="0" w:line="240" w:lineRule="auto"/>
              <w:jc w:val="center"/>
              <w:rPr>
                <w:rFonts w:ascii="Arial" w:hAnsi="Arial" w:cs="Arial"/>
                <w:b/>
                <w:bCs/>
                <w:sz w:val="20"/>
                <w:szCs w:val="20"/>
              </w:rPr>
            </w:pPr>
            <w:r w:rsidRPr="00315335">
              <w:rPr>
                <w:rFonts w:ascii="Arial" w:hAnsi="Arial" w:cs="Arial"/>
                <w:b/>
                <w:bCs/>
                <w:sz w:val="20"/>
                <w:szCs w:val="20"/>
              </w:rPr>
              <w:t>Medii anuale 2018 şi 2017</w:t>
            </w:r>
          </w:p>
        </w:tc>
        <w:tc>
          <w:tcPr>
            <w:tcW w:w="2171" w:type="dxa"/>
            <w:gridSpan w:val="2"/>
            <w:shd w:val="clear" w:color="000000" w:fill="FFFFCC"/>
            <w:vAlign w:val="center"/>
          </w:tcPr>
          <w:p w:rsidR="00643CB5" w:rsidRPr="00315335" w:rsidRDefault="00643CB5" w:rsidP="00916B06">
            <w:pPr>
              <w:spacing w:after="0" w:line="240" w:lineRule="auto"/>
              <w:jc w:val="center"/>
              <w:rPr>
                <w:rFonts w:ascii="Arial" w:hAnsi="Arial" w:cs="Arial"/>
                <w:b/>
                <w:bCs/>
                <w:sz w:val="20"/>
                <w:szCs w:val="20"/>
              </w:rPr>
            </w:pPr>
            <w:r w:rsidRPr="00315335">
              <w:rPr>
                <w:rFonts w:ascii="Arial" w:hAnsi="Arial" w:cs="Arial"/>
                <w:b/>
                <w:bCs/>
                <w:sz w:val="20"/>
                <w:szCs w:val="20"/>
              </w:rPr>
              <w:t>Medii anuale 2018  şi medii multianuale</w:t>
            </w:r>
          </w:p>
        </w:tc>
      </w:tr>
      <w:tr w:rsidR="00315335" w:rsidRPr="00315335" w:rsidTr="00916B06">
        <w:trPr>
          <w:trHeight w:val="252"/>
          <w:jc w:val="center"/>
        </w:trPr>
        <w:tc>
          <w:tcPr>
            <w:tcW w:w="3693" w:type="dxa"/>
            <w:vMerge/>
            <w:vAlign w:val="center"/>
          </w:tcPr>
          <w:p w:rsidR="00643CB5" w:rsidRPr="00315335" w:rsidRDefault="00643CB5" w:rsidP="00916B06">
            <w:pPr>
              <w:spacing w:after="0" w:line="240" w:lineRule="auto"/>
              <w:rPr>
                <w:rFonts w:ascii="Arial" w:hAnsi="Arial" w:cs="Arial"/>
                <w:b/>
                <w:bCs/>
                <w:sz w:val="20"/>
                <w:szCs w:val="20"/>
              </w:rPr>
            </w:pPr>
          </w:p>
        </w:tc>
        <w:tc>
          <w:tcPr>
            <w:tcW w:w="1198" w:type="dxa"/>
            <w:vMerge/>
            <w:vAlign w:val="center"/>
          </w:tcPr>
          <w:p w:rsidR="00643CB5" w:rsidRPr="00315335" w:rsidRDefault="00643CB5" w:rsidP="00916B06">
            <w:pPr>
              <w:spacing w:after="0" w:line="240" w:lineRule="auto"/>
              <w:rPr>
                <w:rFonts w:ascii="Arial" w:hAnsi="Arial" w:cs="Arial"/>
                <w:b/>
                <w:bCs/>
                <w:sz w:val="20"/>
                <w:szCs w:val="20"/>
              </w:rPr>
            </w:pPr>
          </w:p>
        </w:tc>
        <w:tc>
          <w:tcPr>
            <w:tcW w:w="1202" w:type="dxa"/>
            <w:shd w:val="clear" w:color="000000" w:fill="FFFFCC"/>
            <w:noWrap/>
            <w:vAlign w:val="center"/>
          </w:tcPr>
          <w:p w:rsidR="00643CB5" w:rsidRPr="00315335" w:rsidRDefault="00643CB5" w:rsidP="00916B06">
            <w:pPr>
              <w:spacing w:after="0" w:line="240" w:lineRule="auto"/>
              <w:jc w:val="center"/>
              <w:rPr>
                <w:rFonts w:ascii="Arial" w:hAnsi="Arial" w:cs="Arial"/>
                <w:b/>
                <w:bCs/>
                <w:sz w:val="20"/>
                <w:szCs w:val="20"/>
              </w:rPr>
            </w:pPr>
            <w:r w:rsidRPr="00315335">
              <w:rPr>
                <w:rFonts w:ascii="Arial" w:hAnsi="Arial" w:cs="Arial"/>
                <w:b/>
                <w:bCs/>
                <w:sz w:val="20"/>
                <w:szCs w:val="20"/>
              </w:rPr>
              <w:t>Max</w:t>
            </w:r>
          </w:p>
        </w:tc>
        <w:tc>
          <w:tcPr>
            <w:tcW w:w="1231" w:type="dxa"/>
            <w:shd w:val="clear" w:color="000000" w:fill="FFFFCC"/>
            <w:noWrap/>
            <w:vAlign w:val="center"/>
          </w:tcPr>
          <w:p w:rsidR="00643CB5" w:rsidRPr="00315335" w:rsidRDefault="00643CB5" w:rsidP="00916B06">
            <w:pPr>
              <w:spacing w:after="0" w:line="240" w:lineRule="auto"/>
              <w:jc w:val="center"/>
              <w:rPr>
                <w:rFonts w:ascii="Arial" w:hAnsi="Arial" w:cs="Arial"/>
                <w:b/>
                <w:bCs/>
                <w:sz w:val="20"/>
                <w:szCs w:val="20"/>
              </w:rPr>
            </w:pPr>
            <w:r w:rsidRPr="00315335">
              <w:rPr>
                <w:rFonts w:ascii="Arial" w:hAnsi="Arial" w:cs="Arial"/>
                <w:b/>
                <w:bCs/>
                <w:sz w:val="20"/>
                <w:szCs w:val="20"/>
              </w:rPr>
              <w:t>Min</w:t>
            </w:r>
          </w:p>
        </w:tc>
        <w:tc>
          <w:tcPr>
            <w:tcW w:w="1073" w:type="dxa"/>
            <w:shd w:val="clear" w:color="000000" w:fill="FFFFCC"/>
            <w:noWrap/>
            <w:vAlign w:val="center"/>
          </w:tcPr>
          <w:p w:rsidR="00643CB5" w:rsidRPr="00315335" w:rsidRDefault="00643CB5" w:rsidP="00916B06">
            <w:pPr>
              <w:spacing w:after="0" w:line="240" w:lineRule="auto"/>
              <w:jc w:val="center"/>
              <w:rPr>
                <w:rFonts w:ascii="Arial" w:hAnsi="Arial" w:cs="Arial"/>
                <w:b/>
                <w:bCs/>
                <w:sz w:val="20"/>
                <w:szCs w:val="20"/>
              </w:rPr>
            </w:pPr>
            <w:r w:rsidRPr="00315335">
              <w:rPr>
                <w:rFonts w:ascii="Arial" w:hAnsi="Arial" w:cs="Arial"/>
                <w:b/>
                <w:bCs/>
                <w:sz w:val="20"/>
                <w:szCs w:val="20"/>
              </w:rPr>
              <w:t>Max</w:t>
            </w:r>
          </w:p>
        </w:tc>
        <w:tc>
          <w:tcPr>
            <w:tcW w:w="1098" w:type="dxa"/>
            <w:shd w:val="clear" w:color="000000" w:fill="FFFFCC"/>
            <w:noWrap/>
            <w:vAlign w:val="center"/>
          </w:tcPr>
          <w:p w:rsidR="00643CB5" w:rsidRPr="00315335" w:rsidRDefault="00643CB5" w:rsidP="00916B06">
            <w:pPr>
              <w:spacing w:after="0" w:line="240" w:lineRule="auto"/>
              <w:jc w:val="center"/>
              <w:rPr>
                <w:rFonts w:ascii="Arial" w:hAnsi="Arial" w:cs="Arial"/>
                <w:b/>
                <w:bCs/>
                <w:sz w:val="20"/>
                <w:szCs w:val="20"/>
              </w:rPr>
            </w:pPr>
            <w:r w:rsidRPr="00315335">
              <w:rPr>
                <w:rFonts w:ascii="Arial" w:hAnsi="Arial" w:cs="Arial"/>
                <w:b/>
                <w:bCs/>
                <w:sz w:val="20"/>
                <w:szCs w:val="20"/>
              </w:rPr>
              <w:t>Min</w:t>
            </w:r>
          </w:p>
        </w:tc>
      </w:tr>
      <w:tr w:rsidR="00315335" w:rsidRPr="00315335" w:rsidTr="00916B06">
        <w:trPr>
          <w:trHeight w:val="420"/>
          <w:jc w:val="center"/>
        </w:trPr>
        <w:tc>
          <w:tcPr>
            <w:tcW w:w="3693" w:type="dxa"/>
            <w:shd w:val="clear" w:color="000000" w:fill="FFFFCC"/>
            <w:vAlign w:val="center"/>
          </w:tcPr>
          <w:p w:rsidR="00643CB5" w:rsidRPr="00315335" w:rsidRDefault="00643CB5" w:rsidP="00916B06">
            <w:pPr>
              <w:spacing w:after="0" w:line="240" w:lineRule="auto"/>
              <w:rPr>
                <w:rFonts w:ascii="Arial" w:hAnsi="Arial" w:cs="Arial"/>
                <w:b/>
                <w:bCs/>
                <w:sz w:val="20"/>
                <w:szCs w:val="20"/>
              </w:rPr>
            </w:pPr>
            <w:r w:rsidRPr="00315335">
              <w:rPr>
                <w:rFonts w:ascii="Arial" w:hAnsi="Arial" w:cs="Arial"/>
                <w:b/>
                <w:bCs/>
                <w:sz w:val="20"/>
                <w:szCs w:val="20"/>
              </w:rPr>
              <w:t>A. Câmpia Română, Piemontul Getic şi Subcarpaţii Getici</w:t>
            </w:r>
          </w:p>
        </w:tc>
        <w:tc>
          <w:tcPr>
            <w:tcW w:w="1198" w:type="dxa"/>
            <w:shd w:val="clear" w:color="000000" w:fill="FFFFCC"/>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116</w:t>
            </w:r>
          </w:p>
        </w:tc>
        <w:tc>
          <w:tcPr>
            <w:tcW w:w="1202"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47</w:t>
            </w:r>
          </w:p>
        </w:tc>
        <w:tc>
          <w:tcPr>
            <w:tcW w:w="1231"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-181</w:t>
            </w:r>
          </w:p>
        </w:tc>
        <w:tc>
          <w:tcPr>
            <w:tcW w:w="1073"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628</w:t>
            </w:r>
          </w:p>
        </w:tc>
        <w:tc>
          <w:tcPr>
            <w:tcW w:w="1098"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-401</w:t>
            </w:r>
          </w:p>
        </w:tc>
      </w:tr>
      <w:tr w:rsidR="00315335" w:rsidRPr="00315335" w:rsidTr="00916B06">
        <w:trPr>
          <w:trHeight w:val="420"/>
          <w:jc w:val="center"/>
        </w:trPr>
        <w:tc>
          <w:tcPr>
            <w:tcW w:w="3693" w:type="dxa"/>
            <w:shd w:val="clear" w:color="000000" w:fill="FFFFCC"/>
            <w:vAlign w:val="center"/>
          </w:tcPr>
          <w:p w:rsidR="00643CB5" w:rsidRPr="00315335" w:rsidRDefault="00643CB5" w:rsidP="00916B06">
            <w:pPr>
              <w:spacing w:after="0" w:line="240" w:lineRule="auto"/>
              <w:rPr>
                <w:rFonts w:ascii="Arial" w:hAnsi="Arial" w:cs="Arial"/>
                <w:b/>
                <w:bCs/>
                <w:sz w:val="20"/>
                <w:szCs w:val="20"/>
              </w:rPr>
            </w:pPr>
            <w:r w:rsidRPr="00315335">
              <w:rPr>
                <w:rFonts w:ascii="Arial" w:hAnsi="Arial" w:cs="Arial"/>
                <w:b/>
                <w:bCs/>
                <w:sz w:val="20"/>
                <w:szCs w:val="20"/>
              </w:rPr>
              <w:t>B. Câmpia de Vest, Dealurile Crişanei şi Banatului</w:t>
            </w:r>
          </w:p>
        </w:tc>
        <w:tc>
          <w:tcPr>
            <w:tcW w:w="1198" w:type="dxa"/>
            <w:shd w:val="clear" w:color="000000" w:fill="FFFFCC"/>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65</w:t>
            </w:r>
          </w:p>
        </w:tc>
        <w:tc>
          <w:tcPr>
            <w:tcW w:w="1202"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191</w:t>
            </w:r>
          </w:p>
        </w:tc>
        <w:tc>
          <w:tcPr>
            <w:tcW w:w="1231"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-136</w:t>
            </w:r>
          </w:p>
        </w:tc>
        <w:tc>
          <w:tcPr>
            <w:tcW w:w="1073"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168</w:t>
            </w:r>
          </w:p>
        </w:tc>
        <w:tc>
          <w:tcPr>
            <w:tcW w:w="1098"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-109</w:t>
            </w:r>
          </w:p>
        </w:tc>
      </w:tr>
      <w:tr w:rsidR="00315335" w:rsidRPr="00315335" w:rsidTr="00916B06">
        <w:trPr>
          <w:trHeight w:val="420"/>
          <w:jc w:val="center"/>
        </w:trPr>
        <w:tc>
          <w:tcPr>
            <w:tcW w:w="3693" w:type="dxa"/>
            <w:shd w:val="clear" w:color="000000" w:fill="FFFFCC"/>
            <w:vAlign w:val="center"/>
          </w:tcPr>
          <w:p w:rsidR="00643CB5" w:rsidRPr="00315335" w:rsidRDefault="00643CB5" w:rsidP="00916B06">
            <w:pPr>
              <w:spacing w:after="0" w:line="240" w:lineRule="auto"/>
              <w:rPr>
                <w:rFonts w:ascii="Arial" w:hAnsi="Arial" w:cs="Arial"/>
                <w:b/>
                <w:bCs/>
                <w:sz w:val="20"/>
                <w:szCs w:val="20"/>
              </w:rPr>
            </w:pPr>
            <w:r w:rsidRPr="00315335">
              <w:rPr>
                <w:rFonts w:ascii="Arial" w:hAnsi="Arial" w:cs="Arial"/>
                <w:b/>
                <w:bCs/>
                <w:sz w:val="20"/>
                <w:szCs w:val="20"/>
              </w:rPr>
              <w:t>C. Depresiunea Transilvaniei şi depresiunile din Carpații Orientali</w:t>
            </w:r>
          </w:p>
        </w:tc>
        <w:tc>
          <w:tcPr>
            <w:tcW w:w="1198" w:type="dxa"/>
            <w:shd w:val="clear" w:color="000000" w:fill="FFFFCC"/>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42</w:t>
            </w:r>
          </w:p>
        </w:tc>
        <w:tc>
          <w:tcPr>
            <w:tcW w:w="1202"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103</w:t>
            </w:r>
          </w:p>
        </w:tc>
        <w:tc>
          <w:tcPr>
            <w:tcW w:w="1231"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-113</w:t>
            </w:r>
          </w:p>
        </w:tc>
        <w:tc>
          <w:tcPr>
            <w:tcW w:w="1073"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309</w:t>
            </w:r>
          </w:p>
        </w:tc>
        <w:tc>
          <w:tcPr>
            <w:tcW w:w="1098"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-96</w:t>
            </w:r>
          </w:p>
        </w:tc>
      </w:tr>
      <w:tr w:rsidR="00315335" w:rsidRPr="00315335" w:rsidTr="00916B06">
        <w:trPr>
          <w:trHeight w:val="420"/>
          <w:jc w:val="center"/>
        </w:trPr>
        <w:tc>
          <w:tcPr>
            <w:tcW w:w="3693" w:type="dxa"/>
            <w:shd w:val="clear" w:color="000000" w:fill="FFFFCC"/>
            <w:vAlign w:val="center"/>
          </w:tcPr>
          <w:p w:rsidR="00643CB5" w:rsidRPr="00315335" w:rsidRDefault="00643CB5" w:rsidP="00916B06">
            <w:pPr>
              <w:spacing w:after="0" w:line="240" w:lineRule="auto"/>
              <w:rPr>
                <w:rFonts w:ascii="Arial" w:hAnsi="Arial" w:cs="Arial"/>
                <w:b/>
                <w:bCs/>
                <w:sz w:val="20"/>
                <w:szCs w:val="20"/>
              </w:rPr>
            </w:pPr>
            <w:r w:rsidRPr="00315335">
              <w:rPr>
                <w:rFonts w:ascii="Arial" w:hAnsi="Arial" w:cs="Arial"/>
                <w:b/>
                <w:bCs/>
                <w:sz w:val="20"/>
                <w:szCs w:val="20"/>
              </w:rPr>
              <w:t>D. Podişul Moldovei, Subcarpaţii Orientali şi de Curbură</w:t>
            </w:r>
          </w:p>
        </w:tc>
        <w:tc>
          <w:tcPr>
            <w:tcW w:w="1198" w:type="dxa"/>
            <w:shd w:val="clear" w:color="000000" w:fill="FFFFCC"/>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39</w:t>
            </w:r>
          </w:p>
        </w:tc>
        <w:tc>
          <w:tcPr>
            <w:tcW w:w="1202"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32</w:t>
            </w:r>
          </w:p>
        </w:tc>
        <w:tc>
          <w:tcPr>
            <w:tcW w:w="1231"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-61</w:t>
            </w:r>
          </w:p>
        </w:tc>
        <w:tc>
          <w:tcPr>
            <w:tcW w:w="1073"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208</w:t>
            </w:r>
          </w:p>
        </w:tc>
        <w:tc>
          <w:tcPr>
            <w:tcW w:w="1098"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-63</w:t>
            </w:r>
          </w:p>
        </w:tc>
      </w:tr>
      <w:tr w:rsidR="00315335" w:rsidRPr="00315335" w:rsidTr="00916B06">
        <w:trPr>
          <w:trHeight w:val="252"/>
          <w:jc w:val="center"/>
        </w:trPr>
        <w:tc>
          <w:tcPr>
            <w:tcW w:w="3693" w:type="dxa"/>
            <w:shd w:val="clear" w:color="000000" w:fill="FFFFCC"/>
            <w:vAlign w:val="center"/>
          </w:tcPr>
          <w:p w:rsidR="00643CB5" w:rsidRPr="00315335" w:rsidRDefault="00643CB5" w:rsidP="00916B06">
            <w:pPr>
              <w:spacing w:after="0" w:line="240" w:lineRule="auto"/>
              <w:rPr>
                <w:rFonts w:ascii="Arial" w:hAnsi="Arial" w:cs="Arial"/>
                <w:b/>
                <w:bCs/>
                <w:sz w:val="20"/>
                <w:szCs w:val="20"/>
              </w:rPr>
            </w:pPr>
            <w:r w:rsidRPr="00315335">
              <w:rPr>
                <w:rFonts w:ascii="Arial" w:hAnsi="Arial" w:cs="Arial"/>
                <w:b/>
                <w:bCs/>
                <w:sz w:val="20"/>
                <w:szCs w:val="20"/>
              </w:rPr>
              <w:t>E. Podişul Dobrogei</w:t>
            </w:r>
          </w:p>
        </w:tc>
        <w:tc>
          <w:tcPr>
            <w:tcW w:w="1198" w:type="dxa"/>
            <w:shd w:val="clear" w:color="000000" w:fill="FFFFCC"/>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9</w:t>
            </w:r>
          </w:p>
        </w:tc>
        <w:tc>
          <w:tcPr>
            <w:tcW w:w="1202"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34</w:t>
            </w:r>
          </w:p>
        </w:tc>
        <w:tc>
          <w:tcPr>
            <w:tcW w:w="1231"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-236</w:t>
            </w:r>
          </w:p>
        </w:tc>
        <w:tc>
          <w:tcPr>
            <w:tcW w:w="1073"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422</w:t>
            </w:r>
          </w:p>
        </w:tc>
        <w:tc>
          <w:tcPr>
            <w:tcW w:w="1098" w:type="dxa"/>
            <w:shd w:val="clear" w:color="000000" w:fill="FFFFCC"/>
            <w:noWrap/>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-170</w:t>
            </w:r>
          </w:p>
        </w:tc>
      </w:tr>
    </w:tbl>
    <w:p w:rsidR="00643CB5" w:rsidRPr="00315335" w:rsidRDefault="00643CB5" w:rsidP="00643CB5">
      <w:pPr>
        <w:spacing w:before="120" w:after="120" w:line="240" w:lineRule="auto"/>
        <w:ind w:firstLine="567"/>
        <w:jc w:val="both"/>
        <w:rPr>
          <w:rFonts w:ascii="Arial" w:hAnsi="Arial" w:cs="Arial"/>
          <w:sz w:val="24"/>
          <w:szCs w:val="24"/>
        </w:rPr>
      </w:pP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 xml:space="preserve">Valorile medii ale anului 2018 s-au situat, faţă de media multianuală, la valori mai mari cu până la </w:t>
      </w:r>
      <w:smartTag w:uri="urn:schemas-microsoft-com:office:smarttags" w:element="metricconverter">
        <w:smartTagPr>
          <w:attr w:name="ProductID" w:val="400 cm"/>
        </w:smartTagPr>
        <w:r w:rsidRPr="00315335">
          <w:rPr>
            <w:rFonts w:ascii="Arial" w:hAnsi="Arial" w:cs="Arial"/>
            <w:sz w:val="24"/>
            <w:szCs w:val="24"/>
          </w:rPr>
          <w:t>400 cm</w:t>
        </w:r>
      </w:smartTag>
      <w:r w:rsidRPr="00315335">
        <w:rPr>
          <w:rFonts w:ascii="Arial" w:hAnsi="Arial" w:cs="Arial"/>
          <w:sz w:val="24"/>
          <w:szCs w:val="24"/>
        </w:rPr>
        <w:t xml:space="preserve"> (Siliştea, Câmpia Piteştiului) în 29% dintre foraje şi mai scăzute cu până la </w:t>
      </w:r>
      <w:smartTag w:uri="urn:schemas-microsoft-com:office:smarttags" w:element="metricconverter">
        <w:smartTagPr>
          <w:attr w:name="ProductID" w:val="630 cm"/>
        </w:smartTagPr>
        <w:r w:rsidRPr="00315335">
          <w:rPr>
            <w:rFonts w:ascii="Arial" w:hAnsi="Arial" w:cs="Arial"/>
            <w:sz w:val="24"/>
            <w:szCs w:val="24"/>
          </w:rPr>
          <w:t>630 cm</w:t>
        </w:r>
      </w:smartTag>
      <w:r w:rsidRPr="00315335">
        <w:rPr>
          <w:rFonts w:ascii="Arial" w:hAnsi="Arial" w:cs="Arial"/>
          <w:sz w:val="24"/>
          <w:szCs w:val="24"/>
        </w:rPr>
        <w:t xml:space="preserve"> (Conţeşti, Câmpia Burnas) în 67% dintre acestea (</w:t>
      </w:r>
      <w:r w:rsidRPr="00315335">
        <w:rPr>
          <w:rFonts w:ascii="Arial" w:hAnsi="Arial" w:cs="Arial"/>
          <w:i/>
          <w:sz w:val="24"/>
          <w:szCs w:val="24"/>
        </w:rPr>
        <w:t>Figura nr.II.1.1.1.3</w:t>
      </w:r>
      <w:r w:rsidRPr="00315335">
        <w:rPr>
          <w:rFonts w:ascii="Arial" w:hAnsi="Arial" w:cs="Arial"/>
          <w:sz w:val="24"/>
          <w:szCs w:val="24"/>
        </w:rPr>
        <w:t>).</w:t>
      </w:r>
    </w:p>
    <w:p w:rsidR="00643CB5" w:rsidRPr="00315335" w:rsidRDefault="00643CB5" w:rsidP="00643CB5">
      <w:pPr>
        <w:tabs>
          <w:tab w:val="left" w:pos="993"/>
        </w:tabs>
        <w:spacing w:after="0"/>
        <w:jc w:val="center"/>
        <w:rPr>
          <w:rFonts w:ascii="Arial" w:hAnsi="Arial" w:cs="Arial"/>
          <w:b/>
          <w:sz w:val="24"/>
          <w:szCs w:val="24"/>
          <w:u w:val="single"/>
        </w:rPr>
      </w:pPr>
      <w:r w:rsidRPr="00315335">
        <w:rPr>
          <w:rFonts w:ascii="Arial" w:hAnsi="Arial" w:cs="Arial"/>
          <w:bCs/>
          <w:i/>
          <w:sz w:val="24"/>
          <w:szCs w:val="24"/>
        </w:rPr>
        <w:t xml:space="preserve">Fig.nr.II.1.1.1.3. Adâncimea nivelurilor piezometrice medii anuale comparativ cu valorile medii multianuale </w:t>
      </w:r>
    </w:p>
    <w:p w:rsidR="00643CB5" w:rsidRPr="00315335" w:rsidRDefault="00643CB5" w:rsidP="00BC4D9E">
      <w:pPr>
        <w:jc w:val="center"/>
        <w:rPr>
          <w:rFonts w:ascii="Arial" w:hAnsi="Arial" w:cs="Arial"/>
          <w:b/>
          <w:sz w:val="24"/>
          <w:szCs w:val="24"/>
          <w:u w:val="single"/>
        </w:rPr>
      </w:pPr>
      <w:r w:rsidRPr="00315335">
        <w:rPr>
          <w:rFonts w:ascii="Arial" w:hAnsi="Arial" w:cs="Arial"/>
          <w:noProof/>
          <w:sz w:val="24"/>
          <w:szCs w:val="24"/>
        </w:rPr>
        <w:drawing>
          <wp:inline distT="0" distB="0" distL="0" distR="0" wp14:anchorId="5A7B530C" wp14:editId="482DEAB8">
            <wp:extent cx="5939790" cy="4155634"/>
            <wp:effectExtent l="0" t="0" r="381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790" cy="4155634"/>
                    </a:xfrm>
                    <a:prstGeom prst="rect">
                      <a:avLst/>
                    </a:prstGeom>
                    <a:noFill/>
                    <a:ln>
                      <a:noFill/>
                    </a:ln>
                  </pic:spPr>
                </pic:pic>
              </a:graphicData>
            </a:graphic>
          </wp:inline>
        </w:drawing>
      </w:r>
    </w:p>
    <w:p w:rsidR="00643CB5" w:rsidRPr="00315335" w:rsidRDefault="00643CB5" w:rsidP="00643CB5">
      <w:pPr>
        <w:spacing w:after="0" w:line="240" w:lineRule="auto"/>
        <w:ind w:firstLine="567"/>
        <w:jc w:val="both"/>
        <w:rPr>
          <w:rFonts w:ascii="Arial" w:hAnsi="Arial" w:cs="Arial"/>
        </w:rPr>
      </w:pPr>
      <w:r w:rsidRPr="00315335">
        <w:rPr>
          <w:rFonts w:ascii="Arial" w:hAnsi="Arial" w:cs="Arial"/>
          <w:sz w:val="24"/>
          <w:szCs w:val="24"/>
        </w:rPr>
        <w:t xml:space="preserve">În concluzie, în anul 2018 se remarcă o scădere a nivelurilor în forajele situate în câmpiile Olteniei, Teleormanului, Bărăganul de Nord, Câmpia Siretului, în zona Subcarpaţilor de curbură şi Orientali, în zonele de luncă ale râurilor Siret şi Prut şi în partea sudică a Depresiunii Transilvaniei (Depresiunea Făgăraş), şi, pe alocuri, în Câmpia de Vest. Faţă de regimul </w:t>
      </w:r>
      <w:r w:rsidRPr="00315335">
        <w:rPr>
          <w:rFonts w:ascii="Arial" w:hAnsi="Arial" w:cs="Arial"/>
          <w:sz w:val="24"/>
          <w:szCs w:val="24"/>
        </w:rPr>
        <w:lastRenderedPageBreak/>
        <w:t xml:space="preserve">multianual, scăderile cele mai frecvente s-au manifestat în continuare în întreg Podişul Moldovei şi pe zone însemnate în Câmpia de Vest şi în Câmpia Bărăganului. </w:t>
      </w:r>
    </w:p>
    <w:p w:rsidR="00643CB5" w:rsidRPr="00315335" w:rsidRDefault="00643CB5" w:rsidP="00643CB5">
      <w:pPr>
        <w:spacing w:after="0" w:line="240" w:lineRule="auto"/>
        <w:jc w:val="both"/>
        <w:rPr>
          <w:rFonts w:ascii="Arial" w:hAnsi="Arial" w:cs="Arial"/>
          <w:sz w:val="24"/>
          <w:szCs w:val="24"/>
        </w:rPr>
      </w:pPr>
    </w:p>
    <w:p w:rsidR="00643CB5" w:rsidRPr="00315335" w:rsidRDefault="00643CB5" w:rsidP="00643CB5">
      <w:pPr>
        <w:rPr>
          <w:rFonts w:ascii="Arial" w:hAnsi="Arial" w:cs="Arial"/>
          <w:b/>
          <w:sz w:val="24"/>
          <w:szCs w:val="24"/>
          <w:u w:val="single"/>
        </w:rPr>
      </w:pPr>
      <w:r w:rsidRPr="00315335">
        <w:rPr>
          <w:rFonts w:ascii="Arial" w:hAnsi="Arial" w:cs="Arial"/>
          <w:b/>
          <w:sz w:val="24"/>
          <w:szCs w:val="24"/>
          <w:u w:val="single"/>
        </w:rPr>
        <w:t xml:space="preserve"> Resurse de apă potențiale și tehnic utilizabile (teoretică și utilizabilă)</w:t>
      </w:r>
    </w:p>
    <w:p w:rsidR="00643CB5" w:rsidRPr="00315335" w:rsidRDefault="00643CB5" w:rsidP="00643CB5">
      <w:pPr>
        <w:spacing w:after="0"/>
        <w:ind w:firstLine="1890"/>
        <w:rPr>
          <w:rFonts w:ascii="Arial" w:hAnsi="Arial" w:cs="Arial"/>
          <w:sz w:val="24"/>
          <w:szCs w:val="24"/>
        </w:rPr>
      </w:pPr>
      <w:r w:rsidRPr="00315335">
        <w:rPr>
          <w:rFonts w:ascii="Arial" w:hAnsi="Arial" w:cs="Arial"/>
          <w:sz w:val="24"/>
          <w:szCs w:val="24"/>
        </w:rPr>
        <w:t>Tabelul nr. II.1.1.1.4</w:t>
      </w:r>
    </w:p>
    <w:tbl>
      <w:tblPr>
        <w:tblW w:w="5670" w:type="dxa"/>
        <w:jc w:val="center"/>
        <w:shd w:val="clear" w:color="auto" w:fill="DAEEF3" w:themeFill="accent5" w:themeFillTint="33"/>
        <w:tblLook w:val="04A0" w:firstRow="1" w:lastRow="0" w:firstColumn="1" w:lastColumn="0" w:noHBand="0" w:noVBand="1"/>
      </w:tblPr>
      <w:tblGrid>
        <w:gridCol w:w="1700"/>
        <w:gridCol w:w="1700"/>
        <w:gridCol w:w="2270"/>
      </w:tblGrid>
      <w:tr w:rsidR="00315335" w:rsidRPr="00315335" w:rsidTr="00916B06">
        <w:trPr>
          <w:trHeight w:val="903"/>
          <w:jc w:val="center"/>
        </w:trPr>
        <w:tc>
          <w:tcPr>
            <w:tcW w:w="1700" w:type="dxa"/>
            <w:tcBorders>
              <w:top w:val="single" w:sz="4" w:space="0" w:color="auto"/>
              <w:left w:val="single" w:sz="4" w:space="0" w:color="auto"/>
              <w:bottom w:val="single" w:sz="8" w:space="0" w:color="auto"/>
              <w:right w:val="single" w:sz="4"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Anii</w:t>
            </w:r>
          </w:p>
        </w:tc>
        <w:tc>
          <w:tcPr>
            <w:tcW w:w="1700" w:type="dxa"/>
            <w:tcBorders>
              <w:top w:val="single" w:sz="4" w:space="0" w:color="auto"/>
              <w:left w:val="nil"/>
              <w:bottom w:val="single" w:sz="8" w:space="0" w:color="auto"/>
              <w:right w:val="single" w:sz="4"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Resursa teoretică</w:t>
            </w:r>
          </w:p>
          <w:p w:rsidR="00643CB5" w:rsidRPr="00315335" w:rsidRDefault="00643CB5" w:rsidP="00916B06">
            <w:pPr>
              <w:jc w:val="center"/>
              <w:rPr>
                <w:rFonts w:ascii="Arial" w:hAnsi="Arial" w:cs="Arial"/>
              </w:rPr>
            </w:pPr>
            <w:r w:rsidRPr="00315335">
              <w:rPr>
                <w:rFonts w:ascii="Arial" w:eastAsia="Times New Roman" w:hAnsi="Arial" w:cs="Arial"/>
                <w:sz w:val="24"/>
                <w:szCs w:val="24"/>
                <w:lang w:val="en-US"/>
              </w:rPr>
              <w:t xml:space="preserve">(mii </w:t>
            </w:r>
            <w:r w:rsidRPr="00315335">
              <w:rPr>
                <w:rFonts w:ascii="Arial" w:eastAsia="Times New Roman" w:hAnsi="Arial" w:cs="Arial"/>
                <w:sz w:val="24"/>
                <w:szCs w:val="24"/>
              </w:rPr>
              <w:t>m</w:t>
            </w:r>
            <w:r w:rsidRPr="00315335">
              <w:rPr>
                <w:rFonts w:ascii="Arial" w:eastAsia="Times New Roman" w:hAnsi="Arial" w:cs="Arial"/>
                <w:sz w:val="24"/>
                <w:szCs w:val="24"/>
                <w:vertAlign w:val="superscript"/>
              </w:rPr>
              <w:t>3</w:t>
            </w:r>
            <w:r w:rsidRPr="00315335">
              <w:rPr>
                <w:rFonts w:ascii="Arial" w:eastAsia="Times New Roman" w:hAnsi="Arial" w:cs="Arial"/>
                <w:sz w:val="24"/>
                <w:szCs w:val="24"/>
                <w:lang w:val="en-US"/>
              </w:rPr>
              <w:t>)</w:t>
            </w:r>
          </w:p>
        </w:tc>
        <w:tc>
          <w:tcPr>
            <w:tcW w:w="2270" w:type="dxa"/>
            <w:tcBorders>
              <w:top w:val="single" w:sz="4" w:space="0" w:color="auto"/>
              <w:left w:val="nil"/>
              <w:bottom w:val="single" w:sz="8" w:space="0" w:color="auto"/>
              <w:right w:val="single" w:sz="4"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Resursa utilizabilă*</w:t>
            </w:r>
          </w:p>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lang w:val="en-US"/>
              </w:rPr>
              <w:t xml:space="preserve">(mii </w:t>
            </w:r>
            <w:r w:rsidRPr="00315335">
              <w:rPr>
                <w:rFonts w:ascii="Arial" w:eastAsia="Times New Roman" w:hAnsi="Arial" w:cs="Arial"/>
                <w:sz w:val="24"/>
                <w:szCs w:val="24"/>
              </w:rPr>
              <w:t>m</w:t>
            </w:r>
            <w:r w:rsidRPr="00315335">
              <w:rPr>
                <w:rFonts w:ascii="Arial" w:eastAsia="Times New Roman" w:hAnsi="Arial" w:cs="Arial"/>
                <w:sz w:val="24"/>
                <w:szCs w:val="24"/>
                <w:vertAlign w:val="superscript"/>
              </w:rPr>
              <w:t>3</w:t>
            </w:r>
            <w:r w:rsidRPr="00315335">
              <w:rPr>
                <w:rFonts w:ascii="Arial" w:eastAsia="Times New Roman" w:hAnsi="Arial" w:cs="Arial"/>
                <w:sz w:val="24"/>
                <w:szCs w:val="24"/>
                <w:lang w:val="en-US"/>
              </w:rPr>
              <w:t>)</w:t>
            </w:r>
          </w:p>
        </w:tc>
      </w:tr>
      <w:tr w:rsidR="00315335" w:rsidRPr="00315335" w:rsidTr="00916B06">
        <w:trPr>
          <w:trHeight w:val="339"/>
          <w:jc w:val="center"/>
        </w:trPr>
        <w:tc>
          <w:tcPr>
            <w:tcW w:w="1700" w:type="dxa"/>
            <w:tcBorders>
              <w:top w:val="nil"/>
              <w:left w:val="single" w:sz="4" w:space="0" w:color="auto"/>
              <w:bottom w:val="single" w:sz="4" w:space="0" w:color="auto"/>
              <w:right w:val="nil"/>
            </w:tcBorders>
            <w:shd w:val="clear" w:color="auto" w:fill="DAEEF3" w:themeFill="accent5" w:themeFillTint="33"/>
            <w:noWrap/>
            <w:vAlign w:val="bottom"/>
          </w:tcPr>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2013</w:t>
            </w:r>
          </w:p>
        </w:tc>
        <w:tc>
          <w:tcPr>
            <w:tcW w:w="1700"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134600000</w:t>
            </w:r>
          </w:p>
        </w:tc>
        <w:tc>
          <w:tcPr>
            <w:tcW w:w="2270" w:type="dxa"/>
            <w:tcBorders>
              <w:top w:val="nil"/>
              <w:left w:val="nil"/>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38346760</w:t>
            </w:r>
          </w:p>
        </w:tc>
      </w:tr>
      <w:tr w:rsidR="00315335" w:rsidRPr="00315335" w:rsidTr="00916B06">
        <w:trPr>
          <w:trHeight w:val="339"/>
          <w:jc w:val="center"/>
        </w:trPr>
        <w:tc>
          <w:tcPr>
            <w:tcW w:w="1700" w:type="dxa"/>
            <w:tcBorders>
              <w:top w:val="nil"/>
              <w:left w:val="single" w:sz="4" w:space="0" w:color="auto"/>
              <w:bottom w:val="single" w:sz="4" w:space="0" w:color="auto"/>
              <w:right w:val="nil"/>
            </w:tcBorders>
            <w:shd w:val="clear" w:color="auto" w:fill="DAEEF3" w:themeFill="accent5" w:themeFillTint="33"/>
            <w:noWrap/>
            <w:vAlign w:val="bottom"/>
          </w:tcPr>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2014</w:t>
            </w:r>
          </w:p>
        </w:tc>
        <w:tc>
          <w:tcPr>
            <w:tcW w:w="1700"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134600000</w:t>
            </w:r>
          </w:p>
        </w:tc>
        <w:tc>
          <w:tcPr>
            <w:tcW w:w="2270" w:type="dxa"/>
            <w:tcBorders>
              <w:top w:val="nil"/>
              <w:left w:val="nil"/>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38346760</w:t>
            </w:r>
          </w:p>
        </w:tc>
      </w:tr>
      <w:tr w:rsidR="00315335" w:rsidRPr="00315335" w:rsidTr="00916B06">
        <w:trPr>
          <w:trHeight w:val="339"/>
          <w:jc w:val="center"/>
        </w:trPr>
        <w:tc>
          <w:tcPr>
            <w:tcW w:w="1700" w:type="dxa"/>
            <w:tcBorders>
              <w:top w:val="nil"/>
              <w:left w:val="single" w:sz="4" w:space="0" w:color="auto"/>
              <w:bottom w:val="single" w:sz="4" w:space="0" w:color="auto"/>
              <w:right w:val="nil"/>
            </w:tcBorders>
            <w:shd w:val="clear" w:color="auto" w:fill="DAEEF3" w:themeFill="accent5" w:themeFillTint="33"/>
            <w:noWrap/>
            <w:vAlign w:val="bottom"/>
          </w:tcPr>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2015</w:t>
            </w:r>
          </w:p>
        </w:tc>
        <w:tc>
          <w:tcPr>
            <w:tcW w:w="1700"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134600000</w:t>
            </w:r>
          </w:p>
        </w:tc>
        <w:tc>
          <w:tcPr>
            <w:tcW w:w="2270" w:type="dxa"/>
            <w:tcBorders>
              <w:top w:val="nil"/>
              <w:left w:val="nil"/>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38346760</w:t>
            </w:r>
          </w:p>
        </w:tc>
      </w:tr>
      <w:tr w:rsidR="00315335" w:rsidRPr="00315335" w:rsidTr="00916B06">
        <w:trPr>
          <w:trHeight w:val="339"/>
          <w:jc w:val="center"/>
        </w:trPr>
        <w:tc>
          <w:tcPr>
            <w:tcW w:w="1700"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2016</w:t>
            </w:r>
          </w:p>
        </w:tc>
        <w:tc>
          <w:tcPr>
            <w:tcW w:w="1700" w:type="dxa"/>
            <w:tcBorders>
              <w:top w:val="nil"/>
              <w:left w:val="nil"/>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134600000</w:t>
            </w:r>
          </w:p>
        </w:tc>
        <w:tc>
          <w:tcPr>
            <w:tcW w:w="2270" w:type="dxa"/>
            <w:tcBorders>
              <w:top w:val="nil"/>
              <w:left w:val="nil"/>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38346760</w:t>
            </w:r>
          </w:p>
        </w:tc>
      </w:tr>
      <w:tr w:rsidR="00315335" w:rsidRPr="00315335" w:rsidTr="00916B06">
        <w:trPr>
          <w:trHeight w:val="339"/>
          <w:jc w:val="center"/>
        </w:trPr>
        <w:tc>
          <w:tcPr>
            <w:tcW w:w="1700"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2017</w:t>
            </w:r>
          </w:p>
        </w:tc>
        <w:tc>
          <w:tcPr>
            <w:tcW w:w="1700" w:type="dxa"/>
            <w:tcBorders>
              <w:top w:val="nil"/>
              <w:left w:val="nil"/>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134600000</w:t>
            </w:r>
          </w:p>
        </w:tc>
        <w:tc>
          <w:tcPr>
            <w:tcW w:w="2270" w:type="dxa"/>
            <w:tcBorders>
              <w:top w:val="nil"/>
              <w:left w:val="nil"/>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38346760</w:t>
            </w:r>
          </w:p>
        </w:tc>
      </w:tr>
      <w:tr w:rsidR="00315335" w:rsidRPr="00315335" w:rsidTr="00916B06">
        <w:trPr>
          <w:trHeight w:val="312"/>
          <w:jc w:val="center"/>
        </w:trPr>
        <w:tc>
          <w:tcPr>
            <w:tcW w:w="1700"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2018</w:t>
            </w:r>
          </w:p>
        </w:tc>
        <w:tc>
          <w:tcPr>
            <w:tcW w:w="1700" w:type="dxa"/>
            <w:tcBorders>
              <w:top w:val="nil"/>
              <w:left w:val="nil"/>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134600000</w:t>
            </w:r>
          </w:p>
        </w:tc>
        <w:tc>
          <w:tcPr>
            <w:tcW w:w="2270" w:type="dxa"/>
            <w:tcBorders>
              <w:top w:val="nil"/>
              <w:left w:val="nil"/>
              <w:bottom w:val="single" w:sz="4" w:space="0" w:color="auto"/>
              <w:right w:val="single" w:sz="4" w:space="0" w:color="auto"/>
            </w:tcBorders>
            <w:shd w:val="clear" w:color="auto" w:fill="DAEEF3" w:themeFill="accent5" w:themeFillTint="33"/>
            <w:noWrap/>
            <w:vAlign w:val="bottom"/>
          </w:tcPr>
          <w:p w:rsidR="00643CB5" w:rsidRPr="00315335" w:rsidRDefault="00643CB5" w:rsidP="00916B06">
            <w:pPr>
              <w:spacing w:after="0" w:line="240" w:lineRule="auto"/>
              <w:jc w:val="right"/>
              <w:rPr>
                <w:rFonts w:ascii="Arial" w:eastAsia="Times New Roman" w:hAnsi="Arial" w:cs="Arial"/>
                <w:sz w:val="24"/>
                <w:szCs w:val="24"/>
              </w:rPr>
            </w:pPr>
            <w:r w:rsidRPr="00315335">
              <w:rPr>
                <w:rFonts w:ascii="Arial" w:eastAsia="Times New Roman" w:hAnsi="Arial" w:cs="Arial"/>
                <w:sz w:val="24"/>
                <w:szCs w:val="24"/>
              </w:rPr>
              <w:t>38346760</w:t>
            </w:r>
          </w:p>
        </w:tc>
      </w:tr>
    </w:tbl>
    <w:p w:rsidR="00643CB5" w:rsidRPr="00315335" w:rsidRDefault="00643CB5" w:rsidP="00643CB5">
      <w:pPr>
        <w:jc w:val="both"/>
        <w:rPr>
          <w:rFonts w:ascii="Arial" w:hAnsi="Arial" w:cs="Arial"/>
          <w:i/>
          <w:sz w:val="24"/>
          <w:szCs w:val="24"/>
        </w:rPr>
      </w:pPr>
      <w:r w:rsidRPr="00315335">
        <w:rPr>
          <w:rFonts w:ascii="Arial" w:hAnsi="Arial" w:cs="Arial"/>
          <w:i/>
          <w:sz w:val="24"/>
          <w:szCs w:val="24"/>
          <w:lang w:val="pt-BR"/>
        </w:rPr>
        <w:t>*Resursa utilizabilă, potrivit gradului de amenajare a bazinelor hidrografice</w:t>
      </w:r>
      <w:r w:rsidRPr="00315335">
        <w:rPr>
          <w:rFonts w:ascii="Arial" w:hAnsi="Arial" w:cs="Arial"/>
          <w:i/>
          <w:sz w:val="24"/>
          <w:szCs w:val="24"/>
        </w:rPr>
        <w:t>, c</w:t>
      </w:r>
      <w:r w:rsidRPr="00315335">
        <w:rPr>
          <w:rFonts w:ascii="Arial" w:hAnsi="Arial" w:cs="Arial"/>
          <w:i/>
          <w:sz w:val="24"/>
          <w:szCs w:val="24"/>
          <w:lang w:val="pt-BR"/>
        </w:rPr>
        <w:t>uprinde şi resursa aferentă lacurilor litorale, precum şi resursa asigurată prin refolosire externă indirectă în lungul râului.</w:t>
      </w:r>
    </w:p>
    <w:p w:rsidR="00643CB5" w:rsidRPr="00315335" w:rsidRDefault="00643CB5" w:rsidP="00643CB5">
      <w:pPr>
        <w:rPr>
          <w:rFonts w:ascii="Arial" w:hAnsi="Arial" w:cs="Arial"/>
          <w:b/>
          <w:sz w:val="24"/>
          <w:szCs w:val="24"/>
          <w:u w:val="single"/>
        </w:rPr>
      </w:pPr>
    </w:p>
    <w:p w:rsidR="00643CB5" w:rsidRPr="00315335" w:rsidRDefault="00643CB5" w:rsidP="00643CB5">
      <w:pPr>
        <w:jc w:val="center"/>
        <w:rPr>
          <w:rFonts w:ascii="Arial" w:hAnsi="Arial" w:cs="Arial"/>
          <w:sz w:val="24"/>
          <w:szCs w:val="24"/>
        </w:rPr>
      </w:pPr>
      <w:r w:rsidRPr="00315335">
        <w:rPr>
          <w:noProof/>
        </w:rPr>
        <w:drawing>
          <wp:inline distT="0" distB="0" distL="0" distR="0" wp14:anchorId="24927C3F" wp14:editId="22B549D7">
            <wp:extent cx="5510213" cy="3562350"/>
            <wp:effectExtent l="0" t="0" r="14605" b="0"/>
            <wp:docPr id="5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315335">
        <w:rPr>
          <w:rFonts w:ascii="Arial" w:hAnsi="Arial" w:cs="Arial"/>
          <w:b/>
          <w:sz w:val="24"/>
          <w:szCs w:val="24"/>
          <w:u w:val="single"/>
        </w:rPr>
        <w:br/>
      </w:r>
      <w:r w:rsidRPr="00315335">
        <w:rPr>
          <w:rFonts w:ascii="Arial" w:hAnsi="Arial" w:cs="Arial"/>
          <w:sz w:val="24"/>
          <w:szCs w:val="24"/>
        </w:rPr>
        <w:t>Fig.nr.II.1.1.1.4. Evoluția resursei de apă (teoretică și utilizabilă) in mii m3</w:t>
      </w:r>
    </w:p>
    <w:p w:rsidR="00643CB5" w:rsidRPr="00315335" w:rsidRDefault="00643CB5" w:rsidP="00643CB5">
      <w:pPr>
        <w:spacing w:after="0" w:line="240" w:lineRule="auto"/>
        <w:jc w:val="both"/>
        <w:rPr>
          <w:rFonts w:ascii="Arial" w:hAnsi="Arial" w:cs="Arial"/>
          <w:b/>
          <w:sz w:val="24"/>
          <w:szCs w:val="24"/>
          <w:u w:val="single"/>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sz w:val="24"/>
          <w:szCs w:val="24"/>
        </w:rPr>
        <w:t>II.1.1.2 Utilizarea resurselor de apă</w:t>
      </w:r>
    </w:p>
    <w:p w:rsidR="00643CB5" w:rsidRPr="00315335" w:rsidRDefault="00643CB5" w:rsidP="00643CB5">
      <w:pPr>
        <w:spacing w:after="0" w:line="240" w:lineRule="auto"/>
        <w:jc w:val="both"/>
        <w:rPr>
          <w:rFonts w:ascii="Arial" w:hAnsi="Arial" w:cs="Arial"/>
          <w:b/>
          <w:sz w:val="24"/>
          <w:szCs w:val="24"/>
          <w:u w:val="single"/>
        </w:rPr>
      </w:pPr>
    </w:p>
    <w:p w:rsidR="00643CB5" w:rsidRPr="00315335" w:rsidRDefault="00643CB5" w:rsidP="00643CB5">
      <w:pPr>
        <w:ind w:left="-810"/>
        <w:rPr>
          <w:rFonts w:ascii="Arial" w:hAnsi="Arial" w:cs="Arial"/>
          <w:b/>
          <w:sz w:val="24"/>
          <w:szCs w:val="24"/>
          <w:u w:val="single"/>
        </w:rPr>
      </w:pPr>
      <w:r w:rsidRPr="00315335">
        <w:rPr>
          <w:rFonts w:ascii="Arial" w:eastAsia="Times New Roman" w:hAnsi="Arial" w:cs="Arial"/>
          <w:bCs/>
          <w:iCs/>
          <w:sz w:val="24"/>
          <w:szCs w:val="24"/>
        </w:rPr>
        <w:t xml:space="preserve">        </w:t>
      </w:r>
      <w:r w:rsidRPr="00BA6E19">
        <w:rPr>
          <w:rFonts w:ascii="Arial" w:eastAsia="Times New Roman" w:hAnsi="Arial" w:cs="Arial"/>
          <w:b/>
          <w:bCs/>
          <w:iCs/>
          <w:sz w:val="24"/>
          <w:szCs w:val="24"/>
        </w:rPr>
        <w:t>Tabelul nr.II.1.1.2.1</w:t>
      </w:r>
      <w:r w:rsidRPr="00315335">
        <w:rPr>
          <w:rFonts w:ascii="Arial" w:eastAsia="Times New Roman" w:hAnsi="Arial" w:cs="Arial"/>
          <w:b/>
          <w:bCs/>
          <w:i/>
          <w:iCs/>
        </w:rPr>
        <w:t xml:space="preserve"> </w:t>
      </w:r>
      <w:r w:rsidRPr="00315335">
        <w:rPr>
          <w:rFonts w:ascii="Arial" w:eastAsia="Times New Roman" w:hAnsi="Arial" w:cs="Arial"/>
          <w:sz w:val="24"/>
          <w:szCs w:val="24"/>
        </w:rPr>
        <w:t>Evoluția cerinței de apă comparativ cu prelevarea volumelor de apă (mii m</w:t>
      </w:r>
      <w:r w:rsidRPr="00315335">
        <w:rPr>
          <w:rFonts w:ascii="Arial" w:eastAsia="Times New Roman" w:hAnsi="Arial" w:cs="Arial"/>
          <w:sz w:val="24"/>
          <w:szCs w:val="24"/>
          <w:vertAlign w:val="superscript"/>
        </w:rPr>
        <w:t>3</w:t>
      </w:r>
      <w:r w:rsidRPr="00315335">
        <w:rPr>
          <w:rFonts w:ascii="Arial" w:eastAsia="Times New Roman" w:hAnsi="Arial" w:cs="Arial"/>
          <w:sz w:val="24"/>
          <w:szCs w:val="24"/>
        </w:rPr>
        <w:t>)</w:t>
      </w:r>
    </w:p>
    <w:tbl>
      <w:tblPr>
        <w:tblW w:w="10280" w:type="dxa"/>
        <w:jc w:val="center"/>
        <w:shd w:val="clear" w:color="auto" w:fill="F2DBDB" w:themeFill="accent2" w:themeFillTint="33"/>
        <w:tblLook w:val="04A0" w:firstRow="1" w:lastRow="0" w:firstColumn="1" w:lastColumn="0" w:noHBand="0" w:noVBand="1"/>
      </w:tblPr>
      <w:tblGrid>
        <w:gridCol w:w="1600"/>
        <w:gridCol w:w="1073"/>
        <w:gridCol w:w="1097"/>
        <w:gridCol w:w="1073"/>
        <w:gridCol w:w="1097"/>
        <w:gridCol w:w="1073"/>
        <w:gridCol w:w="1097"/>
        <w:gridCol w:w="1073"/>
        <w:gridCol w:w="1097"/>
      </w:tblGrid>
      <w:tr w:rsidR="00315335" w:rsidRPr="00315335" w:rsidTr="00916B06">
        <w:trPr>
          <w:trHeight w:val="300"/>
          <w:jc w:val="center"/>
        </w:trPr>
        <w:tc>
          <w:tcPr>
            <w:tcW w:w="1600" w:type="dxa"/>
            <w:vMerge w:val="restart"/>
            <w:tcBorders>
              <w:top w:val="single" w:sz="8" w:space="0" w:color="auto"/>
              <w:left w:val="single" w:sz="8" w:space="0" w:color="auto"/>
              <w:bottom w:val="single" w:sz="8" w:space="0" w:color="000000"/>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i/>
                <w:iCs/>
                <w:sz w:val="24"/>
                <w:szCs w:val="24"/>
                <w:lang w:val="en-US"/>
              </w:rPr>
            </w:pPr>
            <w:r w:rsidRPr="00315335">
              <w:rPr>
                <w:rFonts w:ascii="Arial" w:eastAsia="Times New Roman" w:hAnsi="Arial" w:cs="Arial"/>
                <w:i/>
                <w:iCs/>
                <w:sz w:val="24"/>
                <w:szCs w:val="24"/>
                <w:lang w:val="en-US"/>
              </w:rPr>
              <w:t>Sursă</w:t>
            </w:r>
          </w:p>
        </w:tc>
        <w:tc>
          <w:tcPr>
            <w:tcW w:w="2170" w:type="dxa"/>
            <w:gridSpan w:val="2"/>
            <w:tcBorders>
              <w:top w:val="single" w:sz="8" w:space="0" w:color="auto"/>
              <w:left w:val="single" w:sz="4" w:space="0" w:color="auto"/>
              <w:bottom w:val="single" w:sz="4" w:space="0" w:color="auto"/>
              <w:right w:val="nil"/>
            </w:tcBorders>
            <w:shd w:val="clear" w:color="auto" w:fill="F2DBDB" w:themeFill="accent2" w:themeFillTint="33"/>
            <w:noWrap/>
            <w:vAlign w:val="center"/>
            <w:hideMark/>
          </w:tcPr>
          <w:p w:rsidR="00643CB5" w:rsidRPr="00315335" w:rsidRDefault="00643CB5" w:rsidP="00916B06">
            <w:pPr>
              <w:spacing w:after="0" w:line="240" w:lineRule="auto"/>
              <w:rPr>
                <w:rFonts w:ascii="Arial" w:eastAsia="Times New Roman" w:hAnsi="Arial" w:cs="Arial"/>
                <w:i/>
                <w:iCs/>
                <w:sz w:val="24"/>
                <w:szCs w:val="24"/>
                <w:lang w:val="en-US"/>
              </w:rPr>
            </w:pPr>
            <w:r w:rsidRPr="00315335">
              <w:rPr>
                <w:rFonts w:ascii="Arial" w:eastAsia="Times New Roman" w:hAnsi="Arial" w:cs="Arial"/>
                <w:i/>
                <w:iCs/>
                <w:sz w:val="24"/>
                <w:szCs w:val="24"/>
                <w:lang w:val="en-US"/>
              </w:rPr>
              <w:t xml:space="preserve">Populație </w:t>
            </w:r>
          </w:p>
        </w:tc>
        <w:tc>
          <w:tcPr>
            <w:tcW w:w="2170" w:type="dxa"/>
            <w:gridSpan w:val="2"/>
            <w:tcBorders>
              <w:top w:val="single" w:sz="8" w:space="0" w:color="auto"/>
              <w:left w:val="single" w:sz="4" w:space="0" w:color="auto"/>
              <w:bottom w:val="single" w:sz="4" w:space="0" w:color="auto"/>
              <w:right w:val="nil"/>
            </w:tcBorders>
            <w:shd w:val="clear" w:color="auto" w:fill="F2DBDB" w:themeFill="accent2" w:themeFillTint="33"/>
            <w:noWrap/>
            <w:vAlign w:val="center"/>
            <w:hideMark/>
          </w:tcPr>
          <w:p w:rsidR="00643CB5" w:rsidRPr="00315335" w:rsidRDefault="00643CB5" w:rsidP="00916B06">
            <w:pPr>
              <w:spacing w:after="0" w:line="240" w:lineRule="auto"/>
              <w:rPr>
                <w:rFonts w:ascii="Arial" w:eastAsia="Times New Roman" w:hAnsi="Arial" w:cs="Arial"/>
                <w:i/>
                <w:iCs/>
                <w:sz w:val="24"/>
                <w:szCs w:val="24"/>
                <w:lang w:val="en-US"/>
              </w:rPr>
            </w:pPr>
            <w:r w:rsidRPr="00315335">
              <w:rPr>
                <w:rFonts w:ascii="Arial" w:eastAsia="Times New Roman" w:hAnsi="Arial" w:cs="Arial"/>
                <w:i/>
                <w:iCs/>
                <w:sz w:val="24"/>
                <w:szCs w:val="24"/>
                <w:lang w:val="en-US"/>
              </w:rPr>
              <w:t xml:space="preserve">Industrie </w:t>
            </w:r>
          </w:p>
        </w:tc>
        <w:tc>
          <w:tcPr>
            <w:tcW w:w="2170" w:type="dxa"/>
            <w:gridSpan w:val="2"/>
            <w:tcBorders>
              <w:top w:val="single" w:sz="8" w:space="0" w:color="auto"/>
              <w:left w:val="single" w:sz="4" w:space="0" w:color="auto"/>
              <w:bottom w:val="single" w:sz="4" w:space="0" w:color="auto"/>
              <w:right w:val="nil"/>
            </w:tcBorders>
            <w:shd w:val="clear" w:color="auto" w:fill="F2DBDB" w:themeFill="accent2" w:themeFillTint="33"/>
            <w:noWrap/>
            <w:vAlign w:val="center"/>
            <w:hideMark/>
          </w:tcPr>
          <w:p w:rsidR="00643CB5" w:rsidRPr="00315335" w:rsidRDefault="00643CB5" w:rsidP="00916B06">
            <w:pPr>
              <w:spacing w:after="0" w:line="240" w:lineRule="auto"/>
              <w:rPr>
                <w:rFonts w:ascii="Arial" w:eastAsia="Times New Roman" w:hAnsi="Arial" w:cs="Arial"/>
                <w:i/>
                <w:iCs/>
                <w:sz w:val="24"/>
                <w:szCs w:val="24"/>
                <w:lang w:val="en-US"/>
              </w:rPr>
            </w:pPr>
            <w:r w:rsidRPr="00315335">
              <w:rPr>
                <w:rFonts w:ascii="Arial" w:eastAsia="Times New Roman" w:hAnsi="Arial" w:cs="Arial"/>
                <w:i/>
                <w:iCs/>
                <w:sz w:val="24"/>
                <w:szCs w:val="24"/>
                <w:lang w:val="en-US"/>
              </w:rPr>
              <w:t>Agricultură</w:t>
            </w:r>
          </w:p>
        </w:tc>
        <w:tc>
          <w:tcPr>
            <w:tcW w:w="1073" w:type="dxa"/>
            <w:tcBorders>
              <w:top w:val="single" w:sz="8" w:space="0" w:color="auto"/>
              <w:left w:val="single" w:sz="4" w:space="0" w:color="auto"/>
              <w:bottom w:val="single" w:sz="4" w:space="0" w:color="auto"/>
              <w:right w:val="nil"/>
            </w:tcBorders>
            <w:shd w:val="clear" w:color="auto" w:fill="F2DBDB" w:themeFill="accent2" w:themeFillTint="33"/>
            <w:noWrap/>
            <w:vAlign w:val="center"/>
            <w:hideMark/>
          </w:tcPr>
          <w:p w:rsidR="00643CB5" w:rsidRPr="00315335" w:rsidRDefault="00643CB5" w:rsidP="00916B06">
            <w:pPr>
              <w:spacing w:after="0" w:line="240" w:lineRule="auto"/>
              <w:rPr>
                <w:rFonts w:ascii="Arial" w:eastAsia="Times New Roman" w:hAnsi="Arial" w:cs="Arial"/>
                <w:i/>
                <w:iCs/>
                <w:sz w:val="24"/>
                <w:szCs w:val="24"/>
                <w:lang w:val="en-US"/>
              </w:rPr>
            </w:pPr>
            <w:r w:rsidRPr="00315335">
              <w:rPr>
                <w:rFonts w:ascii="Arial" w:eastAsia="Times New Roman" w:hAnsi="Arial" w:cs="Arial"/>
                <w:i/>
                <w:iCs/>
                <w:sz w:val="24"/>
                <w:szCs w:val="24"/>
                <w:lang w:val="en-US"/>
              </w:rPr>
              <w:t xml:space="preserve">TOTAL </w:t>
            </w:r>
          </w:p>
        </w:tc>
        <w:tc>
          <w:tcPr>
            <w:tcW w:w="1097" w:type="dxa"/>
            <w:tcBorders>
              <w:top w:val="single" w:sz="8" w:space="0" w:color="auto"/>
              <w:left w:val="nil"/>
              <w:bottom w:val="single" w:sz="4" w:space="0" w:color="auto"/>
              <w:right w:val="single" w:sz="8" w:space="0" w:color="auto"/>
            </w:tcBorders>
            <w:shd w:val="clear" w:color="auto" w:fill="F2DBDB" w:themeFill="accent2" w:themeFillTint="33"/>
            <w:noWrap/>
            <w:vAlign w:val="center"/>
            <w:hideMark/>
          </w:tcPr>
          <w:p w:rsidR="00643CB5" w:rsidRPr="00315335" w:rsidRDefault="00643CB5" w:rsidP="00916B06">
            <w:pPr>
              <w:spacing w:after="0" w:line="240" w:lineRule="auto"/>
              <w:rPr>
                <w:rFonts w:ascii="Arial" w:eastAsia="Times New Roman" w:hAnsi="Arial" w:cs="Arial"/>
                <w:i/>
                <w:iCs/>
                <w:sz w:val="24"/>
                <w:szCs w:val="24"/>
                <w:lang w:val="en-US"/>
              </w:rPr>
            </w:pPr>
            <w:r w:rsidRPr="00315335">
              <w:rPr>
                <w:rFonts w:ascii="Arial" w:eastAsia="Times New Roman" w:hAnsi="Arial" w:cs="Arial"/>
                <w:i/>
                <w:iCs/>
                <w:sz w:val="24"/>
                <w:szCs w:val="24"/>
                <w:lang w:val="en-US"/>
              </w:rPr>
              <w:t> </w:t>
            </w:r>
          </w:p>
        </w:tc>
      </w:tr>
      <w:tr w:rsidR="00315335" w:rsidRPr="00315335" w:rsidTr="00916B06">
        <w:trPr>
          <w:trHeight w:val="315"/>
          <w:jc w:val="center"/>
        </w:trPr>
        <w:tc>
          <w:tcPr>
            <w:tcW w:w="1600" w:type="dxa"/>
            <w:vMerge/>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i/>
                <w:iCs/>
                <w:sz w:val="24"/>
                <w:szCs w:val="24"/>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i/>
                <w:iCs/>
                <w:sz w:val="24"/>
                <w:szCs w:val="24"/>
                <w:lang w:val="en-US"/>
              </w:rPr>
            </w:pPr>
            <w:r w:rsidRPr="00315335">
              <w:rPr>
                <w:rFonts w:ascii="Arial" w:eastAsia="Times New Roman" w:hAnsi="Arial" w:cs="Arial"/>
                <w:i/>
                <w:iCs/>
                <w:sz w:val="24"/>
                <w:szCs w:val="24"/>
                <w:lang w:val="en-US"/>
              </w:rPr>
              <w:t>Cerință</w:t>
            </w:r>
          </w:p>
        </w:tc>
        <w:tc>
          <w:tcPr>
            <w:tcW w:w="1097" w:type="dxa"/>
            <w:tcBorders>
              <w:top w:val="nil"/>
              <w:left w:val="nil"/>
              <w:bottom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i/>
                <w:iCs/>
                <w:sz w:val="24"/>
                <w:szCs w:val="24"/>
                <w:lang w:val="en-US"/>
              </w:rPr>
            </w:pPr>
            <w:r w:rsidRPr="00315335">
              <w:rPr>
                <w:rFonts w:ascii="Arial" w:eastAsia="Times New Roman" w:hAnsi="Arial" w:cs="Arial"/>
                <w:i/>
                <w:iCs/>
                <w:sz w:val="24"/>
                <w:szCs w:val="24"/>
                <w:lang w:val="en-US"/>
              </w:rPr>
              <w:t>Prelevat</w:t>
            </w:r>
          </w:p>
        </w:tc>
        <w:tc>
          <w:tcPr>
            <w:tcW w:w="1073" w:type="dxa"/>
            <w:tcBorders>
              <w:top w:val="nil"/>
              <w:left w:val="nil"/>
              <w:bottom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i/>
                <w:iCs/>
                <w:sz w:val="24"/>
                <w:szCs w:val="24"/>
                <w:lang w:val="en-US"/>
              </w:rPr>
            </w:pPr>
            <w:r w:rsidRPr="00315335">
              <w:rPr>
                <w:rFonts w:ascii="Arial" w:eastAsia="Times New Roman" w:hAnsi="Arial" w:cs="Arial"/>
                <w:i/>
                <w:iCs/>
                <w:sz w:val="24"/>
                <w:szCs w:val="24"/>
                <w:lang w:val="en-US"/>
              </w:rPr>
              <w:t>Cerință</w:t>
            </w:r>
          </w:p>
        </w:tc>
        <w:tc>
          <w:tcPr>
            <w:tcW w:w="1097" w:type="dxa"/>
            <w:tcBorders>
              <w:top w:val="nil"/>
              <w:left w:val="nil"/>
              <w:bottom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i/>
                <w:iCs/>
                <w:sz w:val="24"/>
                <w:szCs w:val="24"/>
                <w:lang w:val="en-US"/>
              </w:rPr>
            </w:pPr>
            <w:r w:rsidRPr="00315335">
              <w:rPr>
                <w:rFonts w:ascii="Arial" w:eastAsia="Times New Roman" w:hAnsi="Arial" w:cs="Arial"/>
                <w:i/>
                <w:iCs/>
                <w:sz w:val="24"/>
                <w:szCs w:val="24"/>
                <w:lang w:val="en-US"/>
              </w:rPr>
              <w:t>Prelevat</w:t>
            </w:r>
          </w:p>
        </w:tc>
        <w:tc>
          <w:tcPr>
            <w:tcW w:w="1073" w:type="dxa"/>
            <w:tcBorders>
              <w:top w:val="nil"/>
              <w:left w:val="nil"/>
              <w:bottom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i/>
                <w:iCs/>
                <w:sz w:val="24"/>
                <w:szCs w:val="24"/>
                <w:lang w:val="en-US"/>
              </w:rPr>
            </w:pPr>
            <w:r w:rsidRPr="00315335">
              <w:rPr>
                <w:rFonts w:ascii="Arial" w:eastAsia="Times New Roman" w:hAnsi="Arial" w:cs="Arial"/>
                <w:i/>
                <w:iCs/>
                <w:sz w:val="24"/>
                <w:szCs w:val="24"/>
                <w:lang w:val="en-US"/>
              </w:rPr>
              <w:t>Cerință</w:t>
            </w:r>
          </w:p>
        </w:tc>
        <w:tc>
          <w:tcPr>
            <w:tcW w:w="1097" w:type="dxa"/>
            <w:tcBorders>
              <w:top w:val="nil"/>
              <w:left w:val="nil"/>
              <w:bottom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i/>
                <w:iCs/>
                <w:sz w:val="24"/>
                <w:szCs w:val="24"/>
                <w:lang w:val="en-US"/>
              </w:rPr>
            </w:pPr>
            <w:r w:rsidRPr="00315335">
              <w:rPr>
                <w:rFonts w:ascii="Arial" w:eastAsia="Times New Roman" w:hAnsi="Arial" w:cs="Arial"/>
                <w:i/>
                <w:iCs/>
                <w:sz w:val="24"/>
                <w:szCs w:val="24"/>
                <w:lang w:val="en-US"/>
              </w:rPr>
              <w:t>Prelevat</w:t>
            </w:r>
          </w:p>
        </w:tc>
        <w:tc>
          <w:tcPr>
            <w:tcW w:w="1073" w:type="dxa"/>
            <w:tcBorders>
              <w:top w:val="nil"/>
              <w:left w:val="nil"/>
              <w:bottom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i/>
                <w:iCs/>
                <w:sz w:val="24"/>
                <w:szCs w:val="24"/>
                <w:lang w:val="en-US"/>
              </w:rPr>
            </w:pPr>
            <w:r w:rsidRPr="00315335">
              <w:rPr>
                <w:rFonts w:ascii="Arial" w:eastAsia="Times New Roman" w:hAnsi="Arial" w:cs="Arial"/>
                <w:i/>
                <w:iCs/>
                <w:sz w:val="24"/>
                <w:szCs w:val="24"/>
                <w:lang w:val="en-US"/>
              </w:rPr>
              <w:t>Cerință</w:t>
            </w:r>
          </w:p>
        </w:tc>
        <w:tc>
          <w:tcPr>
            <w:tcW w:w="1097" w:type="dxa"/>
            <w:tcBorders>
              <w:top w:val="nil"/>
              <w:left w:val="nil"/>
              <w:bottom w:val="single" w:sz="8" w:space="0" w:color="auto"/>
              <w:right w:val="single" w:sz="8"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i/>
                <w:iCs/>
                <w:sz w:val="24"/>
                <w:szCs w:val="24"/>
                <w:lang w:val="en-US"/>
              </w:rPr>
            </w:pPr>
            <w:r w:rsidRPr="00315335">
              <w:rPr>
                <w:rFonts w:ascii="Arial" w:eastAsia="Times New Roman" w:hAnsi="Arial" w:cs="Arial"/>
                <w:i/>
                <w:iCs/>
                <w:sz w:val="24"/>
                <w:szCs w:val="24"/>
                <w:lang w:val="en-US"/>
              </w:rPr>
              <w:t>Prelevat</w:t>
            </w:r>
          </w:p>
        </w:tc>
      </w:tr>
      <w:tr w:rsidR="00315335" w:rsidRPr="00315335" w:rsidTr="00916B06">
        <w:trPr>
          <w:trHeight w:val="300"/>
          <w:jc w:val="center"/>
        </w:trPr>
        <w:tc>
          <w:tcPr>
            <w:tcW w:w="1600" w:type="dxa"/>
            <w:vMerge w:val="restart"/>
            <w:tcBorders>
              <w:top w:val="nil"/>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jc w:val="center"/>
              <w:rPr>
                <w:rFonts w:ascii="Arial" w:eastAsia="Times New Roman" w:hAnsi="Arial" w:cs="Arial"/>
                <w:lang w:val="en-US"/>
              </w:rPr>
            </w:pPr>
            <w:r w:rsidRPr="00315335">
              <w:rPr>
                <w:rFonts w:ascii="Arial" w:eastAsia="Times New Roman" w:hAnsi="Arial" w:cs="Arial"/>
                <w:lang w:val="en-US"/>
              </w:rPr>
              <w:t>Suprafață</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617004</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514753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1927355</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1427053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829435</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768548</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3373794</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2710354</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669012</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542360</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2010819</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1341359</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850863</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816313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3530694</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2700032</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568137</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546977</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1782359</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1285454</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875837</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910626</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3226333</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2743057</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579424</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536969</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1690074</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1244955</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998258</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888659</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3267756</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2670583</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594990</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535160</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1707998</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1350532</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942300</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1035709</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3245288</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2921401</w:t>
            </w:r>
          </w:p>
        </w:tc>
      </w:tr>
      <w:tr w:rsidR="00315335" w:rsidRPr="00315335" w:rsidTr="00916B06">
        <w:trPr>
          <w:trHeight w:val="315"/>
          <w:jc w:val="center"/>
        </w:trPr>
        <w:tc>
          <w:tcPr>
            <w:tcW w:w="1600" w:type="dxa"/>
            <w:vMerge/>
            <w:tcBorders>
              <w:left w:val="single" w:sz="8" w:space="0" w:color="auto"/>
              <w:bottom w:val="single" w:sz="8" w:space="0" w:color="000000"/>
              <w:right w:val="single" w:sz="4" w:space="0" w:color="auto"/>
            </w:tcBorders>
            <w:shd w:val="clear" w:color="auto" w:fill="F2DBDB" w:themeFill="accent2" w:themeFillTint="33"/>
            <w:vAlign w:val="center"/>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594040</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553408</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1306441</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1286202</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1064635</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866712</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2965116</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2706322</w:t>
            </w:r>
          </w:p>
        </w:tc>
      </w:tr>
      <w:tr w:rsidR="00315335" w:rsidRPr="00315335" w:rsidTr="00916B06">
        <w:trPr>
          <w:trHeight w:val="300"/>
          <w:jc w:val="center"/>
        </w:trPr>
        <w:tc>
          <w:tcPr>
            <w:tcW w:w="1600" w:type="dxa"/>
            <w:vMerge w:val="restart"/>
            <w:tcBorders>
              <w:top w:val="nil"/>
              <w:left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lang w:val="en-US"/>
              </w:rPr>
            </w:pPr>
            <w:r w:rsidRPr="00315335">
              <w:rPr>
                <w:rFonts w:ascii="Arial" w:eastAsia="Times New Roman" w:hAnsi="Arial" w:cs="Arial"/>
                <w:lang w:val="en-US"/>
              </w:rPr>
              <w:t>Subteran</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453685</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400677</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181544</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153620</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30386</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25924</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665615</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580221</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435448</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397883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179770</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129393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31460</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27903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646678</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555179</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434383</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420464</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173783</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134530</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35993</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35365</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644159</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590359</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472993</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454977</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166987</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140553</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40674</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39518</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680654</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635048</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482213</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452958</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162548</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147014</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44805</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46458</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689566</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646430</w:t>
            </w:r>
          </w:p>
        </w:tc>
      </w:tr>
      <w:tr w:rsidR="00315335" w:rsidRPr="00315335" w:rsidTr="00916B06">
        <w:trPr>
          <w:trHeight w:val="315"/>
          <w:jc w:val="center"/>
        </w:trPr>
        <w:tc>
          <w:tcPr>
            <w:tcW w:w="1600" w:type="dxa"/>
            <w:vMerge/>
            <w:tcBorders>
              <w:left w:val="single" w:sz="8" w:space="0" w:color="auto"/>
              <w:bottom w:val="single" w:sz="8" w:space="0" w:color="000000"/>
              <w:right w:val="single" w:sz="4" w:space="0" w:color="auto"/>
            </w:tcBorders>
            <w:shd w:val="clear" w:color="auto" w:fill="F2DBDB" w:themeFill="accent2" w:themeFillTint="33"/>
            <w:vAlign w:val="center"/>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496431</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466173</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165708</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157351</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54365</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52076</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716504</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675600</w:t>
            </w:r>
          </w:p>
        </w:tc>
      </w:tr>
      <w:tr w:rsidR="00315335" w:rsidRPr="00315335" w:rsidTr="00916B06">
        <w:trPr>
          <w:trHeight w:val="300"/>
          <w:jc w:val="center"/>
        </w:trPr>
        <w:tc>
          <w:tcPr>
            <w:tcW w:w="1600" w:type="dxa"/>
            <w:vMerge w:val="restart"/>
            <w:tcBorders>
              <w:top w:val="nil"/>
              <w:left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lang w:val="en-US"/>
              </w:rPr>
            </w:pPr>
            <w:r w:rsidRPr="00315335">
              <w:rPr>
                <w:rFonts w:ascii="Arial" w:eastAsia="Times New Roman" w:hAnsi="Arial" w:cs="Arial"/>
                <w:lang w:val="en-US"/>
              </w:rPr>
              <w:t>Dunăre</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89748</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64277</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2792627</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2721731</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548205</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340143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3430580</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3126151</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84774</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76607</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2474334</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2685627</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472783</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234995</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3031891</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2997229</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69200</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62869</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2449641</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2716769</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302339</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344753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2821180</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3124391</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69170</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59187</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2336364</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2684657</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363069</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314452</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2768603</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3058296</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67599</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60042</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2595753</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2725887</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387068</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408583</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3050420</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3194512</w:t>
            </w:r>
          </w:p>
        </w:tc>
      </w:tr>
      <w:tr w:rsidR="00315335" w:rsidRPr="00315335" w:rsidTr="00916B06">
        <w:trPr>
          <w:trHeight w:val="315"/>
          <w:jc w:val="center"/>
        </w:trPr>
        <w:tc>
          <w:tcPr>
            <w:tcW w:w="1600" w:type="dxa"/>
            <w:vMerge/>
            <w:tcBorders>
              <w:left w:val="single" w:sz="8" w:space="0" w:color="auto"/>
              <w:bottom w:val="single" w:sz="8" w:space="0" w:color="000000"/>
              <w:right w:val="single" w:sz="4" w:space="0" w:color="auto"/>
            </w:tcBorders>
            <w:shd w:val="clear" w:color="auto" w:fill="F2DBDB" w:themeFill="accent2" w:themeFillTint="33"/>
            <w:vAlign w:val="center"/>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68575</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60919</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2593468</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2480641</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502678</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425087</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3164721</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2966647</w:t>
            </w:r>
          </w:p>
        </w:tc>
      </w:tr>
      <w:tr w:rsidR="00315335" w:rsidRPr="00315335" w:rsidTr="00916B06">
        <w:trPr>
          <w:trHeight w:val="300"/>
          <w:jc w:val="center"/>
        </w:trPr>
        <w:tc>
          <w:tcPr>
            <w:tcW w:w="1600" w:type="dxa"/>
            <w:vMerge w:val="restart"/>
            <w:tcBorders>
              <w:top w:val="nil"/>
              <w:left w:val="single" w:sz="8" w:space="0" w:color="auto"/>
              <w:right w:val="single" w:sz="4" w:space="0" w:color="auto"/>
            </w:tcBorders>
            <w:shd w:val="clear" w:color="auto" w:fill="F2DBDB" w:themeFill="accent2" w:themeFillTint="33"/>
            <w:noWrap/>
            <w:vAlign w:val="center"/>
            <w:hideMark/>
          </w:tcPr>
          <w:p w:rsidR="00643CB5" w:rsidRPr="00315335" w:rsidRDefault="00643CB5" w:rsidP="00916B06">
            <w:pPr>
              <w:spacing w:after="0" w:line="240" w:lineRule="auto"/>
              <w:jc w:val="center"/>
              <w:rPr>
                <w:rFonts w:ascii="Arial" w:eastAsia="Times New Roman" w:hAnsi="Arial" w:cs="Arial"/>
                <w:lang w:val="en-US"/>
              </w:rPr>
            </w:pPr>
            <w:r w:rsidRPr="00315335">
              <w:rPr>
                <w:rFonts w:ascii="Arial" w:eastAsia="Times New Roman" w:hAnsi="Arial" w:cs="Arial"/>
                <w:lang w:val="en-US"/>
              </w:rPr>
              <w:t>Marea Neagră</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63</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62</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8964</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10046</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 </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45</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9027</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10153</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63</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8804</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13198</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36</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33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8903</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13294</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nil"/>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61</w:t>
            </w:r>
          </w:p>
        </w:tc>
        <w:tc>
          <w:tcPr>
            <w:tcW w:w="1097" w:type="dxa"/>
            <w:tcBorders>
              <w:top w:val="nil"/>
              <w:left w:val="nil"/>
              <w:bottom w:val="nil"/>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49</w:t>
            </w:r>
          </w:p>
        </w:tc>
        <w:tc>
          <w:tcPr>
            <w:tcW w:w="1073" w:type="dxa"/>
            <w:tcBorders>
              <w:top w:val="nil"/>
              <w:left w:val="nil"/>
              <w:bottom w:val="nil"/>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11803</w:t>
            </w:r>
          </w:p>
        </w:tc>
        <w:tc>
          <w:tcPr>
            <w:tcW w:w="1097" w:type="dxa"/>
            <w:tcBorders>
              <w:top w:val="nil"/>
              <w:left w:val="nil"/>
              <w:bottom w:val="nil"/>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7011</w:t>
            </w:r>
          </w:p>
        </w:tc>
        <w:tc>
          <w:tcPr>
            <w:tcW w:w="1073" w:type="dxa"/>
            <w:tcBorders>
              <w:top w:val="nil"/>
              <w:left w:val="nil"/>
              <w:bottom w:val="nil"/>
              <w:right w:val="single" w:sz="4" w:space="0" w:color="auto"/>
            </w:tcBorders>
            <w:shd w:val="clear" w:color="auto" w:fill="F2DBDB" w:themeFill="accent2" w:themeFillTint="33"/>
            <w:noWrap/>
            <w:vAlign w:val="bottom"/>
          </w:tcPr>
          <w:p w:rsidR="00643CB5" w:rsidRPr="00315335" w:rsidRDefault="00643CB5" w:rsidP="00916B06">
            <w:pPr>
              <w:spacing w:after="0" w:line="240" w:lineRule="auto"/>
              <w:rPr>
                <w:rFonts w:ascii="Calibri" w:eastAsia="Times New Roman" w:hAnsi="Calibri" w:cs="Times New Roman"/>
                <w:lang w:val="en-US"/>
              </w:rPr>
            </w:pPr>
            <w:r w:rsidRPr="00315335">
              <w:rPr>
                <w:rFonts w:ascii="Calibri" w:eastAsia="Times New Roman" w:hAnsi="Calibri" w:cs="Times New Roman"/>
                <w:lang w:val="en-US"/>
              </w:rPr>
              <w:t> </w:t>
            </w:r>
          </w:p>
        </w:tc>
        <w:tc>
          <w:tcPr>
            <w:tcW w:w="1097" w:type="dxa"/>
            <w:tcBorders>
              <w:top w:val="nil"/>
              <w:left w:val="nil"/>
              <w:bottom w:val="nil"/>
              <w:right w:val="single" w:sz="4" w:space="0" w:color="auto"/>
            </w:tcBorders>
            <w:shd w:val="clear" w:color="auto" w:fill="F2DBDB" w:themeFill="accent2" w:themeFillTint="33"/>
            <w:noWrap/>
            <w:vAlign w:val="bottom"/>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 </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11864</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7060</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60</w:t>
            </w:r>
          </w:p>
        </w:tc>
        <w:tc>
          <w:tcPr>
            <w:tcW w:w="1097"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65</w:t>
            </w:r>
          </w:p>
        </w:tc>
        <w:tc>
          <w:tcPr>
            <w:tcW w:w="1073"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9503</w:t>
            </w:r>
          </w:p>
        </w:tc>
        <w:tc>
          <w:tcPr>
            <w:tcW w:w="1097"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9533</w:t>
            </w:r>
          </w:p>
        </w:tc>
        <w:tc>
          <w:tcPr>
            <w:tcW w:w="1073"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 </w:t>
            </w:r>
          </w:p>
        </w:tc>
        <w:tc>
          <w:tcPr>
            <w:tcW w:w="1097"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 </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9563</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9598</w:t>
            </w:r>
          </w:p>
        </w:tc>
      </w:tr>
      <w:tr w:rsidR="00315335" w:rsidRPr="00315335" w:rsidTr="00916B06">
        <w:trPr>
          <w:trHeight w:val="300"/>
          <w:jc w:val="center"/>
        </w:trPr>
        <w:tc>
          <w:tcPr>
            <w:tcW w:w="1600" w:type="dxa"/>
            <w:vMerge/>
            <w:tcBorders>
              <w:left w:val="single" w:sz="8" w:space="0" w:color="auto"/>
              <w:right w:val="single" w:sz="4" w:space="0" w:color="auto"/>
            </w:tcBorders>
            <w:shd w:val="clear" w:color="auto" w:fill="F2DBDB" w:themeFill="accent2" w:themeFillTint="33"/>
            <w:vAlign w:val="center"/>
            <w:hideMark/>
          </w:tcPr>
          <w:p w:rsidR="00643CB5" w:rsidRPr="00315335" w:rsidRDefault="00643CB5" w:rsidP="00916B06">
            <w:pPr>
              <w:spacing w:after="0" w:line="240" w:lineRule="auto"/>
              <w:rPr>
                <w:rFonts w:ascii="Arial" w:eastAsia="Times New Roman" w:hAnsi="Arial" w:cs="Arial"/>
                <w:lang w:val="en-US"/>
              </w:rPr>
            </w:pPr>
          </w:p>
        </w:tc>
        <w:tc>
          <w:tcPr>
            <w:tcW w:w="1073"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58</w:t>
            </w:r>
          </w:p>
        </w:tc>
        <w:tc>
          <w:tcPr>
            <w:tcW w:w="1097"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52</w:t>
            </w:r>
          </w:p>
        </w:tc>
        <w:tc>
          <w:tcPr>
            <w:tcW w:w="1073"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10287</w:t>
            </w:r>
          </w:p>
        </w:tc>
        <w:tc>
          <w:tcPr>
            <w:tcW w:w="1097"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10253</w:t>
            </w:r>
          </w:p>
        </w:tc>
        <w:tc>
          <w:tcPr>
            <w:tcW w:w="1073"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rPr>
                <w:rFonts w:ascii="Arial" w:eastAsia="Times New Roman" w:hAnsi="Arial" w:cs="Arial"/>
                <w:lang w:val="en-US"/>
              </w:rPr>
            </w:pPr>
          </w:p>
        </w:tc>
        <w:tc>
          <w:tcPr>
            <w:tcW w:w="1097"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10345</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10305</w:t>
            </w:r>
          </w:p>
        </w:tc>
      </w:tr>
      <w:tr w:rsidR="00315335" w:rsidRPr="00315335" w:rsidTr="00916B06">
        <w:trPr>
          <w:trHeight w:val="315"/>
          <w:jc w:val="center"/>
        </w:trPr>
        <w:tc>
          <w:tcPr>
            <w:tcW w:w="1600" w:type="dxa"/>
            <w:vMerge/>
            <w:tcBorders>
              <w:left w:val="single" w:sz="8" w:space="0" w:color="auto"/>
              <w:bottom w:val="single" w:sz="8" w:space="0" w:color="000000"/>
              <w:right w:val="single" w:sz="4" w:space="0" w:color="auto"/>
            </w:tcBorders>
            <w:shd w:val="clear" w:color="auto" w:fill="F2DBDB" w:themeFill="accent2" w:themeFillTint="33"/>
            <w:vAlign w:val="center"/>
          </w:tcPr>
          <w:p w:rsidR="00643CB5" w:rsidRPr="00315335" w:rsidRDefault="00643CB5" w:rsidP="00916B06">
            <w:pPr>
              <w:spacing w:after="0" w:line="240" w:lineRule="auto"/>
              <w:rPr>
                <w:rFonts w:ascii="Arial" w:eastAsia="Times New Roman" w:hAnsi="Arial" w:cs="Arial"/>
                <w:lang w:val="en-US"/>
              </w:rPr>
            </w:pPr>
          </w:p>
        </w:tc>
        <w:tc>
          <w:tcPr>
            <w:tcW w:w="1073"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65</w:t>
            </w:r>
          </w:p>
        </w:tc>
        <w:tc>
          <w:tcPr>
            <w:tcW w:w="1097"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46</w:t>
            </w:r>
          </w:p>
        </w:tc>
        <w:tc>
          <w:tcPr>
            <w:tcW w:w="1073"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10179</w:t>
            </w:r>
          </w:p>
        </w:tc>
        <w:tc>
          <w:tcPr>
            <w:tcW w:w="1097"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9238</w:t>
            </w:r>
          </w:p>
        </w:tc>
        <w:tc>
          <w:tcPr>
            <w:tcW w:w="1073"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rPr>
                <w:rFonts w:ascii="Arial" w:eastAsia="Times New Roman" w:hAnsi="Arial" w:cs="Arial"/>
                <w:lang w:val="en-US"/>
              </w:rPr>
            </w:pPr>
          </w:p>
        </w:tc>
        <w:tc>
          <w:tcPr>
            <w:tcW w:w="1097" w:type="dxa"/>
            <w:tcBorders>
              <w:top w:val="single" w:sz="4" w:space="0" w:color="auto"/>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rPr>
                <w:rFonts w:ascii="Arial" w:eastAsia="Times New Roman" w:hAnsi="Arial" w:cs="Arial"/>
                <w:lang w:val="en-US"/>
              </w:rPr>
            </w:pP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10244</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lang w:val="en-US"/>
              </w:rPr>
            </w:pPr>
            <w:r w:rsidRPr="00315335">
              <w:rPr>
                <w:rFonts w:ascii="Arial" w:eastAsia="Times New Roman" w:hAnsi="Arial" w:cs="Arial"/>
                <w:lang w:val="en-US"/>
              </w:rPr>
              <w:t>9284</w:t>
            </w:r>
          </w:p>
        </w:tc>
      </w:tr>
      <w:tr w:rsidR="00315335" w:rsidRPr="00315335" w:rsidTr="00916B06">
        <w:trPr>
          <w:trHeight w:val="300"/>
          <w:jc w:val="center"/>
        </w:trPr>
        <w:tc>
          <w:tcPr>
            <w:tcW w:w="1600" w:type="dxa"/>
            <w:tcBorders>
              <w:top w:val="single" w:sz="4" w:space="0" w:color="auto"/>
              <w:left w:val="single" w:sz="8" w:space="0" w:color="auto"/>
              <w:bottom w:val="single" w:sz="4" w:space="0" w:color="auto"/>
              <w:right w:val="single" w:sz="4" w:space="0" w:color="auto"/>
            </w:tcBorders>
            <w:shd w:val="clear" w:color="auto" w:fill="F2DBDB" w:themeFill="accent2" w:themeFillTint="33"/>
            <w:noWrap/>
            <w:vAlign w:val="center"/>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TOTAL 2013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1160500</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979769</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4910490</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4312450</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1408026</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1134660</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7479016</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6426879</w:t>
            </w:r>
          </w:p>
        </w:tc>
      </w:tr>
      <w:tr w:rsidR="00315335" w:rsidRPr="00315335" w:rsidTr="00916B06">
        <w:trPr>
          <w:trHeight w:val="300"/>
          <w:jc w:val="center"/>
        </w:trPr>
        <w:tc>
          <w:tcPr>
            <w:tcW w:w="160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TOTAL 2014</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1189297</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1016913</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4673727</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4169577</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1355142</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1079244</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7218166</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6265734</w:t>
            </w:r>
          </w:p>
        </w:tc>
      </w:tr>
      <w:tr w:rsidR="00315335" w:rsidRPr="00315335" w:rsidTr="00916B06">
        <w:trPr>
          <w:trHeight w:val="300"/>
          <w:jc w:val="center"/>
        </w:trPr>
        <w:tc>
          <w:tcPr>
            <w:tcW w:w="160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TOTAL 2015</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1071781</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1030359</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4417586</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4143764</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1214169</w:t>
            </w:r>
          </w:p>
        </w:tc>
        <w:tc>
          <w:tcPr>
            <w:tcW w:w="1097"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1290744</w:t>
            </w:r>
          </w:p>
        </w:tc>
        <w:tc>
          <w:tcPr>
            <w:tcW w:w="1073" w:type="dxa"/>
            <w:tcBorders>
              <w:top w:val="nil"/>
              <w:left w:val="nil"/>
              <w:bottom w:val="single" w:sz="4"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6703536</w:t>
            </w:r>
          </w:p>
        </w:tc>
        <w:tc>
          <w:tcPr>
            <w:tcW w:w="1097" w:type="dxa"/>
            <w:tcBorders>
              <w:top w:val="nil"/>
              <w:left w:val="nil"/>
              <w:bottom w:val="single" w:sz="4"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6464867</w:t>
            </w:r>
          </w:p>
        </w:tc>
      </w:tr>
      <w:tr w:rsidR="00315335" w:rsidRPr="00315335" w:rsidTr="00916B06">
        <w:trPr>
          <w:trHeight w:val="300"/>
          <w:jc w:val="center"/>
        </w:trPr>
        <w:tc>
          <w:tcPr>
            <w:tcW w:w="1600"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TOTAL 2016</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1121647</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1051198</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4202928</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4079698</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1402001</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1242629</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6726576</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6373525</w:t>
            </w:r>
          </w:p>
        </w:tc>
      </w:tr>
      <w:tr w:rsidR="00315335" w:rsidRPr="00315335" w:rsidTr="00916B06">
        <w:trPr>
          <w:trHeight w:val="300"/>
          <w:jc w:val="center"/>
        </w:trPr>
        <w:tc>
          <w:tcPr>
            <w:tcW w:w="1600" w:type="dxa"/>
            <w:tcBorders>
              <w:top w:val="nil"/>
              <w:left w:val="single" w:sz="8" w:space="0" w:color="auto"/>
              <w:bottom w:val="single" w:sz="8" w:space="0" w:color="auto"/>
              <w:right w:val="single" w:sz="4" w:space="0" w:color="auto"/>
            </w:tcBorders>
            <w:shd w:val="clear" w:color="auto" w:fill="F2DBDB" w:themeFill="accent2" w:themeFillTint="33"/>
            <w:noWrap/>
            <w:vAlign w:val="center"/>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TOTAL 2017</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1144860</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1048212</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4476586</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4233686</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1374173</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1490750</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6995619</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6772648</w:t>
            </w:r>
          </w:p>
        </w:tc>
      </w:tr>
      <w:tr w:rsidR="00315335" w:rsidRPr="00315335" w:rsidTr="00916B06">
        <w:trPr>
          <w:trHeight w:val="315"/>
          <w:jc w:val="center"/>
        </w:trPr>
        <w:tc>
          <w:tcPr>
            <w:tcW w:w="1600" w:type="dxa"/>
            <w:tcBorders>
              <w:top w:val="nil"/>
              <w:left w:val="single" w:sz="8" w:space="0" w:color="auto"/>
              <w:bottom w:val="single" w:sz="8" w:space="0" w:color="auto"/>
              <w:right w:val="single" w:sz="4" w:space="0" w:color="auto"/>
            </w:tcBorders>
            <w:shd w:val="clear" w:color="auto" w:fill="F2DBDB" w:themeFill="accent2" w:themeFillTint="33"/>
            <w:noWrap/>
            <w:vAlign w:val="center"/>
          </w:tcPr>
          <w:p w:rsidR="00643CB5" w:rsidRPr="00315335" w:rsidRDefault="00643CB5" w:rsidP="00916B06">
            <w:pPr>
              <w:spacing w:after="0" w:line="240" w:lineRule="auto"/>
              <w:rPr>
                <w:rFonts w:ascii="Arial" w:eastAsia="Times New Roman" w:hAnsi="Arial" w:cs="Arial"/>
                <w:lang w:val="en-US"/>
              </w:rPr>
            </w:pPr>
            <w:r w:rsidRPr="00315335">
              <w:rPr>
                <w:rFonts w:ascii="Arial" w:eastAsia="Times New Roman" w:hAnsi="Arial" w:cs="Arial"/>
                <w:lang w:val="en-US"/>
              </w:rPr>
              <w:t>TOTAL 2018</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1159111</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1080546</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4075796</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3933432</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1621678</w:t>
            </w:r>
          </w:p>
        </w:tc>
        <w:tc>
          <w:tcPr>
            <w:tcW w:w="1097"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1343875</w:t>
            </w:r>
          </w:p>
        </w:tc>
        <w:tc>
          <w:tcPr>
            <w:tcW w:w="1073" w:type="dxa"/>
            <w:tcBorders>
              <w:top w:val="nil"/>
              <w:left w:val="nil"/>
              <w:bottom w:val="single" w:sz="8" w:space="0" w:color="auto"/>
              <w:right w:val="single" w:sz="4"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6856585</w:t>
            </w:r>
          </w:p>
        </w:tc>
        <w:tc>
          <w:tcPr>
            <w:tcW w:w="1097" w:type="dxa"/>
            <w:tcBorders>
              <w:top w:val="nil"/>
              <w:left w:val="nil"/>
              <w:bottom w:val="single" w:sz="8" w:space="0" w:color="auto"/>
              <w:right w:val="single" w:sz="8" w:space="0" w:color="auto"/>
            </w:tcBorders>
            <w:shd w:val="clear" w:color="auto" w:fill="F2DBDB" w:themeFill="accent2" w:themeFillTint="33"/>
            <w:noWrap/>
            <w:vAlign w:val="bottom"/>
          </w:tcPr>
          <w:p w:rsidR="00643CB5" w:rsidRPr="00315335" w:rsidRDefault="00643CB5" w:rsidP="00916B06">
            <w:pPr>
              <w:spacing w:after="0" w:line="240" w:lineRule="auto"/>
              <w:jc w:val="right"/>
              <w:rPr>
                <w:rFonts w:ascii="Arial" w:eastAsia="Times New Roman" w:hAnsi="Arial" w:cs="Arial"/>
                <w:i/>
                <w:iCs/>
                <w:lang w:val="en-US"/>
              </w:rPr>
            </w:pPr>
            <w:r w:rsidRPr="00315335">
              <w:rPr>
                <w:rFonts w:ascii="Arial" w:eastAsia="Times New Roman" w:hAnsi="Arial" w:cs="Arial"/>
                <w:i/>
                <w:iCs/>
                <w:lang w:val="en-US"/>
              </w:rPr>
              <w:t>6357853</w:t>
            </w:r>
          </w:p>
        </w:tc>
      </w:tr>
    </w:tbl>
    <w:p w:rsidR="00643CB5" w:rsidRPr="00315335" w:rsidRDefault="00643CB5" w:rsidP="00BA6E19">
      <w:pPr>
        <w:jc w:val="center"/>
        <w:rPr>
          <w:rFonts w:ascii="Arial" w:eastAsia="Times New Roman" w:hAnsi="Arial" w:cs="Arial"/>
          <w:bCs/>
          <w:iCs/>
          <w:sz w:val="24"/>
          <w:szCs w:val="24"/>
        </w:rPr>
      </w:pPr>
      <w:r w:rsidRPr="00315335">
        <w:rPr>
          <w:rFonts w:ascii="Arial" w:hAnsi="Arial" w:cs="Arial"/>
          <w:b/>
          <w:noProof/>
          <w:sz w:val="28"/>
          <w:szCs w:val="28"/>
          <w:u w:val="single"/>
        </w:rPr>
        <w:drawing>
          <wp:anchor distT="0" distB="0" distL="114300" distR="114300" simplePos="0" relativeHeight="251658752" behindDoc="1" locked="0" layoutInCell="1" allowOverlap="1" wp14:anchorId="1FDE857D" wp14:editId="36B3D1B8">
            <wp:simplePos x="0" y="0"/>
            <wp:positionH relativeFrom="margin">
              <wp:align>left</wp:align>
            </wp:positionH>
            <wp:positionV relativeFrom="paragraph">
              <wp:posOffset>328930</wp:posOffset>
            </wp:positionV>
            <wp:extent cx="6438900" cy="3238500"/>
            <wp:effectExtent l="0" t="0" r="0" b="0"/>
            <wp:wrapSquare wrapText="bothSides"/>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38900" cy="3238500"/>
                    </a:xfrm>
                    <a:prstGeom prst="rect">
                      <a:avLst/>
                    </a:prstGeom>
                    <a:noFill/>
                  </pic:spPr>
                </pic:pic>
              </a:graphicData>
            </a:graphic>
            <wp14:sizeRelH relativeFrom="margin">
              <wp14:pctWidth>0</wp14:pctWidth>
            </wp14:sizeRelH>
          </wp:anchor>
        </w:drawing>
      </w:r>
    </w:p>
    <w:p w:rsidR="00643CB5" w:rsidRPr="00315335" w:rsidRDefault="00643CB5" w:rsidP="00643CB5">
      <w:pPr>
        <w:rPr>
          <w:rFonts w:ascii="Arial" w:eastAsia="Times New Roman" w:hAnsi="Arial" w:cs="Arial"/>
          <w:bCs/>
          <w:iCs/>
          <w:sz w:val="24"/>
          <w:szCs w:val="24"/>
        </w:rPr>
      </w:pPr>
      <w:r w:rsidRPr="00315335">
        <w:rPr>
          <w:rFonts w:ascii="Arial" w:eastAsia="Times New Roman" w:hAnsi="Arial" w:cs="Arial"/>
          <w:bCs/>
          <w:iCs/>
          <w:sz w:val="24"/>
          <w:szCs w:val="24"/>
        </w:rPr>
        <w:t>Fig. nr. 1.1.2.1. Evoluția cerinței de apă comparativ cu prelevarea volumelor de apă în România, perioada 2013-2018</w:t>
      </w:r>
    </w:p>
    <w:p w:rsidR="00643CB5" w:rsidRPr="00315335" w:rsidRDefault="00643CB5" w:rsidP="00643CB5">
      <w:pPr>
        <w:rPr>
          <w:rFonts w:ascii="Arial" w:eastAsia="Times New Roman" w:hAnsi="Arial" w:cs="Arial"/>
          <w:bCs/>
          <w:iCs/>
          <w:sz w:val="24"/>
          <w:szCs w:val="24"/>
        </w:rPr>
      </w:pPr>
    </w:p>
    <w:p w:rsidR="00643CB5" w:rsidRPr="00315335" w:rsidRDefault="00643CB5" w:rsidP="00643CB5">
      <w:pPr>
        <w:rPr>
          <w:rFonts w:ascii="Arial" w:eastAsia="Times New Roman" w:hAnsi="Arial" w:cs="Arial"/>
          <w:sz w:val="24"/>
          <w:szCs w:val="24"/>
        </w:rPr>
      </w:pPr>
      <w:r w:rsidRPr="00315335">
        <w:rPr>
          <w:rFonts w:ascii="Arial" w:eastAsia="Times New Roman" w:hAnsi="Arial" w:cs="Arial"/>
          <w:bCs/>
          <w:iCs/>
          <w:sz w:val="24"/>
          <w:szCs w:val="24"/>
        </w:rPr>
        <w:lastRenderedPageBreak/>
        <w:t>Tabelul nr.II.1.1.2.2.</w:t>
      </w:r>
      <w:r w:rsidRPr="00315335">
        <w:rPr>
          <w:rFonts w:ascii="Arial" w:eastAsia="Times New Roman" w:hAnsi="Arial" w:cs="Arial"/>
          <w:sz w:val="24"/>
          <w:szCs w:val="24"/>
        </w:rPr>
        <w:t>Evoluția cerinței de apă comparativ cu prelevarea volumelor de apă (%),în perioada 2013 -</w:t>
      </w:r>
      <w:r w:rsidR="00BA6E19">
        <w:rPr>
          <w:rFonts w:ascii="Arial" w:eastAsia="Times New Roman" w:hAnsi="Arial" w:cs="Arial"/>
          <w:sz w:val="24"/>
          <w:szCs w:val="24"/>
        </w:rPr>
        <w:t xml:space="preserve"> </w:t>
      </w:r>
      <w:r w:rsidRPr="00315335">
        <w:rPr>
          <w:rFonts w:ascii="Arial" w:eastAsia="Times New Roman" w:hAnsi="Arial" w:cs="Arial"/>
          <w:sz w:val="24"/>
          <w:szCs w:val="24"/>
        </w:rPr>
        <w:t>2018</w:t>
      </w:r>
    </w:p>
    <w:p w:rsidR="00643CB5" w:rsidRPr="00315335" w:rsidRDefault="00643CB5" w:rsidP="00643CB5">
      <w:pPr>
        <w:jc w:val="center"/>
        <w:rPr>
          <w:rFonts w:ascii="Arial" w:hAnsi="Arial" w:cs="Arial"/>
          <w:b/>
          <w:sz w:val="28"/>
          <w:szCs w:val="28"/>
          <w:u w:val="single"/>
        </w:rPr>
      </w:pPr>
      <w:r w:rsidRPr="00315335">
        <w:rPr>
          <w:noProof/>
          <w:shd w:val="clear" w:color="auto" w:fill="DBE5F1" w:themeFill="accent1" w:themeFillTint="33"/>
        </w:rPr>
        <w:drawing>
          <wp:inline distT="0" distB="0" distL="0" distR="0" wp14:anchorId="2B815A5C" wp14:editId="1C743F16">
            <wp:extent cx="6139815" cy="4923903"/>
            <wp:effectExtent l="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4972" cy="4936058"/>
                    </a:xfrm>
                    <a:prstGeom prst="rect">
                      <a:avLst/>
                    </a:prstGeom>
                    <a:noFill/>
                    <a:ln>
                      <a:noFill/>
                    </a:ln>
                  </pic:spPr>
                </pic:pic>
              </a:graphicData>
            </a:graphic>
          </wp:inline>
        </w:drawing>
      </w:r>
    </w:p>
    <w:p w:rsidR="00643CB5" w:rsidRPr="00315335" w:rsidRDefault="00643CB5" w:rsidP="00643CB5">
      <w:pPr>
        <w:pStyle w:val="Default"/>
        <w:jc w:val="both"/>
        <w:rPr>
          <w:rFonts w:ascii="Arial" w:hAnsi="Arial" w:cs="Arial"/>
          <w:bCs/>
          <w:color w:val="auto"/>
        </w:rPr>
      </w:pPr>
    </w:p>
    <w:p w:rsidR="00643CB5" w:rsidRPr="00315335" w:rsidRDefault="00643CB5" w:rsidP="00643CB5">
      <w:pPr>
        <w:pStyle w:val="Default"/>
        <w:jc w:val="both"/>
        <w:rPr>
          <w:rFonts w:ascii="Arial" w:hAnsi="Arial" w:cs="Arial"/>
          <w:bCs/>
          <w:color w:val="auto"/>
        </w:rPr>
      </w:pPr>
    </w:p>
    <w:p w:rsidR="00643CB5" w:rsidRPr="00315335" w:rsidRDefault="00643CB5" w:rsidP="00643CB5">
      <w:pPr>
        <w:pStyle w:val="Default"/>
        <w:jc w:val="both"/>
        <w:rPr>
          <w:rFonts w:ascii="Arial" w:hAnsi="Arial" w:cs="Arial"/>
          <w:b/>
          <w:bCs/>
          <w:color w:val="auto"/>
        </w:rPr>
      </w:pPr>
      <w:r w:rsidRPr="00315335">
        <w:rPr>
          <w:rFonts w:ascii="Arial" w:hAnsi="Arial" w:cs="Arial"/>
          <w:b/>
          <w:bCs/>
          <w:color w:val="auto"/>
        </w:rPr>
        <w:t xml:space="preserve">       II.1.1.3. Evenimente extreme produse de debitele cursurilor de apă </w:t>
      </w:r>
    </w:p>
    <w:p w:rsidR="00643CB5" w:rsidRPr="00315335" w:rsidRDefault="00643CB5" w:rsidP="00643CB5">
      <w:pPr>
        <w:pStyle w:val="Default"/>
        <w:tabs>
          <w:tab w:val="left" w:pos="1234"/>
        </w:tabs>
        <w:jc w:val="both"/>
        <w:rPr>
          <w:rFonts w:ascii="Arial" w:hAnsi="Arial" w:cs="Arial"/>
          <w:b/>
          <w:color w:val="auto"/>
        </w:rPr>
      </w:pPr>
    </w:p>
    <w:p w:rsidR="00643CB5" w:rsidRPr="00315335" w:rsidRDefault="00643CB5" w:rsidP="00643CB5">
      <w:pPr>
        <w:pStyle w:val="Default"/>
        <w:jc w:val="both"/>
        <w:rPr>
          <w:rFonts w:ascii="Arial" w:hAnsi="Arial" w:cs="Arial"/>
          <w:color w:val="auto"/>
        </w:rPr>
      </w:pPr>
      <w:r w:rsidRPr="00315335">
        <w:rPr>
          <w:rFonts w:ascii="Arial" w:hAnsi="Arial" w:cs="Arial"/>
          <w:color w:val="auto"/>
        </w:rPr>
        <w:t xml:space="preserve">Apele curgătoare de pe teritoriul judeţului Brăila, aparţin urmatoarelor bazine hidrografice: de râurile Siret, Buzău şi Călmăţui și fluviul Dunărea,. </w:t>
      </w:r>
    </w:p>
    <w:p w:rsidR="00643CB5" w:rsidRPr="00315335" w:rsidRDefault="00643CB5" w:rsidP="00643CB5">
      <w:pPr>
        <w:pStyle w:val="Default"/>
        <w:jc w:val="both"/>
        <w:rPr>
          <w:rFonts w:ascii="Arial" w:hAnsi="Arial" w:cs="Arial"/>
          <w:color w:val="auto"/>
        </w:rPr>
      </w:pPr>
    </w:p>
    <w:p w:rsidR="00643CB5" w:rsidRPr="00315335" w:rsidRDefault="00643CB5" w:rsidP="00643CB5">
      <w:pPr>
        <w:pStyle w:val="Indentcorptext2"/>
        <w:spacing w:after="0" w:line="240" w:lineRule="auto"/>
        <w:ind w:left="0"/>
        <w:jc w:val="both"/>
        <w:rPr>
          <w:rFonts w:ascii="Arial" w:hAnsi="Arial" w:cs="Arial"/>
          <w:b/>
          <w:u w:val="single"/>
          <w:lang w:val="ro-RO"/>
        </w:rPr>
      </w:pPr>
      <w:r w:rsidRPr="00315335">
        <w:rPr>
          <w:rFonts w:ascii="Arial" w:hAnsi="Arial" w:cs="Arial"/>
          <w:b/>
          <w:u w:val="single"/>
          <w:lang w:val="ro-RO"/>
        </w:rPr>
        <w:t>CARACTERIZAREA HIDROLOGICᾸ A ANULUI 2018</w:t>
      </w:r>
    </w:p>
    <w:p w:rsidR="00643CB5" w:rsidRPr="00315335" w:rsidRDefault="00643CB5" w:rsidP="00643CB5">
      <w:pPr>
        <w:pStyle w:val="Indentcorptext2"/>
        <w:spacing w:after="0" w:line="240" w:lineRule="auto"/>
        <w:ind w:left="0"/>
        <w:jc w:val="both"/>
        <w:rPr>
          <w:rFonts w:ascii="Arial" w:hAnsi="Arial" w:cs="Arial"/>
          <w:b/>
          <w:u w:val="single"/>
          <w:lang w:val="ro-RO"/>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sz w:val="24"/>
          <w:szCs w:val="24"/>
        </w:rPr>
        <w:t>1. RÂURI – date de nivel național</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În anul 2018 regimul hidrologic s-a situat la valori cuprinse între 80 – 100 % din mediile multianuale, mai mari (peste normalele lunare) pe râurile din bazinele hidrografice: Jiu, Olt, Vedea, Argeş, Ialomiţa, Buzău, Suceava, Moldova, Bistriţa, Trotuş superior, pe cursul superior şi mijlociu al Siretului şi pe râurile din Dobrogea şi mai mici (50-80% din mediile multianuale) pe râurile din bazinele hidrografice: Cerna, Desnățui, Drincea şi Motru. Cele mai mici valori ale debitelor medii anuale (30-50%) s-au înregistrat pe râurile din bazinul Bârladului şi pe afluenții Prutului .</w:t>
      </w:r>
    </w:p>
    <w:p w:rsidR="00643CB5" w:rsidRPr="00315335" w:rsidRDefault="00643CB5" w:rsidP="00643CB5">
      <w:pPr>
        <w:suppressAutoHyphens/>
        <w:spacing w:after="0" w:line="240" w:lineRule="auto"/>
        <w:ind w:firstLine="708"/>
        <w:jc w:val="both"/>
        <w:rPr>
          <w:rFonts w:ascii="Arial" w:hAnsi="Arial" w:cs="Arial"/>
          <w:kern w:val="24"/>
          <w:sz w:val="24"/>
          <w:szCs w:val="24"/>
          <w:lang w:eastAsia="zh-CN"/>
        </w:rPr>
      </w:pPr>
      <w:r w:rsidRPr="00315335">
        <w:rPr>
          <w:rFonts w:ascii="Arial" w:hAnsi="Arial" w:cs="Arial"/>
          <w:kern w:val="24"/>
          <w:sz w:val="24"/>
          <w:szCs w:val="24"/>
          <w:lang w:eastAsia="zh-CN"/>
        </w:rPr>
        <w:t>În cursul anului 2018</w:t>
      </w:r>
      <w:r w:rsidRPr="00315335">
        <w:rPr>
          <w:rFonts w:ascii="Arial" w:hAnsi="Arial" w:cs="Arial"/>
          <w:sz w:val="24"/>
          <w:szCs w:val="24"/>
        </w:rPr>
        <w:t xml:space="preserve"> </w:t>
      </w:r>
      <w:r w:rsidRPr="00315335">
        <w:rPr>
          <w:rFonts w:ascii="Arial" w:hAnsi="Arial" w:cs="Arial"/>
          <w:kern w:val="24"/>
          <w:sz w:val="24"/>
          <w:szCs w:val="24"/>
          <w:lang w:eastAsia="zh-CN"/>
        </w:rPr>
        <w:t>cele mai importante evenimente meteorologice şi hidrologice periculoase s-au înregistrat în lunile martie, iunie şi iulie 2018. Cele mai afectate bazine hidrografice au fost în luna martie Crasna, Barcău, Târnave, Desnăţui, Olt superior, Vedea, Neajlov, Buzău superior, în luna iunie râurile din bazinele Olt superior, Prahova, Buzău, Trotuş, Putna, Suceava, Jijia, Prut superior şi izolat pe unele râuri din Banat şi Dobrogea şi ȋn luna iulie pe Olteţ, Cibin, afluenţii Oltului superior şi mijlociu, Vedea, Moldova, Siret curs mijlociu si inferior, Jijia, Prut superior şi izolat pe râurile din Dobrogea.</w:t>
      </w:r>
    </w:p>
    <w:p w:rsidR="00643CB5" w:rsidRPr="00315335" w:rsidRDefault="00643CB5" w:rsidP="00643CB5">
      <w:pPr>
        <w:suppressAutoHyphens/>
        <w:spacing w:after="0" w:line="240" w:lineRule="auto"/>
        <w:ind w:firstLine="708"/>
        <w:jc w:val="both"/>
        <w:rPr>
          <w:rFonts w:ascii="Arial" w:hAnsi="Arial" w:cs="Arial"/>
          <w:sz w:val="24"/>
          <w:szCs w:val="24"/>
          <w:lang w:eastAsia="zh-CN"/>
        </w:rPr>
      </w:pPr>
      <w:r w:rsidRPr="00315335">
        <w:rPr>
          <w:rFonts w:ascii="Arial" w:hAnsi="Arial" w:cs="Arial"/>
          <w:kern w:val="24"/>
          <w:sz w:val="24"/>
          <w:szCs w:val="24"/>
          <w:lang w:eastAsia="zh-CN"/>
        </w:rPr>
        <w:lastRenderedPageBreak/>
        <w:t xml:space="preserve">De asemenea, în perioada mai – august 2018, ca urmare a unor evenimente de precipitații importante cantitativ și cu caracter torențial, s-au înregistrat frecvent fenomene hidrologice periculoase reprezentate prin </w:t>
      </w:r>
      <w:r w:rsidRPr="00315335">
        <w:rPr>
          <w:rFonts w:ascii="Arial" w:hAnsi="Arial" w:cs="Arial"/>
          <w:sz w:val="24"/>
          <w:szCs w:val="24"/>
          <w:lang w:eastAsia="zh-CN"/>
        </w:rPr>
        <w:t>scurgeri importante pe versanţi, torenţi, pâraie, viituri rapide pe râurile mici nemonitorizate din punct de vedere hidrologic, care au produs de multe ori efecte majore de inundații locale.</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 xml:space="preserve">În anul 2018, pe baza situației hidrologice şi a prognozelor meteorologice, înaintea declanşării fenomenelor periculoase, au fost emise la nivel naţional 42 AVERTIZĂRI HIDROLOGICE (41 COD PORTOCALIU şi 1 COD ROŞU), 16 ATENŢIONĂRI - COD GALBEN, 118 avertizări pentru fenomene imediate (din care 7 COD ROŞU) şi 474 atenționări pentru fenomene imediate. </w:t>
      </w:r>
    </w:p>
    <w:p w:rsidR="00643CB5" w:rsidRPr="00315335" w:rsidRDefault="00643CB5" w:rsidP="00643CB5">
      <w:pPr>
        <w:spacing w:after="0" w:line="240" w:lineRule="auto"/>
        <w:ind w:firstLine="708"/>
        <w:jc w:val="both"/>
        <w:rPr>
          <w:rFonts w:ascii="Arial" w:hAnsi="Arial" w:cs="Arial"/>
          <w:sz w:val="24"/>
          <w:szCs w:val="24"/>
        </w:rPr>
      </w:pPr>
    </w:p>
    <w:p w:rsidR="00643CB5" w:rsidRPr="00315335" w:rsidRDefault="00643CB5" w:rsidP="00643CB5">
      <w:pPr>
        <w:spacing w:after="0" w:line="240" w:lineRule="auto"/>
        <w:ind w:firstLine="708"/>
        <w:jc w:val="both"/>
        <w:rPr>
          <w:rFonts w:ascii="Arial" w:hAnsi="Arial" w:cs="Arial"/>
          <w:b/>
          <w:sz w:val="24"/>
          <w:szCs w:val="24"/>
        </w:rPr>
      </w:pPr>
      <w:r w:rsidRPr="00315335">
        <w:rPr>
          <w:rFonts w:ascii="Arial" w:hAnsi="Arial" w:cs="Arial"/>
          <w:b/>
          <w:sz w:val="24"/>
          <w:szCs w:val="24"/>
        </w:rPr>
        <w:t>Date de nivel local – județul Brăila</w:t>
      </w:r>
    </w:p>
    <w:p w:rsidR="00643CB5" w:rsidRPr="00315335" w:rsidRDefault="00643CB5" w:rsidP="00643CB5">
      <w:pPr>
        <w:pStyle w:val="Default"/>
        <w:jc w:val="both"/>
        <w:rPr>
          <w:rFonts w:ascii="Arial" w:hAnsi="Arial" w:cs="Arial"/>
          <w:color w:val="auto"/>
        </w:rPr>
      </w:pPr>
      <w:r w:rsidRPr="00315335">
        <w:rPr>
          <w:rFonts w:ascii="Arial" w:hAnsi="Arial" w:cs="Arial"/>
          <w:b/>
          <w:bCs/>
          <w:color w:val="auto"/>
        </w:rPr>
        <w:t xml:space="preserve"> Bazinul Hidrografic al râului Siret</w:t>
      </w:r>
    </w:p>
    <w:p w:rsidR="00643CB5" w:rsidRPr="00315335" w:rsidRDefault="00643CB5" w:rsidP="00643CB5">
      <w:pPr>
        <w:pStyle w:val="Default"/>
        <w:ind w:firstLine="708"/>
        <w:jc w:val="both"/>
        <w:rPr>
          <w:rFonts w:ascii="Arial" w:hAnsi="Arial" w:cs="Arial"/>
          <w:color w:val="auto"/>
        </w:rPr>
      </w:pPr>
      <w:r w:rsidRPr="00315335">
        <w:rPr>
          <w:rFonts w:ascii="Arial" w:hAnsi="Arial" w:cs="Arial"/>
          <w:b/>
          <w:bCs/>
          <w:color w:val="auto"/>
        </w:rPr>
        <w:t xml:space="preserve">Siretul </w:t>
      </w:r>
      <w:r w:rsidRPr="00315335">
        <w:rPr>
          <w:rFonts w:ascii="Arial" w:hAnsi="Arial" w:cs="Arial"/>
          <w:color w:val="auto"/>
        </w:rPr>
        <w:t>formează limita dintre judeţele Brăila</w:t>
      </w:r>
      <w:r w:rsidR="00953A23">
        <w:rPr>
          <w:rFonts w:ascii="Arial" w:hAnsi="Arial" w:cs="Arial"/>
          <w:color w:val="auto"/>
        </w:rPr>
        <w:t xml:space="preserve"> </w:t>
      </w:r>
      <w:r w:rsidRPr="00315335">
        <w:rPr>
          <w:rFonts w:ascii="Arial" w:hAnsi="Arial" w:cs="Arial"/>
          <w:color w:val="auto"/>
        </w:rPr>
        <w:t>și Galaţi, între localitatea Corbu Vechi si confluenţa cu Dunărea pe 47,4 Km lungime. În acest sector, pe partea dreaptă, la Voinesti, Siretul primeste apele Buzăului.</w:t>
      </w:r>
    </w:p>
    <w:p w:rsidR="00643CB5" w:rsidRPr="00315335" w:rsidRDefault="00643CB5" w:rsidP="00643CB5">
      <w:pPr>
        <w:pStyle w:val="Default"/>
        <w:jc w:val="both"/>
        <w:rPr>
          <w:rFonts w:ascii="Arial" w:hAnsi="Arial" w:cs="Arial"/>
          <w:color w:val="auto"/>
        </w:rPr>
      </w:pPr>
      <w:r w:rsidRPr="00315335">
        <w:rPr>
          <w:rFonts w:ascii="Arial" w:hAnsi="Arial" w:cs="Arial"/>
          <w:color w:val="auto"/>
        </w:rPr>
        <w:t>Faţă de debitul mediu multianual (153 m</w:t>
      </w:r>
      <w:r w:rsidRPr="00315335">
        <w:rPr>
          <w:rFonts w:ascii="Arial" w:hAnsi="Arial" w:cs="Arial"/>
          <w:color w:val="auto"/>
          <w:vertAlign w:val="superscript"/>
        </w:rPr>
        <w:t>3</w:t>
      </w:r>
      <w:r w:rsidRPr="00315335">
        <w:rPr>
          <w:rFonts w:ascii="Arial" w:hAnsi="Arial" w:cs="Arial"/>
          <w:color w:val="auto"/>
        </w:rPr>
        <w:t>/s), analizat la staţia hidrometrică Lungoci, situată în amonte de câţiva kilometri, la vârsarea în Dunăre, debitul maxim este de 4500 m</w:t>
      </w:r>
      <w:r w:rsidRPr="00315335">
        <w:rPr>
          <w:rFonts w:ascii="Arial" w:hAnsi="Arial" w:cs="Arial"/>
          <w:color w:val="auto"/>
          <w:vertAlign w:val="superscript"/>
        </w:rPr>
        <w:t>3</w:t>
      </w:r>
      <w:r w:rsidRPr="00315335">
        <w:rPr>
          <w:rFonts w:ascii="Arial" w:hAnsi="Arial" w:cs="Arial"/>
          <w:color w:val="auto"/>
        </w:rPr>
        <w:t>/s (asigurarea de 1%), iar cel minim de 26 m3/s (asigurarea de 95%).</w:t>
      </w:r>
    </w:p>
    <w:p w:rsidR="00643CB5" w:rsidRPr="00315335" w:rsidRDefault="00643CB5" w:rsidP="00643CB5">
      <w:pPr>
        <w:pStyle w:val="Default"/>
        <w:jc w:val="both"/>
        <w:rPr>
          <w:rFonts w:ascii="Arial" w:hAnsi="Arial" w:cs="Arial"/>
          <w:color w:val="auto"/>
        </w:rPr>
      </w:pPr>
      <w:r w:rsidRPr="00315335">
        <w:rPr>
          <w:rFonts w:ascii="Arial" w:hAnsi="Arial" w:cs="Arial"/>
          <w:color w:val="auto"/>
        </w:rPr>
        <w:t>Mineralizarea apei redusă (375 mg/l) face ca apa din Siret să fie folosită în bune condiţii în irigaţii.</w:t>
      </w:r>
    </w:p>
    <w:p w:rsidR="00643CB5" w:rsidRPr="00315335" w:rsidRDefault="00643CB5" w:rsidP="00643CB5">
      <w:pPr>
        <w:pStyle w:val="Default"/>
        <w:jc w:val="both"/>
        <w:rPr>
          <w:rFonts w:ascii="Arial" w:hAnsi="Arial" w:cs="Arial"/>
          <w:color w:val="auto"/>
        </w:rPr>
      </w:pPr>
    </w:p>
    <w:p w:rsidR="00643CB5" w:rsidRPr="00315335" w:rsidRDefault="00643CB5" w:rsidP="00643CB5">
      <w:pPr>
        <w:pStyle w:val="Default"/>
        <w:jc w:val="both"/>
        <w:rPr>
          <w:rFonts w:ascii="Arial" w:hAnsi="Arial" w:cs="Arial"/>
          <w:color w:val="auto"/>
        </w:rPr>
      </w:pPr>
      <w:r w:rsidRPr="00315335">
        <w:rPr>
          <w:rFonts w:ascii="Arial" w:hAnsi="Arial" w:cs="Arial"/>
          <w:b/>
          <w:bCs/>
          <w:color w:val="auto"/>
        </w:rPr>
        <w:t>Bazinul Hidrografic al râului Buzău</w:t>
      </w:r>
    </w:p>
    <w:p w:rsidR="00643CB5" w:rsidRPr="00315335" w:rsidRDefault="00643CB5" w:rsidP="00643CB5">
      <w:pPr>
        <w:pStyle w:val="Default"/>
        <w:ind w:firstLine="708"/>
        <w:jc w:val="both"/>
        <w:rPr>
          <w:rFonts w:ascii="Arial" w:hAnsi="Arial" w:cs="Arial"/>
          <w:color w:val="auto"/>
        </w:rPr>
      </w:pPr>
      <w:r w:rsidRPr="00315335">
        <w:rPr>
          <w:rFonts w:ascii="Arial" w:hAnsi="Arial" w:cs="Arial"/>
          <w:b/>
          <w:bCs/>
          <w:color w:val="auto"/>
        </w:rPr>
        <w:t xml:space="preserve">Buzăul </w:t>
      </w:r>
      <w:r w:rsidRPr="00315335">
        <w:rPr>
          <w:rFonts w:ascii="Arial" w:hAnsi="Arial" w:cs="Arial"/>
          <w:color w:val="auto"/>
        </w:rPr>
        <w:t>pe teritoriul judeţului, se desfăsoară pe o lungime de 141 km, între Făurei și confluenţa cu Siretul la Voinești.Buzăul transportă o cantitate redusă de apă la niveluri medii multianuale, respective 25,4 m la staţia hidrometrică Băinţa, situată la 10 km amonte de limita judeţului.</w:t>
      </w:r>
    </w:p>
    <w:p w:rsidR="00643CB5" w:rsidRPr="00315335" w:rsidRDefault="00643CB5" w:rsidP="00643CB5">
      <w:pPr>
        <w:spacing w:after="0" w:line="240" w:lineRule="auto"/>
        <w:jc w:val="both"/>
        <w:rPr>
          <w:rFonts w:ascii="Arial" w:hAnsi="Arial" w:cs="Arial"/>
          <w:b/>
          <w:sz w:val="24"/>
          <w:szCs w:val="24"/>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iCs/>
          <w:sz w:val="24"/>
          <w:szCs w:val="24"/>
          <w:lang w:eastAsia="zh-CN"/>
        </w:rPr>
        <w:t>Depăşirea  cotelor  de atenţie și  cotelor  de inundaţie</w:t>
      </w:r>
      <w:r w:rsidRPr="00315335">
        <w:rPr>
          <w:rFonts w:ascii="Arial" w:hAnsi="Arial" w:cs="Arial"/>
          <w:b/>
          <w:sz w:val="24"/>
          <w:szCs w:val="24"/>
        </w:rPr>
        <w:t xml:space="preserve"> la nivel local – pe râurile județului Brăila în anul 2018</w:t>
      </w:r>
    </w:p>
    <w:p w:rsidR="00643CB5" w:rsidRPr="00315335" w:rsidRDefault="00643CB5" w:rsidP="00643CB5">
      <w:pPr>
        <w:spacing w:after="0" w:line="240" w:lineRule="auto"/>
        <w:jc w:val="both"/>
        <w:rPr>
          <w:rFonts w:ascii="Arial" w:hAnsi="Arial" w:cs="Arial"/>
          <w:b/>
          <w:sz w:val="24"/>
          <w:szCs w:val="24"/>
        </w:rPr>
      </w:pP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b/>
          <w:iCs/>
          <w:sz w:val="24"/>
          <w:szCs w:val="24"/>
          <w:lang w:eastAsia="zh-CN"/>
        </w:rPr>
        <w:t xml:space="preserve">   Tabelul nr.II.1.1.3.1</w:t>
      </w:r>
      <w:r w:rsidRPr="00315335">
        <w:rPr>
          <w:rFonts w:ascii="Arial" w:hAnsi="Arial" w:cs="Arial"/>
          <w:iCs/>
          <w:sz w:val="24"/>
          <w:szCs w:val="24"/>
          <w:lang w:eastAsia="zh-CN"/>
        </w:rPr>
        <w:t xml:space="preserve"> Depăşiri cote de atenţie și  cote de inundaţie în anul 2018 jud. Brăila</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670"/>
        <w:gridCol w:w="710"/>
        <w:gridCol w:w="977"/>
        <w:gridCol w:w="977"/>
        <w:gridCol w:w="817"/>
        <w:gridCol w:w="630"/>
        <w:gridCol w:w="1377"/>
        <w:gridCol w:w="1523"/>
      </w:tblGrid>
      <w:tr w:rsidR="00315335" w:rsidRPr="00315335" w:rsidTr="00916B06">
        <w:trPr>
          <w:trHeight w:val="147"/>
          <w:tblHeader/>
          <w:jc w:val="center"/>
        </w:trPr>
        <w:tc>
          <w:tcPr>
            <w:tcW w:w="1163" w:type="dxa"/>
          </w:tcPr>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Râul</w:t>
            </w:r>
          </w:p>
        </w:tc>
        <w:tc>
          <w:tcPr>
            <w:tcW w:w="1670" w:type="dxa"/>
          </w:tcPr>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Staţia hidrometrică</w:t>
            </w:r>
          </w:p>
        </w:tc>
        <w:tc>
          <w:tcPr>
            <w:tcW w:w="710" w:type="dxa"/>
          </w:tcPr>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Jud.</w:t>
            </w:r>
          </w:p>
        </w:tc>
        <w:tc>
          <w:tcPr>
            <w:tcW w:w="977" w:type="dxa"/>
          </w:tcPr>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Nivel maxim</w:t>
            </w:r>
          </w:p>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(cm)</w:t>
            </w:r>
          </w:p>
        </w:tc>
        <w:tc>
          <w:tcPr>
            <w:tcW w:w="977" w:type="dxa"/>
          </w:tcPr>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 xml:space="preserve">Debit </w:t>
            </w:r>
          </w:p>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maxim</w:t>
            </w:r>
          </w:p>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(mc/s)</w:t>
            </w:r>
          </w:p>
        </w:tc>
        <w:tc>
          <w:tcPr>
            <w:tcW w:w="817" w:type="dxa"/>
          </w:tcPr>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Ziua</w:t>
            </w:r>
          </w:p>
        </w:tc>
        <w:tc>
          <w:tcPr>
            <w:tcW w:w="630" w:type="dxa"/>
          </w:tcPr>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Ora</w:t>
            </w:r>
          </w:p>
        </w:tc>
        <w:tc>
          <w:tcPr>
            <w:tcW w:w="1377" w:type="dxa"/>
          </w:tcPr>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Depăşire COTE DE ATENŢIE</w:t>
            </w:r>
          </w:p>
        </w:tc>
        <w:tc>
          <w:tcPr>
            <w:tcW w:w="1523" w:type="dxa"/>
            <w:vAlign w:val="center"/>
          </w:tcPr>
          <w:p w:rsidR="00643CB5" w:rsidRPr="00315335" w:rsidRDefault="00643CB5" w:rsidP="00916B06">
            <w:pPr>
              <w:spacing w:after="0" w:line="240" w:lineRule="auto"/>
              <w:jc w:val="both"/>
              <w:rPr>
                <w:rFonts w:ascii="Arial" w:hAnsi="Arial" w:cs="Arial"/>
                <w:b/>
                <w:sz w:val="24"/>
                <w:szCs w:val="24"/>
              </w:rPr>
            </w:pPr>
            <w:r w:rsidRPr="00315335">
              <w:rPr>
                <w:rFonts w:ascii="Arial" w:hAnsi="Arial" w:cs="Arial"/>
                <w:b/>
                <w:sz w:val="24"/>
                <w:szCs w:val="24"/>
              </w:rPr>
              <w:t>Depăşire COTE DE INUNDAŢIE</w:t>
            </w:r>
          </w:p>
        </w:tc>
      </w:tr>
      <w:tr w:rsidR="00315335" w:rsidRPr="00315335" w:rsidTr="00916B06">
        <w:trPr>
          <w:trHeight w:val="147"/>
          <w:jc w:val="center"/>
        </w:trPr>
        <w:tc>
          <w:tcPr>
            <w:tcW w:w="1163"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Călmăţui</w:t>
            </w:r>
          </w:p>
        </w:tc>
        <w:tc>
          <w:tcPr>
            <w:tcW w:w="1670"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Cireşu</w:t>
            </w:r>
          </w:p>
        </w:tc>
        <w:tc>
          <w:tcPr>
            <w:tcW w:w="710"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BR</w:t>
            </w:r>
          </w:p>
        </w:tc>
        <w:tc>
          <w:tcPr>
            <w:tcW w:w="977"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300</w:t>
            </w:r>
          </w:p>
        </w:tc>
        <w:tc>
          <w:tcPr>
            <w:tcW w:w="977"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7.67</w:t>
            </w:r>
          </w:p>
        </w:tc>
        <w:tc>
          <w:tcPr>
            <w:tcW w:w="817"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16.02</w:t>
            </w:r>
          </w:p>
        </w:tc>
        <w:tc>
          <w:tcPr>
            <w:tcW w:w="630"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06</w:t>
            </w:r>
          </w:p>
        </w:tc>
        <w:tc>
          <w:tcPr>
            <w:tcW w:w="1377"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300+0</w:t>
            </w:r>
          </w:p>
        </w:tc>
        <w:tc>
          <w:tcPr>
            <w:tcW w:w="1523"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w:t>
            </w:r>
          </w:p>
        </w:tc>
      </w:tr>
      <w:tr w:rsidR="00643CB5" w:rsidRPr="00315335" w:rsidTr="00916B06">
        <w:trPr>
          <w:trHeight w:val="147"/>
          <w:jc w:val="center"/>
        </w:trPr>
        <w:tc>
          <w:tcPr>
            <w:tcW w:w="1163"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Călmăţui</w:t>
            </w:r>
          </w:p>
        </w:tc>
        <w:tc>
          <w:tcPr>
            <w:tcW w:w="1670"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Cireşu</w:t>
            </w:r>
          </w:p>
        </w:tc>
        <w:tc>
          <w:tcPr>
            <w:tcW w:w="710"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BR</w:t>
            </w:r>
          </w:p>
        </w:tc>
        <w:tc>
          <w:tcPr>
            <w:tcW w:w="977"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365</w:t>
            </w:r>
          </w:p>
        </w:tc>
        <w:tc>
          <w:tcPr>
            <w:tcW w:w="977"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14.2</w:t>
            </w:r>
          </w:p>
        </w:tc>
        <w:tc>
          <w:tcPr>
            <w:tcW w:w="817"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16.02</w:t>
            </w:r>
          </w:p>
        </w:tc>
        <w:tc>
          <w:tcPr>
            <w:tcW w:w="630"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14</w:t>
            </w:r>
          </w:p>
        </w:tc>
        <w:tc>
          <w:tcPr>
            <w:tcW w:w="1377"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w:t>
            </w:r>
          </w:p>
        </w:tc>
        <w:tc>
          <w:tcPr>
            <w:tcW w:w="1523" w:type="dxa"/>
          </w:tcPr>
          <w:p w:rsidR="00643CB5" w:rsidRPr="00315335" w:rsidRDefault="00643CB5" w:rsidP="00916B06">
            <w:pPr>
              <w:spacing w:after="0" w:line="240" w:lineRule="auto"/>
              <w:jc w:val="both"/>
              <w:rPr>
                <w:rFonts w:ascii="Arial" w:hAnsi="Arial" w:cs="Arial"/>
                <w:sz w:val="24"/>
                <w:szCs w:val="24"/>
              </w:rPr>
            </w:pPr>
            <w:r w:rsidRPr="00315335">
              <w:rPr>
                <w:rFonts w:ascii="Arial" w:hAnsi="Arial" w:cs="Arial"/>
                <w:sz w:val="24"/>
                <w:szCs w:val="24"/>
              </w:rPr>
              <w:t>350+15</w:t>
            </w:r>
          </w:p>
        </w:tc>
      </w:tr>
    </w:tbl>
    <w:p w:rsidR="00643CB5" w:rsidRPr="00315335" w:rsidRDefault="00643CB5" w:rsidP="00643CB5">
      <w:pPr>
        <w:pStyle w:val="Default"/>
        <w:jc w:val="both"/>
        <w:rPr>
          <w:rFonts w:ascii="Arial" w:hAnsi="Arial" w:cs="Arial"/>
          <w:b/>
          <w:color w:val="auto"/>
        </w:rPr>
      </w:pPr>
    </w:p>
    <w:p w:rsidR="00643CB5" w:rsidRPr="00315335" w:rsidRDefault="00643CB5" w:rsidP="00643CB5">
      <w:pPr>
        <w:pStyle w:val="Default"/>
        <w:jc w:val="both"/>
        <w:rPr>
          <w:rFonts w:ascii="Arial" w:hAnsi="Arial" w:cs="Arial"/>
          <w:b/>
          <w:color w:val="auto"/>
        </w:rPr>
      </w:pPr>
    </w:p>
    <w:p w:rsidR="00643CB5" w:rsidRPr="00315335" w:rsidRDefault="00643CB5" w:rsidP="00643CB5">
      <w:pPr>
        <w:spacing w:after="0" w:line="240" w:lineRule="auto"/>
        <w:jc w:val="both"/>
        <w:rPr>
          <w:rFonts w:ascii="Arial" w:hAnsi="Arial" w:cs="Arial"/>
          <w:b/>
          <w:sz w:val="24"/>
          <w:szCs w:val="24"/>
          <w:highlight w:val="yellow"/>
        </w:rPr>
      </w:pPr>
    </w:p>
    <w:p w:rsidR="00643CB5" w:rsidRPr="00315335" w:rsidRDefault="00643CB5" w:rsidP="00643CB5">
      <w:pPr>
        <w:pStyle w:val="Default"/>
        <w:jc w:val="both"/>
        <w:rPr>
          <w:rFonts w:ascii="Arial" w:hAnsi="Arial" w:cs="Arial"/>
          <w:color w:val="auto"/>
        </w:rPr>
      </w:pPr>
      <w:r w:rsidRPr="00315335">
        <w:rPr>
          <w:rFonts w:ascii="Arial" w:hAnsi="Arial" w:cs="Arial"/>
          <w:b/>
          <w:bCs/>
          <w:color w:val="auto"/>
        </w:rPr>
        <w:t xml:space="preserve">2. Bazinul Hidrografic al fluviului Dunărea </w:t>
      </w:r>
    </w:p>
    <w:p w:rsidR="00643CB5" w:rsidRPr="00315335" w:rsidRDefault="00643CB5" w:rsidP="00643CB5">
      <w:pPr>
        <w:pStyle w:val="Default"/>
        <w:ind w:firstLine="708"/>
        <w:jc w:val="both"/>
        <w:rPr>
          <w:rFonts w:ascii="Arial" w:hAnsi="Arial" w:cs="Arial"/>
          <w:color w:val="auto"/>
        </w:rPr>
      </w:pPr>
      <w:r w:rsidRPr="00315335">
        <w:rPr>
          <w:rFonts w:ascii="Arial" w:hAnsi="Arial" w:cs="Arial"/>
          <w:b/>
          <w:bCs/>
          <w:color w:val="auto"/>
        </w:rPr>
        <w:t xml:space="preserve">Dunărea </w:t>
      </w:r>
      <w:r w:rsidRPr="00315335">
        <w:rPr>
          <w:rFonts w:ascii="Arial" w:hAnsi="Arial" w:cs="Arial"/>
          <w:color w:val="auto"/>
        </w:rPr>
        <w:t>în cadrul judeţului este reprezentată prin braţele principale – Cremenea si Măcin (Dunărea Veche) – si braţele secundare – Vâlciu, Mănusoaia, Pasca, Calia, Arapu – în arealul Bălţii Brăilei – și prin Dunărea propriu-zisă din dreptul municipiului Brăila si până la confluenţa cu Siretul. Dunărea Veche sau braţul Măcin, care formează si limita estică a judeţului, are 96 Km lungime, un coeficient mare de meandrare (1,24) si o lăţime medie de 250 m. Panta mică, ca urmare a gradului mare de meandrare, face ca acest braţ să transporte o cantitate mică de apă (13%) din debitul total de la Hârsova (5949 m</w:t>
      </w:r>
      <w:r w:rsidRPr="00315335">
        <w:rPr>
          <w:rFonts w:ascii="Arial" w:hAnsi="Arial" w:cs="Arial"/>
          <w:color w:val="auto"/>
          <w:vertAlign w:val="superscript"/>
        </w:rPr>
        <w:t>3</w:t>
      </w:r>
      <w:r w:rsidRPr="00315335">
        <w:rPr>
          <w:rFonts w:ascii="Arial" w:hAnsi="Arial" w:cs="Arial"/>
          <w:color w:val="auto"/>
        </w:rPr>
        <w:t xml:space="preserve">/s). </w:t>
      </w:r>
    </w:p>
    <w:p w:rsidR="00643CB5" w:rsidRPr="00315335" w:rsidRDefault="00643CB5" w:rsidP="00643CB5">
      <w:pPr>
        <w:pStyle w:val="Default"/>
        <w:ind w:firstLine="708"/>
        <w:jc w:val="both"/>
        <w:rPr>
          <w:rFonts w:ascii="Arial" w:hAnsi="Arial" w:cs="Arial"/>
          <w:color w:val="auto"/>
        </w:rPr>
      </w:pPr>
      <w:r w:rsidRPr="00315335">
        <w:rPr>
          <w:rFonts w:ascii="Arial" w:hAnsi="Arial" w:cs="Arial"/>
          <w:color w:val="auto"/>
        </w:rPr>
        <w:t xml:space="preserve">Braţul Cremenea, cel mai important, are o lungime mai mică (70 Km), o pantă de scurgere mai mare si o lăţime medie de 500 m. Dacă caracteristica braţului Măcin este gradul de meandrare, cea a braţului Cremenea este gradul de despletire. Din braţul Măcin (numai la 2 Km de la bifurcaţie) se desprinde braţul Vâlciu care se varsă apoi în Cremenea. </w:t>
      </w:r>
    </w:p>
    <w:p w:rsidR="00643CB5" w:rsidRPr="00315335" w:rsidRDefault="00643CB5" w:rsidP="00643CB5">
      <w:pPr>
        <w:spacing w:after="0" w:line="240" w:lineRule="auto"/>
        <w:jc w:val="both"/>
        <w:rPr>
          <w:rFonts w:ascii="Arial" w:hAnsi="Arial" w:cs="Arial"/>
          <w:b/>
          <w:sz w:val="24"/>
          <w:szCs w:val="24"/>
          <w:highlight w:val="yellow"/>
        </w:rPr>
      </w:pPr>
    </w:p>
    <w:p w:rsidR="00BA6E19" w:rsidRDefault="00BA6E19" w:rsidP="00643CB5">
      <w:pPr>
        <w:spacing w:after="0" w:line="240" w:lineRule="auto"/>
        <w:jc w:val="both"/>
        <w:rPr>
          <w:rFonts w:ascii="Arial" w:hAnsi="Arial" w:cs="Arial"/>
          <w:b/>
          <w:sz w:val="24"/>
          <w:szCs w:val="24"/>
        </w:rPr>
      </w:pPr>
    </w:p>
    <w:p w:rsidR="00BA6E19" w:rsidRDefault="00BA6E19" w:rsidP="00643CB5">
      <w:pPr>
        <w:spacing w:after="0" w:line="240" w:lineRule="auto"/>
        <w:jc w:val="both"/>
        <w:rPr>
          <w:rFonts w:ascii="Arial" w:hAnsi="Arial" w:cs="Arial"/>
          <w:b/>
          <w:sz w:val="24"/>
          <w:szCs w:val="24"/>
        </w:rPr>
      </w:pPr>
    </w:p>
    <w:p w:rsidR="00BA6E19" w:rsidRDefault="00BA6E19" w:rsidP="00643CB5">
      <w:pPr>
        <w:spacing w:after="0" w:line="240" w:lineRule="auto"/>
        <w:jc w:val="both"/>
        <w:rPr>
          <w:rFonts w:ascii="Arial" w:hAnsi="Arial" w:cs="Arial"/>
          <w:b/>
          <w:sz w:val="24"/>
          <w:szCs w:val="24"/>
        </w:rPr>
      </w:pPr>
    </w:p>
    <w:p w:rsidR="00BA6E19" w:rsidRDefault="00BA6E19" w:rsidP="00643CB5">
      <w:pPr>
        <w:spacing w:after="0" w:line="240" w:lineRule="auto"/>
        <w:jc w:val="both"/>
        <w:rPr>
          <w:rFonts w:ascii="Arial" w:hAnsi="Arial" w:cs="Arial"/>
          <w:b/>
          <w:sz w:val="24"/>
          <w:szCs w:val="24"/>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sz w:val="24"/>
          <w:szCs w:val="24"/>
        </w:rPr>
        <w:t xml:space="preserve">FLUVIUL DUNĂREA – </w:t>
      </w:r>
      <w:r w:rsidRPr="00315335">
        <w:rPr>
          <w:rFonts w:ascii="Arial" w:hAnsi="Arial" w:cs="Arial"/>
          <w:b/>
          <w:iCs/>
          <w:sz w:val="24"/>
          <w:szCs w:val="24"/>
          <w:lang w:eastAsia="zh-CN"/>
        </w:rPr>
        <w:t>Evoluţia debitelor-</w:t>
      </w:r>
      <w:r w:rsidRPr="00315335">
        <w:rPr>
          <w:rFonts w:ascii="Arial" w:hAnsi="Arial" w:cs="Arial"/>
          <w:iCs/>
          <w:sz w:val="24"/>
          <w:szCs w:val="24"/>
          <w:lang w:eastAsia="zh-CN"/>
        </w:rPr>
        <w:t xml:space="preserve"> </w:t>
      </w:r>
      <w:r w:rsidRPr="00315335">
        <w:rPr>
          <w:rFonts w:ascii="Arial" w:hAnsi="Arial" w:cs="Arial"/>
          <w:sz w:val="24"/>
          <w:szCs w:val="24"/>
        </w:rPr>
        <w:t>date de nivel național (inclusiv jud. Brăila)</w:t>
      </w:r>
      <w:r w:rsidRPr="00315335">
        <w:rPr>
          <w:rFonts w:ascii="Arial" w:hAnsi="Arial" w:cs="Arial"/>
          <w:b/>
          <w:sz w:val="24"/>
          <w:szCs w:val="24"/>
        </w:rPr>
        <w:t xml:space="preserve"> 2018</w:t>
      </w:r>
    </w:p>
    <w:p w:rsidR="00643CB5" w:rsidRPr="00315335" w:rsidRDefault="00643CB5" w:rsidP="00643CB5">
      <w:pPr>
        <w:spacing w:after="0" w:line="240" w:lineRule="auto"/>
        <w:jc w:val="both"/>
        <w:rPr>
          <w:rFonts w:ascii="Arial" w:hAnsi="Arial" w:cs="Arial"/>
          <w:b/>
          <w:sz w:val="24"/>
          <w:szCs w:val="24"/>
        </w:rPr>
      </w:pPr>
    </w:p>
    <w:p w:rsidR="00643CB5" w:rsidRPr="00315335" w:rsidRDefault="00643CB5" w:rsidP="00643CB5">
      <w:pPr>
        <w:suppressAutoHyphens/>
        <w:spacing w:after="0" w:line="240" w:lineRule="auto"/>
        <w:ind w:firstLine="708"/>
        <w:jc w:val="both"/>
        <w:rPr>
          <w:rFonts w:ascii="Arial" w:hAnsi="Arial" w:cs="Arial"/>
          <w:sz w:val="24"/>
          <w:szCs w:val="24"/>
          <w:lang w:eastAsia="zh-CN"/>
        </w:rPr>
      </w:pPr>
      <w:r w:rsidRPr="00315335">
        <w:rPr>
          <w:rFonts w:ascii="Arial" w:hAnsi="Arial" w:cs="Arial"/>
          <w:sz w:val="24"/>
          <w:szCs w:val="24"/>
          <w:lang w:eastAsia="zh-CN"/>
        </w:rPr>
        <w:t>În anul 2018, debitele medii lunare înregistrate pe Dunăre la intrarea în ţară (secţiunea Baziaş) s-au situat peste mediile multianuale lunare în intervalul ianuarie  – aprilie 2018 şi sub normalele lunare, cu valori cuprinse între 53-84% din mediile multianuale lunare în intervalul mai - decembrie 2018. Cea mai mică valoare a debitului mediu lunar s-a înregistrat în luna octombrie (53% din media multianuală lunară).</w:t>
      </w:r>
    </w:p>
    <w:p w:rsidR="00643CB5" w:rsidRPr="00315335" w:rsidRDefault="00643CB5" w:rsidP="00643CB5">
      <w:pPr>
        <w:suppressAutoHyphens/>
        <w:spacing w:after="0" w:line="240" w:lineRule="auto"/>
        <w:jc w:val="both"/>
        <w:rPr>
          <w:rFonts w:ascii="Arial" w:hAnsi="Arial" w:cs="Arial"/>
          <w:bCs/>
          <w:sz w:val="24"/>
          <w:szCs w:val="24"/>
        </w:rPr>
      </w:pPr>
      <w:r w:rsidRPr="00315335">
        <w:rPr>
          <w:rFonts w:ascii="Arial" w:hAnsi="Arial" w:cs="Arial"/>
          <w:sz w:val="24"/>
          <w:szCs w:val="24"/>
        </w:rPr>
        <w:t>În f</w:t>
      </w:r>
      <w:r w:rsidRPr="00315335">
        <w:rPr>
          <w:rFonts w:ascii="Arial" w:hAnsi="Arial" w:cs="Arial"/>
          <w:bCs/>
          <w:sz w:val="24"/>
          <w:szCs w:val="24"/>
        </w:rPr>
        <w:t>igurile nr.II.1.1.3.1 şi II.1.1.3.2 este prezentată e</w:t>
      </w:r>
      <w:r w:rsidRPr="00315335">
        <w:rPr>
          <w:rFonts w:ascii="Arial" w:hAnsi="Arial" w:cs="Arial"/>
          <w:iCs/>
          <w:sz w:val="24"/>
          <w:szCs w:val="24"/>
        </w:rPr>
        <w:t>voluţia debitelor medii, maxime şi minime lunare pe Dunăre, la intrarea în ţară</w:t>
      </w:r>
      <w:r w:rsidRPr="00315335">
        <w:rPr>
          <w:rFonts w:ascii="Arial" w:hAnsi="Arial" w:cs="Arial"/>
          <w:bCs/>
          <w:sz w:val="24"/>
          <w:szCs w:val="24"/>
        </w:rPr>
        <w:t>.</w:t>
      </w:r>
    </w:p>
    <w:p w:rsidR="00643CB5" w:rsidRPr="00315335" w:rsidRDefault="00643CB5" w:rsidP="00643CB5">
      <w:pPr>
        <w:suppressAutoHyphens/>
        <w:spacing w:after="0" w:line="240" w:lineRule="auto"/>
        <w:jc w:val="both"/>
        <w:rPr>
          <w:rFonts w:ascii="Arial" w:hAnsi="Arial" w:cs="Arial"/>
          <w:sz w:val="24"/>
          <w:szCs w:val="24"/>
          <w:lang w:eastAsia="zh-CN"/>
        </w:rPr>
      </w:pPr>
      <w:r w:rsidRPr="00315335">
        <w:rPr>
          <w:rFonts w:ascii="Arial" w:hAnsi="Arial" w:cs="Arial"/>
          <w:sz w:val="24"/>
          <w:szCs w:val="24"/>
          <w:lang w:eastAsia="zh-CN"/>
        </w:rPr>
        <w:t>Valoarea maximă a debitului Dunării la intrarea în ţară a fost de 11200 m</w:t>
      </w:r>
      <w:r w:rsidRPr="00315335">
        <w:rPr>
          <w:rFonts w:ascii="Arial" w:hAnsi="Arial" w:cs="Arial"/>
          <w:sz w:val="24"/>
          <w:szCs w:val="24"/>
          <w:vertAlign w:val="superscript"/>
          <w:lang w:eastAsia="zh-CN"/>
        </w:rPr>
        <w:t>3</w:t>
      </w:r>
      <w:r w:rsidRPr="00315335">
        <w:rPr>
          <w:rFonts w:ascii="Arial" w:hAnsi="Arial" w:cs="Arial"/>
          <w:sz w:val="24"/>
          <w:szCs w:val="24"/>
          <w:lang w:eastAsia="zh-CN"/>
        </w:rPr>
        <w:t xml:space="preserve">/s în intervalul 23-24 martie 2018, iar valoarea minimă a fost de </w:t>
      </w:r>
      <w:r w:rsidRPr="00315335">
        <w:rPr>
          <w:rFonts w:ascii="Arial" w:hAnsi="Arial" w:cs="Arial"/>
          <w:sz w:val="24"/>
          <w:szCs w:val="24"/>
          <w:lang w:eastAsia="x-none"/>
        </w:rPr>
        <w:t>1850 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în intervalul 21- 30 octombrie </w:t>
      </w:r>
      <w:r w:rsidRPr="00315335">
        <w:rPr>
          <w:rFonts w:ascii="Arial" w:hAnsi="Arial" w:cs="Arial"/>
          <w:sz w:val="24"/>
          <w:szCs w:val="24"/>
          <w:lang w:eastAsia="zh-CN"/>
        </w:rPr>
        <w:t>2018.</w:t>
      </w:r>
    </w:p>
    <w:p w:rsidR="00643CB5" w:rsidRPr="00315335" w:rsidRDefault="00643CB5" w:rsidP="00643CB5">
      <w:pPr>
        <w:suppressAutoHyphens/>
        <w:spacing w:after="0" w:line="240" w:lineRule="auto"/>
        <w:jc w:val="both"/>
        <w:rPr>
          <w:rFonts w:ascii="Arial" w:hAnsi="Arial" w:cs="Arial"/>
          <w:lang w:eastAsia="zh-CN"/>
        </w:rPr>
      </w:pPr>
      <w:r w:rsidRPr="00315335">
        <w:rPr>
          <w:rFonts w:ascii="Arial" w:hAnsi="Arial" w:cs="Arial"/>
          <w:sz w:val="24"/>
          <w:szCs w:val="24"/>
          <w:lang w:eastAsia="zh-CN"/>
        </w:rPr>
        <w:t>Analizând evoluţia debitelor minime din acest interval, se constată o tendinţă descrescătoare în intervalele ianuarie - martie şi mai - octombrie 2018 şi crescătoare în luna aprilie şi ȋn intervalul noiembrie - decembrie 2018. În ceea e priveşte debitele maxime, acestea au prezentat o evoluţie crescătoare în luna martie şi ȋn intervalul noiembrie - decembrie 2018 şi una descrescătoare ȋn intervalele ianuarie - februarie 2018 şi aprilie – octombrie 2018.</w:t>
      </w:r>
    </w:p>
    <w:p w:rsidR="00BA6E19" w:rsidRDefault="00BA6E19" w:rsidP="00643CB5">
      <w:pPr>
        <w:jc w:val="center"/>
        <w:rPr>
          <w:rFonts w:ascii="Arial" w:hAnsi="Arial" w:cs="Arial"/>
          <w:b/>
          <w:iCs/>
          <w:sz w:val="24"/>
          <w:szCs w:val="24"/>
          <w:lang w:eastAsia="zh-CN"/>
        </w:rPr>
      </w:pPr>
    </w:p>
    <w:p w:rsidR="00643CB5" w:rsidRPr="00315335" w:rsidRDefault="00643CB5" w:rsidP="00643CB5">
      <w:pPr>
        <w:jc w:val="center"/>
        <w:rPr>
          <w:rFonts w:ascii="Arial" w:hAnsi="Arial" w:cs="Arial"/>
          <w:iCs/>
          <w:sz w:val="24"/>
          <w:szCs w:val="24"/>
          <w:lang w:eastAsia="zh-CN"/>
        </w:rPr>
      </w:pPr>
      <w:r w:rsidRPr="00315335">
        <w:rPr>
          <w:rFonts w:ascii="Arial" w:hAnsi="Arial" w:cs="Arial"/>
          <w:b/>
          <w:iCs/>
          <w:sz w:val="24"/>
          <w:szCs w:val="24"/>
          <w:lang w:eastAsia="zh-CN"/>
        </w:rPr>
        <w:t>Fig.nr.II.1.1.3.1</w:t>
      </w:r>
      <w:r w:rsidRPr="00315335">
        <w:rPr>
          <w:rFonts w:ascii="Arial" w:hAnsi="Arial" w:cs="Arial"/>
          <w:iCs/>
          <w:sz w:val="24"/>
          <w:szCs w:val="24"/>
          <w:lang w:eastAsia="zh-CN"/>
        </w:rPr>
        <w:t>. Evoluţia debitelor medii lunare pe Dunăre, la intrarea în ţară, în anul 2018</w:t>
      </w:r>
    </w:p>
    <w:p w:rsidR="00643CB5" w:rsidRPr="00315335" w:rsidRDefault="00643CB5" w:rsidP="00643CB5">
      <w:pPr>
        <w:suppressAutoHyphens/>
        <w:jc w:val="center"/>
        <w:rPr>
          <w:rFonts w:ascii="Arial" w:hAnsi="Arial" w:cs="Arial"/>
          <w:lang w:eastAsia="zh-CN"/>
        </w:rPr>
      </w:pPr>
      <w:r w:rsidRPr="00315335">
        <w:rPr>
          <w:rFonts w:ascii="Arial" w:hAnsi="Arial" w:cs="Arial"/>
          <w:noProof/>
        </w:rPr>
        <w:drawing>
          <wp:inline distT="0" distB="0" distL="0" distR="0" wp14:anchorId="32A4E34B" wp14:editId="7AB085D7">
            <wp:extent cx="5975350" cy="2951760"/>
            <wp:effectExtent l="0" t="0" r="635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6489"/>
                    <a:stretch/>
                  </pic:blipFill>
                  <pic:spPr bwMode="auto">
                    <a:xfrm>
                      <a:off x="0" y="0"/>
                      <a:ext cx="5975350" cy="2951760"/>
                    </a:xfrm>
                    <a:prstGeom prst="rect">
                      <a:avLst/>
                    </a:prstGeom>
                    <a:noFill/>
                    <a:ln>
                      <a:noFill/>
                    </a:ln>
                    <a:extLst>
                      <a:ext uri="{53640926-AAD7-44D8-BBD7-CCE9431645EC}">
                        <a14:shadowObscured xmlns:a14="http://schemas.microsoft.com/office/drawing/2010/main"/>
                      </a:ext>
                    </a:extLst>
                  </pic:spPr>
                </pic:pic>
              </a:graphicData>
            </a:graphic>
          </wp:inline>
        </w:drawing>
      </w:r>
    </w:p>
    <w:p w:rsidR="00643CB5" w:rsidRPr="00315335" w:rsidRDefault="00643CB5" w:rsidP="00643CB5">
      <w:pPr>
        <w:jc w:val="center"/>
        <w:rPr>
          <w:rFonts w:ascii="Arial" w:hAnsi="Arial" w:cs="Arial"/>
          <w:sz w:val="24"/>
          <w:szCs w:val="24"/>
        </w:rPr>
      </w:pPr>
    </w:p>
    <w:p w:rsidR="00643CB5" w:rsidRPr="00315335" w:rsidRDefault="00643CB5" w:rsidP="00643CB5">
      <w:pPr>
        <w:jc w:val="center"/>
        <w:rPr>
          <w:rFonts w:ascii="Arial" w:hAnsi="Arial" w:cs="Arial"/>
          <w:sz w:val="24"/>
          <w:szCs w:val="24"/>
        </w:rPr>
      </w:pPr>
      <w:r w:rsidRPr="00315335">
        <w:rPr>
          <w:rFonts w:ascii="Arial" w:hAnsi="Arial" w:cs="Arial"/>
          <w:b/>
          <w:sz w:val="24"/>
          <w:szCs w:val="24"/>
        </w:rPr>
        <w:t>Fig.nr.II.1.1.3.2</w:t>
      </w:r>
      <w:r w:rsidRPr="00315335">
        <w:rPr>
          <w:rFonts w:ascii="Arial" w:hAnsi="Arial" w:cs="Arial"/>
          <w:sz w:val="24"/>
          <w:szCs w:val="24"/>
        </w:rPr>
        <w:t>. Evoluţia debitelor maxime şi minime lunare înregistrate pe Dunăre, la intrarea în ţară, în anul 2018</w:t>
      </w:r>
    </w:p>
    <w:p w:rsidR="00643CB5" w:rsidRPr="00315335" w:rsidRDefault="00643CB5" w:rsidP="00643CB5">
      <w:pPr>
        <w:jc w:val="center"/>
        <w:rPr>
          <w:rFonts w:ascii="Arial" w:hAnsi="Arial" w:cs="Arial"/>
          <w:i/>
          <w:iCs/>
          <w:sz w:val="24"/>
          <w:szCs w:val="24"/>
        </w:rPr>
      </w:pPr>
      <w:r w:rsidRPr="00315335">
        <w:rPr>
          <w:rFonts w:ascii="Arial" w:hAnsi="Arial" w:cs="Arial"/>
          <w:noProof/>
          <w:sz w:val="24"/>
          <w:szCs w:val="24"/>
        </w:rPr>
        <w:lastRenderedPageBreak/>
        <w:drawing>
          <wp:inline distT="0" distB="0" distL="0" distR="0" wp14:anchorId="610B81E3" wp14:editId="1182DA2D">
            <wp:extent cx="5998845" cy="3232150"/>
            <wp:effectExtent l="0" t="0" r="190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98845" cy="3232150"/>
                    </a:xfrm>
                    <a:prstGeom prst="rect">
                      <a:avLst/>
                    </a:prstGeom>
                    <a:noFill/>
                    <a:ln>
                      <a:noFill/>
                    </a:ln>
                  </pic:spPr>
                </pic:pic>
              </a:graphicData>
            </a:graphic>
          </wp:inline>
        </w:drawing>
      </w:r>
    </w:p>
    <w:p w:rsidR="00643CB5" w:rsidRPr="00315335" w:rsidRDefault="00643CB5" w:rsidP="00643CB5">
      <w:pPr>
        <w:jc w:val="center"/>
        <w:rPr>
          <w:rFonts w:ascii="Arial" w:hAnsi="Arial" w:cs="Arial"/>
          <w:i/>
          <w:iCs/>
          <w:sz w:val="20"/>
          <w:szCs w:val="20"/>
        </w:rPr>
      </w:pPr>
    </w:p>
    <w:p w:rsidR="00643CB5" w:rsidRPr="00315335" w:rsidRDefault="00643CB5" w:rsidP="00643CB5">
      <w:pPr>
        <w:jc w:val="both"/>
        <w:rPr>
          <w:rFonts w:ascii="Arial" w:hAnsi="Arial" w:cs="Arial"/>
          <w:b/>
          <w:sz w:val="24"/>
          <w:szCs w:val="24"/>
        </w:rPr>
      </w:pPr>
    </w:p>
    <w:p w:rsidR="00643CB5" w:rsidRPr="00315335" w:rsidRDefault="00643CB5" w:rsidP="00643CB5">
      <w:pPr>
        <w:jc w:val="both"/>
        <w:rPr>
          <w:rFonts w:ascii="Arial" w:hAnsi="Arial" w:cs="Arial"/>
          <w:b/>
          <w:sz w:val="24"/>
          <w:szCs w:val="24"/>
        </w:rPr>
      </w:pPr>
      <w:r w:rsidRPr="00315335">
        <w:rPr>
          <w:rFonts w:ascii="Arial" w:hAnsi="Arial" w:cs="Arial"/>
          <w:b/>
          <w:sz w:val="24"/>
          <w:szCs w:val="24"/>
        </w:rPr>
        <w:t>Caracterizarea regimului hidrologic al Dunării în sezonul de iarnă 2018</w:t>
      </w:r>
    </w:p>
    <w:p w:rsidR="00643CB5" w:rsidRPr="00315335" w:rsidRDefault="00643CB5" w:rsidP="00643CB5">
      <w:pPr>
        <w:pStyle w:val="Textsimplu"/>
        <w:ind w:firstLine="708"/>
        <w:jc w:val="both"/>
        <w:rPr>
          <w:rFonts w:ascii="Arial" w:hAnsi="Arial" w:cs="Arial"/>
          <w:sz w:val="24"/>
          <w:szCs w:val="24"/>
          <w:lang w:val="ro-RO"/>
        </w:rPr>
      </w:pPr>
      <w:r w:rsidRPr="00315335">
        <w:rPr>
          <w:rFonts w:ascii="Arial" w:hAnsi="Arial" w:cs="Arial"/>
          <w:sz w:val="24"/>
          <w:szCs w:val="24"/>
          <w:lang w:val="ro-RO"/>
        </w:rPr>
        <w:t>În sezonul de iarnă debitele medii la intrarea în ţară (secţiunea Baziaş) s-au situat peste mediile multianuale lunare, cu valori cuprinse între 129-148% din normalele lunare.</w:t>
      </w:r>
    </w:p>
    <w:p w:rsidR="00643CB5" w:rsidRPr="00315335" w:rsidRDefault="00643CB5" w:rsidP="00643CB5">
      <w:pPr>
        <w:spacing w:after="0" w:line="240" w:lineRule="auto"/>
        <w:ind w:firstLine="708"/>
        <w:jc w:val="both"/>
        <w:rPr>
          <w:rFonts w:ascii="Arial" w:hAnsi="Arial" w:cs="Arial"/>
          <w:sz w:val="24"/>
          <w:szCs w:val="24"/>
          <w:lang w:eastAsia="zh-CN"/>
        </w:rPr>
      </w:pPr>
      <w:r w:rsidRPr="00315335">
        <w:rPr>
          <w:rFonts w:ascii="Arial" w:hAnsi="Arial" w:cs="Arial"/>
          <w:sz w:val="24"/>
          <w:szCs w:val="24"/>
          <w:lang w:eastAsia="x-none"/>
        </w:rPr>
        <w:t xml:space="preserve">În luna </w:t>
      </w:r>
      <w:r w:rsidRPr="00315335">
        <w:rPr>
          <w:rFonts w:ascii="Arial" w:hAnsi="Arial" w:cs="Arial"/>
          <w:b/>
          <w:sz w:val="24"/>
          <w:szCs w:val="24"/>
          <w:lang w:eastAsia="x-none"/>
        </w:rPr>
        <w:t xml:space="preserve">ianuarie </w:t>
      </w:r>
      <w:r w:rsidRPr="00315335">
        <w:rPr>
          <w:rFonts w:ascii="Arial" w:hAnsi="Arial" w:cs="Arial"/>
          <w:sz w:val="24"/>
          <w:szCs w:val="24"/>
          <w:lang w:eastAsia="x-none"/>
        </w:rPr>
        <w:t>2018 d</w:t>
      </w:r>
      <w:r w:rsidRPr="00315335">
        <w:rPr>
          <w:rFonts w:ascii="Arial" w:hAnsi="Arial" w:cs="Arial"/>
          <w:sz w:val="24"/>
          <w:szCs w:val="24"/>
          <w:lang w:eastAsia="zh-CN"/>
        </w:rPr>
        <w:t xml:space="preserve">ebitele la intrarea în ţară (secţiunea Baziaş) au fost în scădere de la valoarea  de 7200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 xml:space="preserve">înregistrată în prima zi a lunii </w:t>
      </w:r>
      <w:r w:rsidRPr="00315335">
        <w:rPr>
          <w:rFonts w:ascii="Arial" w:hAnsi="Arial" w:cs="Arial"/>
          <w:sz w:val="24"/>
          <w:szCs w:val="24"/>
          <w:lang w:eastAsia="x-none"/>
        </w:rPr>
        <w:t>la valoarea minimă lunară de 6700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ultima zi a lunii.</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rPr>
        <w:t xml:space="preserve">În luna </w:t>
      </w:r>
      <w:r w:rsidRPr="00315335">
        <w:rPr>
          <w:rFonts w:ascii="Arial" w:hAnsi="Arial" w:cs="Arial"/>
          <w:b/>
          <w:sz w:val="24"/>
          <w:szCs w:val="24"/>
        </w:rPr>
        <w:t>februarie</w:t>
      </w:r>
      <w:r w:rsidRPr="00315335">
        <w:rPr>
          <w:rFonts w:ascii="Arial" w:hAnsi="Arial" w:cs="Arial"/>
          <w:sz w:val="24"/>
          <w:szCs w:val="24"/>
        </w:rPr>
        <w:t xml:space="preserve"> 2018 d</w:t>
      </w:r>
      <w:r w:rsidRPr="00315335">
        <w:rPr>
          <w:rFonts w:ascii="Arial" w:hAnsi="Arial" w:cs="Arial"/>
          <w:sz w:val="24"/>
          <w:szCs w:val="24"/>
          <w:lang w:eastAsia="zh-CN"/>
        </w:rPr>
        <w:t xml:space="preserve">ebitele la intrarea în ţară (secţiunea Baziaş) au fost în scădere de la valoarea  de 6500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 xml:space="preserve">înregistrată în prima zi a lunii la </w:t>
      </w:r>
      <w:r w:rsidRPr="00315335">
        <w:rPr>
          <w:rFonts w:ascii="Arial" w:hAnsi="Arial" w:cs="Arial"/>
          <w:sz w:val="24"/>
          <w:szCs w:val="24"/>
          <w:lang w:eastAsia="x-none"/>
        </w:rPr>
        <w:t>la 6200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ultima zi a lunii.</w:t>
      </w:r>
    </w:p>
    <w:p w:rsidR="00643CB5" w:rsidRPr="00315335" w:rsidRDefault="00643CB5" w:rsidP="00643CB5">
      <w:pPr>
        <w:spacing w:after="0" w:line="240" w:lineRule="auto"/>
        <w:ind w:firstLine="708"/>
        <w:jc w:val="both"/>
        <w:rPr>
          <w:rFonts w:ascii="Arial" w:hAnsi="Arial" w:cs="Arial"/>
          <w:sz w:val="24"/>
          <w:szCs w:val="24"/>
          <w:lang w:eastAsia="zh-CN"/>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sz w:val="24"/>
          <w:szCs w:val="24"/>
        </w:rPr>
        <w:t>Caracterizarea regimului hidrologic al Dunării în primăvara anului 2018</w:t>
      </w:r>
    </w:p>
    <w:p w:rsidR="00643CB5" w:rsidRPr="00315335" w:rsidRDefault="00643CB5" w:rsidP="00643CB5">
      <w:pPr>
        <w:spacing w:after="0" w:line="240" w:lineRule="auto"/>
        <w:jc w:val="both"/>
        <w:rPr>
          <w:rFonts w:ascii="Arial" w:hAnsi="Arial" w:cs="Arial"/>
          <w:b/>
          <w:sz w:val="24"/>
          <w:szCs w:val="24"/>
        </w:rPr>
      </w:pPr>
    </w:p>
    <w:p w:rsidR="00643CB5" w:rsidRPr="00315335" w:rsidRDefault="00643CB5" w:rsidP="00643CB5">
      <w:pPr>
        <w:suppressAutoHyphens/>
        <w:spacing w:after="0" w:line="240" w:lineRule="auto"/>
        <w:ind w:firstLine="708"/>
        <w:jc w:val="both"/>
        <w:rPr>
          <w:rFonts w:ascii="Arial" w:hAnsi="Arial" w:cs="Arial"/>
          <w:sz w:val="24"/>
          <w:szCs w:val="24"/>
          <w:lang w:eastAsia="zh-CN"/>
        </w:rPr>
      </w:pPr>
      <w:r w:rsidRPr="00315335">
        <w:rPr>
          <w:rFonts w:ascii="Arial" w:hAnsi="Arial" w:cs="Arial"/>
          <w:sz w:val="24"/>
          <w:szCs w:val="24"/>
          <w:lang w:eastAsia="zh-CN"/>
        </w:rPr>
        <w:t>În sezonul de primăvară 2018 debitele medii înregistrate pe Dunăre la intrarea în ţară (secţiunea Baziaş) au avut valori peste mediile multianuale lunare în lunile martie şi aprilie (120-128%) şi sub normala lunară în luna mai (80%).</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lang w:eastAsia="x-none"/>
        </w:rPr>
        <w:t xml:space="preserve">În luna </w:t>
      </w:r>
      <w:r w:rsidRPr="00315335">
        <w:rPr>
          <w:rFonts w:ascii="Arial" w:hAnsi="Arial" w:cs="Arial"/>
          <w:b/>
          <w:sz w:val="24"/>
          <w:szCs w:val="24"/>
          <w:lang w:eastAsia="x-none"/>
        </w:rPr>
        <w:t>martie</w:t>
      </w:r>
      <w:r w:rsidRPr="00315335">
        <w:rPr>
          <w:rFonts w:ascii="Arial" w:hAnsi="Arial" w:cs="Arial"/>
          <w:sz w:val="24"/>
          <w:szCs w:val="24"/>
          <w:lang w:eastAsia="x-none"/>
        </w:rPr>
        <w:t xml:space="preserve"> 2018 d</w:t>
      </w:r>
      <w:r w:rsidRPr="00315335">
        <w:rPr>
          <w:rFonts w:ascii="Arial" w:hAnsi="Arial" w:cs="Arial"/>
          <w:sz w:val="24"/>
          <w:szCs w:val="24"/>
          <w:lang w:eastAsia="zh-CN"/>
        </w:rPr>
        <w:t xml:space="preserve">ebitele la intrarea în ţară (secţiunea Baziaş) au fost în scădere de la valoarea  de 6000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 xml:space="preserve">înregistrată în prima zi a lunii la 5400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ziua de 5 martie (valoarea minimă lunară), în creştere până la valoarea maximă lunară</w:t>
      </w:r>
      <w:r w:rsidRPr="00315335">
        <w:rPr>
          <w:rFonts w:ascii="Arial" w:hAnsi="Arial" w:cs="Arial"/>
          <w:sz w:val="24"/>
          <w:szCs w:val="24"/>
          <w:lang w:eastAsia="zh-CN"/>
        </w:rPr>
        <w:t xml:space="preserve"> de 11200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înregistrată în zilele de 23 şi 24 martie, apoi în scădere la 10200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ultima  zi a lunii.</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lang w:eastAsia="x-none"/>
        </w:rPr>
        <w:t xml:space="preserve">Începând din data de 16 martie şi până la sfârşitul lunii au fost depăşite FAZELE DE APᾸRARE, treptat, la toate staţiile hidrometrice situate pe sectorul românesc al Dunării, aval Gruia, cu niveluri situate în general peste </w:t>
      </w:r>
      <w:r w:rsidRPr="00315335">
        <w:rPr>
          <w:rFonts w:ascii="Arial" w:hAnsi="Arial" w:cs="Arial"/>
          <w:sz w:val="24"/>
          <w:szCs w:val="24"/>
          <w:lang w:eastAsia="ar-SA"/>
        </w:rPr>
        <w:t xml:space="preserve">FAZA I DE APĂRARE şi temporar </w:t>
      </w:r>
      <w:r w:rsidRPr="00315335">
        <w:rPr>
          <w:rFonts w:ascii="Arial" w:hAnsi="Arial" w:cs="Arial"/>
          <w:sz w:val="24"/>
          <w:szCs w:val="24"/>
          <w:lang w:eastAsia="x-none"/>
        </w:rPr>
        <w:t>peste</w:t>
      </w:r>
      <w:r w:rsidRPr="00315335">
        <w:rPr>
          <w:rFonts w:ascii="Arial" w:hAnsi="Arial" w:cs="Arial"/>
          <w:sz w:val="24"/>
          <w:szCs w:val="24"/>
          <w:lang w:eastAsia="ar-SA"/>
        </w:rPr>
        <w:t xml:space="preserve"> FAZA II DE APĂRARE </w:t>
      </w:r>
      <w:r w:rsidRPr="00315335">
        <w:rPr>
          <w:rFonts w:ascii="Arial" w:hAnsi="Arial" w:cs="Arial"/>
          <w:sz w:val="24"/>
          <w:szCs w:val="24"/>
          <w:lang w:eastAsia="x-none"/>
        </w:rPr>
        <w:t>la staţiile hidrometrice: Calafat (21-26 martie), Bechet (20-31 martie), Corabia (21-31 martie), Tr. Măgurele (22-31martie), Zimnicea (23-31 martie), Giurgiu (26-31 martie), Olteniţa (26-31 martie), Cernavodă (27-31 martie), Hârşova (24-27 martie), Brăila (28-31 martie şi Galaţi (30-31 martie) şi peste</w:t>
      </w:r>
      <w:r w:rsidRPr="00315335">
        <w:rPr>
          <w:rFonts w:ascii="Arial" w:hAnsi="Arial" w:cs="Arial"/>
          <w:sz w:val="24"/>
          <w:szCs w:val="24"/>
          <w:lang w:eastAsia="ar-SA"/>
        </w:rPr>
        <w:t xml:space="preserve"> FAZA III DE APĂRARE la Hârşova (</w:t>
      </w:r>
      <w:r w:rsidRPr="00315335">
        <w:rPr>
          <w:rFonts w:ascii="Arial" w:hAnsi="Arial" w:cs="Arial"/>
          <w:sz w:val="24"/>
          <w:szCs w:val="24"/>
          <w:lang w:eastAsia="x-none"/>
        </w:rPr>
        <w:t>28-31martie).</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lang w:eastAsia="x-none"/>
        </w:rPr>
        <w:t xml:space="preserve">În luna </w:t>
      </w:r>
      <w:r w:rsidRPr="00315335">
        <w:rPr>
          <w:rFonts w:ascii="Arial" w:hAnsi="Arial" w:cs="Arial"/>
          <w:b/>
          <w:sz w:val="24"/>
          <w:szCs w:val="24"/>
          <w:lang w:eastAsia="x-none"/>
        </w:rPr>
        <w:t>aprilie</w:t>
      </w:r>
      <w:r w:rsidRPr="00315335">
        <w:rPr>
          <w:rFonts w:ascii="Arial" w:hAnsi="Arial" w:cs="Arial"/>
          <w:sz w:val="24"/>
          <w:szCs w:val="24"/>
          <w:lang w:eastAsia="x-none"/>
        </w:rPr>
        <w:t xml:space="preserve"> 2018 d</w:t>
      </w:r>
      <w:r w:rsidRPr="00315335">
        <w:rPr>
          <w:rFonts w:ascii="Arial" w:hAnsi="Arial" w:cs="Arial"/>
          <w:sz w:val="24"/>
          <w:szCs w:val="24"/>
          <w:lang w:eastAsia="zh-CN"/>
        </w:rPr>
        <w:t xml:space="preserve">ebitele la intrarea în ţară (secţiunea Baziaş) au fost în creştere de la valoarea de 10100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 xml:space="preserve">înregistrată în prima zi a lunii la 10800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zilele de 6 şi 7 aprilie (valoarea maximă lunară), apoi în scădere  până la valoarea 7500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ultima  zi a lunii (valoarea minimă lunară).</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lang w:eastAsia="x-none"/>
        </w:rPr>
        <w:t xml:space="preserve">Datorită debitelor mari înregistrate la intrarea în ţară </w:t>
      </w:r>
      <w:r w:rsidRPr="00315335">
        <w:rPr>
          <w:rFonts w:ascii="Arial" w:hAnsi="Arial" w:cs="Arial"/>
          <w:sz w:val="24"/>
          <w:szCs w:val="24"/>
          <w:lang w:eastAsia="zh-CN"/>
        </w:rPr>
        <w:t xml:space="preserve">(secţiunea Baziaş), </w:t>
      </w:r>
      <w:r w:rsidRPr="00315335">
        <w:rPr>
          <w:rFonts w:ascii="Arial" w:hAnsi="Arial" w:cs="Arial"/>
          <w:sz w:val="24"/>
          <w:szCs w:val="24"/>
          <w:lang w:eastAsia="x-none"/>
        </w:rPr>
        <w:t>cu valori care au depăşit 10000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începând din data de 21 martie şi până în data de 14 aprilie, s-au menţinut depăşite </w:t>
      </w:r>
      <w:r w:rsidRPr="00315335">
        <w:rPr>
          <w:rFonts w:ascii="Arial" w:hAnsi="Arial" w:cs="Arial"/>
          <w:b/>
          <w:sz w:val="24"/>
          <w:szCs w:val="24"/>
          <w:lang w:eastAsia="x-none"/>
        </w:rPr>
        <w:t>FAZELE DE APᾸRARE</w:t>
      </w:r>
      <w:r w:rsidRPr="00315335">
        <w:rPr>
          <w:rFonts w:ascii="Arial" w:hAnsi="Arial" w:cs="Arial"/>
          <w:sz w:val="24"/>
          <w:szCs w:val="24"/>
          <w:lang w:eastAsia="x-none"/>
        </w:rPr>
        <w:t xml:space="preserve"> la toate staţiile hidrometrice situate pe sectorul românesc al Dunării, aval Gruia, pe tot parcursul lunii aprilie.</w:t>
      </w:r>
    </w:p>
    <w:p w:rsidR="00643CB5" w:rsidRPr="00315335" w:rsidRDefault="00643CB5" w:rsidP="00643CB5">
      <w:pPr>
        <w:spacing w:after="0" w:line="240" w:lineRule="auto"/>
        <w:jc w:val="both"/>
        <w:rPr>
          <w:rFonts w:ascii="Arial" w:hAnsi="Arial" w:cs="Arial"/>
          <w:sz w:val="24"/>
          <w:szCs w:val="24"/>
          <w:lang w:eastAsia="ar-SA"/>
        </w:rPr>
      </w:pPr>
      <w:r w:rsidRPr="00315335">
        <w:rPr>
          <w:rFonts w:ascii="Arial" w:hAnsi="Arial" w:cs="Arial"/>
          <w:sz w:val="24"/>
          <w:szCs w:val="24"/>
          <w:lang w:eastAsia="x-none"/>
        </w:rPr>
        <w:lastRenderedPageBreak/>
        <w:t xml:space="preserve"> </w:t>
      </w:r>
      <w:r w:rsidRPr="00315335">
        <w:rPr>
          <w:rFonts w:ascii="Arial" w:hAnsi="Arial" w:cs="Arial"/>
          <w:sz w:val="24"/>
          <w:szCs w:val="24"/>
          <w:lang w:eastAsia="x-none"/>
        </w:rPr>
        <w:tab/>
        <w:t xml:space="preserve">În prima jumătate a lunii aprilie nivelurile s-au situat peste </w:t>
      </w:r>
      <w:r w:rsidRPr="00315335">
        <w:rPr>
          <w:rFonts w:ascii="Arial" w:hAnsi="Arial" w:cs="Arial"/>
          <w:b/>
          <w:sz w:val="24"/>
          <w:szCs w:val="24"/>
          <w:lang w:eastAsia="ar-SA"/>
        </w:rPr>
        <w:t>FAZA I DE APĂRARE</w:t>
      </w:r>
      <w:r w:rsidRPr="00315335">
        <w:rPr>
          <w:rFonts w:ascii="Arial" w:hAnsi="Arial" w:cs="Arial"/>
          <w:sz w:val="24"/>
          <w:szCs w:val="24"/>
          <w:lang w:eastAsia="ar-SA"/>
        </w:rPr>
        <w:t xml:space="preserve"> pe sectoarele Gruia-Calafat, Giurgiu-Călăraşi, Isaccea-Tulcea şi la Vadu Oii, </w:t>
      </w:r>
      <w:r w:rsidRPr="00315335">
        <w:rPr>
          <w:rFonts w:ascii="Arial" w:hAnsi="Arial" w:cs="Arial"/>
          <w:sz w:val="24"/>
          <w:szCs w:val="24"/>
          <w:lang w:eastAsia="x-none"/>
        </w:rPr>
        <w:t>peste</w:t>
      </w:r>
      <w:r w:rsidRPr="00315335">
        <w:rPr>
          <w:rFonts w:ascii="Arial" w:hAnsi="Arial" w:cs="Arial"/>
          <w:sz w:val="24"/>
          <w:szCs w:val="24"/>
          <w:lang w:eastAsia="ar-SA"/>
        </w:rPr>
        <w:t xml:space="preserve"> </w:t>
      </w:r>
      <w:r w:rsidRPr="00315335">
        <w:rPr>
          <w:rFonts w:ascii="Arial" w:hAnsi="Arial" w:cs="Arial"/>
          <w:b/>
          <w:sz w:val="24"/>
          <w:szCs w:val="24"/>
          <w:lang w:eastAsia="ar-SA"/>
        </w:rPr>
        <w:t>FAZA II DE APĂRARE</w:t>
      </w:r>
      <w:r w:rsidRPr="00315335">
        <w:rPr>
          <w:rFonts w:ascii="Arial" w:hAnsi="Arial" w:cs="Arial"/>
          <w:sz w:val="24"/>
          <w:szCs w:val="24"/>
          <w:lang w:eastAsia="ar-SA"/>
        </w:rPr>
        <w:t xml:space="preserve"> pe sectoarele Bechet-Zimnicea, Brăila-Galaţi şi la Cernavodă </w:t>
      </w:r>
      <w:r w:rsidRPr="00315335">
        <w:rPr>
          <w:rFonts w:ascii="Arial" w:hAnsi="Arial" w:cs="Arial"/>
          <w:sz w:val="24"/>
          <w:szCs w:val="24"/>
          <w:lang w:eastAsia="x-none"/>
        </w:rPr>
        <w:t>şi peste</w:t>
      </w:r>
      <w:r w:rsidRPr="00315335">
        <w:rPr>
          <w:rFonts w:ascii="Arial" w:hAnsi="Arial" w:cs="Arial"/>
          <w:sz w:val="24"/>
          <w:szCs w:val="24"/>
          <w:lang w:eastAsia="ar-SA"/>
        </w:rPr>
        <w:t xml:space="preserve"> </w:t>
      </w:r>
      <w:r w:rsidRPr="00315335">
        <w:rPr>
          <w:rFonts w:ascii="Arial" w:hAnsi="Arial" w:cs="Arial"/>
          <w:b/>
          <w:sz w:val="24"/>
          <w:szCs w:val="24"/>
          <w:lang w:eastAsia="ar-SA"/>
        </w:rPr>
        <w:t>FAZA III DE APĂRARE</w:t>
      </w:r>
      <w:r w:rsidRPr="00315335">
        <w:rPr>
          <w:rFonts w:ascii="Arial" w:hAnsi="Arial" w:cs="Arial"/>
          <w:sz w:val="24"/>
          <w:szCs w:val="24"/>
          <w:lang w:eastAsia="ar-SA"/>
        </w:rPr>
        <w:t xml:space="preserve"> la Hârşova.</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lang w:eastAsia="ar-SA"/>
        </w:rPr>
        <w:t xml:space="preserve">În a doua jumătate a lunii nivelurile s-au situat în general </w:t>
      </w:r>
      <w:r w:rsidRPr="00315335">
        <w:rPr>
          <w:rFonts w:ascii="Arial" w:hAnsi="Arial" w:cs="Arial"/>
          <w:sz w:val="24"/>
          <w:szCs w:val="24"/>
          <w:lang w:eastAsia="x-none"/>
        </w:rPr>
        <w:t xml:space="preserve">peste </w:t>
      </w:r>
      <w:r w:rsidRPr="00315335">
        <w:rPr>
          <w:rFonts w:ascii="Arial" w:hAnsi="Arial" w:cs="Arial"/>
          <w:b/>
          <w:sz w:val="24"/>
          <w:szCs w:val="24"/>
          <w:lang w:eastAsia="ar-SA"/>
        </w:rPr>
        <w:t>FAZA I DE APĂRARE</w:t>
      </w:r>
      <w:r w:rsidRPr="00315335">
        <w:rPr>
          <w:rFonts w:ascii="Arial" w:hAnsi="Arial" w:cs="Arial"/>
          <w:sz w:val="24"/>
          <w:szCs w:val="24"/>
          <w:lang w:eastAsia="ar-SA"/>
        </w:rPr>
        <w:t xml:space="preserve"> (în intervalul 15-25 aprilie pe sectorul Bechet-Tulcea, iar în ultimele zile pe sectorul Isaccea-Tulcea).</w:t>
      </w:r>
    </w:p>
    <w:p w:rsidR="00643CB5" w:rsidRPr="00315335" w:rsidRDefault="00643CB5" w:rsidP="00643CB5">
      <w:pPr>
        <w:spacing w:after="0" w:line="240" w:lineRule="auto"/>
        <w:jc w:val="both"/>
        <w:rPr>
          <w:rFonts w:ascii="Arial" w:hAnsi="Arial" w:cs="Arial"/>
          <w:sz w:val="24"/>
          <w:szCs w:val="24"/>
          <w:lang w:eastAsia="x-none"/>
        </w:rPr>
      </w:pPr>
      <w:r w:rsidRPr="00315335">
        <w:rPr>
          <w:rFonts w:ascii="Arial" w:hAnsi="Arial" w:cs="Arial"/>
          <w:sz w:val="24"/>
          <w:szCs w:val="24"/>
          <w:lang w:eastAsia="x-none"/>
        </w:rPr>
        <w:t xml:space="preserve">În luna </w:t>
      </w:r>
      <w:r w:rsidRPr="00315335">
        <w:rPr>
          <w:rFonts w:ascii="Arial" w:hAnsi="Arial" w:cs="Arial"/>
          <w:b/>
          <w:sz w:val="24"/>
          <w:szCs w:val="24"/>
          <w:lang w:eastAsia="x-none"/>
        </w:rPr>
        <w:t>mai</w:t>
      </w:r>
      <w:r w:rsidRPr="00315335">
        <w:rPr>
          <w:rFonts w:ascii="Arial" w:hAnsi="Arial" w:cs="Arial"/>
          <w:sz w:val="24"/>
          <w:szCs w:val="24"/>
          <w:lang w:eastAsia="x-none"/>
        </w:rPr>
        <w:t xml:space="preserve"> 2018 d</w:t>
      </w:r>
      <w:r w:rsidRPr="00315335">
        <w:rPr>
          <w:rFonts w:ascii="Arial" w:hAnsi="Arial" w:cs="Arial"/>
          <w:sz w:val="24"/>
          <w:szCs w:val="24"/>
          <w:lang w:eastAsia="zh-CN"/>
        </w:rPr>
        <w:t xml:space="preserve">ebitele la intrarea în ţară (secţiunea Baziaş) au fost în scădere de la valoarea de 7300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 xml:space="preserve">înregistrată în prima zi a lunii </w:t>
      </w:r>
      <w:r w:rsidRPr="00315335">
        <w:rPr>
          <w:rFonts w:ascii="Arial" w:hAnsi="Arial" w:cs="Arial"/>
          <w:sz w:val="24"/>
          <w:szCs w:val="24"/>
          <w:lang w:eastAsia="x-none"/>
        </w:rPr>
        <w:t>(valoarea maximă lunară) la 6100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data de 6 mai, relativ staţionare până în data de 13 mai, apoi în scădere uşoară  până la  valoarea de 4700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înregistrată în ultima zi a lunii (valoarea minimă lunară).</w:t>
      </w:r>
    </w:p>
    <w:p w:rsidR="00643CB5" w:rsidRPr="00315335" w:rsidRDefault="00643CB5" w:rsidP="00643CB5">
      <w:pPr>
        <w:spacing w:after="0" w:line="240" w:lineRule="auto"/>
        <w:jc w:val="both"/>
        <w:rPr>
          <w:rFonts w:ascii="Arial" w:hAnsi="Arial" w:cs="Arial"/>
          <w:sz w:val="24"/>
          <w:szCs w:val="24"/>
          <w:lang w:eastAsia="x-none"/>
        </w:rPr>
      </w:pPr>
    </w:p>
    <w:p w:rsidR="00643CB5" w:rsidRPr="00315335" w:rsidRDefault="00643CB5" w:rsidP="00643CB5">
      <w:pPr>
        <w:suppressAutoHyphens/>
        <w:spacing w:after="0" w:line="240" w:lineRule="auto"/>
        <w:jc w:val="both"/>
        <w:rPr>
          <w:rFonts w:ascii="Arial" w:hAnsi="Arial" w:cs="Arial"/>
          <w:b/>
          <w:sz w:val="24"/>
          <w:szCs w:val="24"/>
          <w:lang w:eastAsia="zh-CN"/>
        </w:rPr>
      </w:pPr>
      <w:r w:rsidRPr="00315335">
        <w:rPr>
          <w:rFonts w:ascii="Arial" w:hAnsi="Arial" w:cs="Arial"/>
          <w:b/>
          <w:sz w:val="24"/>
          <w:szCs w:val="24"/>
          <w:lang w:eastAsia="zh-CN"/>
        </w:rPr>
        <w:t>Caracterizarea regimului hidrologic al Dunării în vara anului 2018</w:t>
      </w:r>
    </w:p>
    <w:p w:rsidR="00643CB5" w:rsidRPr="00315335" w:rsidRDefault="00643CB5" w:rsidP="00643CB5">
      <w:pPr>
        <w:suppressAutoHyphens/>
        <w:spacing w:after="0" w:line="240" w:lineRule="auto"/>
        <w:ind w:firstLine="708"/>
        <w:jc w:val="both"/>
        <w:rPr>
          <w:rFonts w:ascii="Arial" w:hAnsi="Arial" w:cs="Arial"/>
          <w:sz w:val="24"/>
          <w:szCs w:val="24"/>
          <w:lang w:eastAsia="zh-CN"/>
        </w:rPr>
      </w:pPr>
      <w:r w:rsidRPr="00315335">
        <w:rPr>
          <w:rFonts w:ascii="Arial" w:hAnsi="Arial" w:cs="Arial"/>
          <w:sz w:val="24"/>
          <w:szCs w:val="24"/>
          <w:lang w:eastAsia="zh-CN"/>
        </w:rPr>
        <w:t xml:space="preserve">În sezonul de vară 2018 debitele medii lunare ale Dunării la intrarea în ţară (secţiunea Baziaş) s-au situat sub normalele lunare, cu valori cuprinse între 67-84%. </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lang w:eastAsia="zh-CN"/>
        </w:rPr>
        <w:t xml:space="preserve">În luna </w:t>
      </w:r>
      <w:r w:rsidRPr="00315335">
        <w:rPr>
          <w:rFonts w:ascii="Arial" w:hAnsi="Arial" w:cs="Arial"/>
          <w:b/>
          <w:sz w:val="24"/>
          <w:szCs w:val="24"/>
          <w:lang w:eastAsia="zh-CN"/>
        </w:rPr>
        <w:t xml:space="preserve">iunie </w:t>
      </w:r>
      <w:r w:rsidRPr="00315335">
        <w:rPr>
          <w:rFonts w:ascii="Arial" w:hAnsi="Arial" w:cs="Arial"/>
          <w:sz w:val="24"/>
          <w:szCs w:val="24"/>
          <w:lang w:eastAsia="zh-CN"/>
        </w:rPr>
        <w:t xml:space="preserve">2018 debitele la intrarea în ţară (secţiunea Baziaş) au fost în scădere uşoară de la valoarea de 4700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 xml:space="preserve">înregistrată în prima zi a lunii </w:t>
      </w:r>
      <w:r w:rsidRPr="00315335">
        <w:rPr>
          <w:rFonts w:ascii="Arial" w:hAnsi="Arial" w:cs="Arial"/>
          <w:sz w:val="24"/>
          <w:szCs w:val="24"/>
          <w:lang w:eastAsia="x-none"/>
        </w:rPr>
        <w:t>la 4300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zilele de 14 şi 15 iunie (valoarea minimă lunară), în creştere până la valoarea maximă lunară de 5700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zilele de 21 şi 22 iunie, apoi în scădere uşoară până la valoarea de 4400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înregistrată în ultima zi a lunii.</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lang w:eastAsia="zh-CN"/>
        </w:rPr>
        <w:t xml:space="preserve">În luna </w:t>
      </w:r>
      <w:r w:rsidRPr="00315335">
        <w:rPr>
          <w:rFonts w:ascii="Arial" w:hAnsi="Arial" w:cs="Arial"/>
          <w:b/>
          <w:sz w:val="24"/>
          <w:szCs w:val="24"/>
          <w:lang w:eastAsia="zh-CN"/>
        </w:rPr>
        <w:t>iulie</w:t>
      </w:r>
      <w:r w:rsidRPr="00315335">
        <w:rPr>
          <w:rFonts w:ascii="Arial" w:hAnsi="Arial" w:cs="Arial"/>
          <w:sz w:val="24"/>
          <w:szCs w:val="24"/>
          <w:lang w:eastAsia="zh-CN"/>
        </w:rPr>
        <w:t xml:space="preserve"> 2018 debitele la intrarea în ţară (secţiunea Baziaş) au fost în creştere de la valoarea de 4500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 xml:space="preserve">înregistrată în prima zi a lunii </w:t>
      </w:r>
      <w:r w:rsidRPr="00315335">
        <w:rPr>
          <w:rFonts w:ascii="Arial" w:hAnsi="Arial" w:cs="Arial"/>
          <w:sz w:val="24"/>
          <w:szCs w:val="24"/>
          <w:lang w:eastAsia="x-none"/>
        </w:rPr>
        <w:t>la 5500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zilele de 5 şi 6 iulie (valoarea maximă lunară), în scădere până la valoarea minimă de 3600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zilele de 25 şi 26 iulie, apoi în creştere uşoară  până la valoarea de 4000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înregistrată  în ultima  zi a lunii.</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lang w:eastAsia="zh-CN"/>
        </w:rPr>
        <w:t xml:space="preserve">În luna </w:t>
      </w:r>
      <w:r w:rsidRPr="00315335">
        <w:rPr>
          <w:rFonts w:ascii="Arial" w:hAnsi="Arial" w:cs="Arial"/>
          <w:b/>
          <w:sz w:val="24"/>
          <w:szCs w:val="24"/>
          <w:lang w:eastAsia="zh-CN"/>
        </w:rPr>
        <w:t xml:space="preserve">august </w:t>
      </w:r>
      <w:r w:rsidRPr="00315335">
        <w:rPr>
          <w:rFonts w:ascii="Arial" w:hAnsi="Arial" w:cs="Arial"/>
          <w:sz w:val="24"/>
          <w:szCs w:val="24"/>
          <w:lang w:eastAsia="zh-CN"/>
        </w:rPr>
        <w:t xml:space="preserve">2018 debitele la intrarea în ţară (secţiunea Baziaş) au fost în scădere uşoară, de la valoarea de 3900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înregistrată în prima zi a lunii</w:t>
      </w:r>
      <w:r w:rsidRPr="00315335">
        <w:rPr>
          <w:rFonts w:ascii="Arial" w:hAnsi="Arial" w:cs="Arial"/>
          <w:sz w:val="24"/>
          <w:szCs w:val="24"/>
          <w:lang w:eastAsia="x-none"/>
        </w:rPr>
        <w:t xml:space="preserve"> (valoarea maximă lunară) până la valoarea de 2200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data de 28 august (valoarea minimă lunară), apoi în creştere uşoară la valoarea de 2400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ultima zi a lunii.</w:t>
      </w:r>
    </w:p>
    <w:p w:rsidR="00643CB5" w:rsidRPr="00315335" w:rsidRDefault="00643CB5" w:rsidP="00643CB5">
      <w:pPr>
        <w:spacing w:after="0" w:line="240" w:lineRule="auto"/>
        <w:jc w:val="both"/>
        <w:rPr>
          <w:rFonts w:ascii="Arial" w:hAnsi="Arial" w:cs="Arial"/>
          <w:b/>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sz w:val="24"/>
          <w:szCs w:val="24"/>
        </w:rPr>
        <w:t>Caracterizarea regimului hidrologic al Dunării în toamna anului 2018</w:t>
      </w:r>
    </w:p>
    <w:p w:rsidR="00643CB5" w:rsidRPr="00315335" w:rsidRDefault="00643CB5" w:rsidP="00643CB5">
      <w:pPr>
        <w:suppressAutoHyphens/>
        <w:spacing w:after="0" w:line="240" w:lineRule="auto"/>
        <w:ind w:firstLine="708"/>
        <w:jc w:val="both"/>
        <w:rPr>
          <w:rFonts w:ascii="Arial" w:hAnsi="Arial" w:cs="Arial"/>
          <w:sz w:val="24"/>
          <w:szCs w:val="24"/>
        </w:rPr>
      </w:pPr>
      <w:r w:rsidRPr="00315335">
        <w:rPr>
          <w:rFonts w:ascii="Arial" w:hAnsi="Arial" w:cs="Arial"/>
          <w:sz w:val="24"/>
          <w:szCs w:val="24"/>
        </w:rPr>
        <w:t xml:space="preserve">Debitele medii lunare ale Dunării la intrarea în ţară (secţiunea Baziaş) înregistrate în sezonul de toamnă al anului 2018 s-au situat sub normalele lunare, cu valori cuprinse între 53-72% din normalele lunare. </w:t>
      </w:r>
    </w:p>
    <w:p w:rsidR="00643CB5" w:rsidRPr="00315335" w:rsidRDefault="00643CB5" w:rsidP="00643CB5">
      <w:pPr>
        <w:suppressAutoHyphens/>
        <w:spacing w:after="0" w:line="240" w:lineRule="auto"/>
        <w:ind w:firstLine="708"/>
        <w:jc w:val="both"/>
        <w:rPr>
          <w:rFonts w:ascii="Arial" w:hAnsi="Arial" w:cs="Arial"/>
          <w:sz w:val="24"/>
          <w:szCs w:val="24"/>
          <w:lang w:eastAsia="x-none"/>
        </w:rPr>
      </w:pPr>
      <w:r w:rsidRPr="00315335">
        <w:rPr>
          <w:rFonts w:ascii="Arial" w:hAnsi="Arial" w:cs="Arial"/>
          <w:sz w:val="24"/>
          <w:szCs w:val="24"/>
        </w:rPr>
        <w:t xml:space="preserve">În luna </w:t>
      </w:r>
      <w:r w:rsidRPr="00315335">
        <w:rPr>
          <w:rFonts w:ascii="Arial" w:hAnsi="Arial" w:cs="Arial"/>
          <w:b/>
          <w:sz w:val="24"/>
          <w:szCs w:val="24"/>
        </w:rPr>
        <w:t>septembrie</w:t>
      </w:r>
      <w:r w:rsidRPr="00315335">
        <w:rPr>
          <w:rFonts w:ascii="Arial" w:hAnsi="Arial" w:cs="Arial"/>
          <w:sz w:val="24"/>
          <w:szCs w:val="24"/>
        </w:rPr>
        <w:t xml:space="preserve"> 2018 d</w:t>
      </w:r>
      <w:r w:rsidRPr="00315335">
        <w:rPr>
          <w:rFonts w:ascii="Arial" w:hAnsi="Arial" w:cs="Arial"/>
          <w:sz w:val="24"/>
          <w:szCs w:val="24"/>
          <w:lang w:eastAsia="zh-CN"/>
        </w:rPr>
        <w:t xml:space="preserve">ebitele la intrarea în ţară (secţiunea Baziaş) au fost în creştere, de la valoarea de 2500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înregistrată în prima zi a lunii</w:t>
      </w:r>
      <w:r w:rsidRPr="00315335">
        <w:rPr>
          <w:rFonts w:ascii="Arial" w:hAnsi="Arial" w:cs="Arial"/>
          <w:sz w:val="24"/>
          <w:szCs w:val="24"/>
          <w:lang w:eastAsia="x-none"/>
        </w:rPr>
        <w:t xml:space="preserve"> până la valoarea de 3500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intervalul 9-11 septembrie (valoarea maximă lunară), apoi în scădere uşoară până la valoarea de 2200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ultima zi a lunii.</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rPr>
        <w:t xml:space="preserve">În luna </w:t>
      </w:r>
      <w:r w:rsidRPr="00315335">
        <w:rPr>
          <w:rFonts w:ascii="Arial" w:hAnsi="Arial" w:cs="Arial"/>
          <w:b/>
          <w:sz w:val="24"/>
          <w:szCs w:val="24"/>
        </w:rPr>
        <w:t>octombrie</w:t>
      </w:r>
      <w:r w:rsidRPr="00315335">
        <w:rPr>
          <w:rFonts w:ascii="Arial" w:hAnsi="Arial" w:cs="Arial"/>
          <w:sz w:val="24"/>
          <w:szCs w:val="24"/>
        </w:rPr>
        <w:t xml:space="preserve"> 2018 d</w:t>
      </w:r>
      <w:r w:rsidRPr="00315335">
        <w:rPr>
          <w:rFonts w:ascii="Arial" w:hAnsi="Arial" w:cs="Arial"/>
          <w:sz w:val="24"/>
          <w:szCs w:val="24"/>
          <w:lang w:eastAsia="zh-CN"/>
        </w:rPr>
        <w:t xml:space="preserve">ebitele la intrarea în ţară (secţiunea Baziaş) au fost în scădere uşoară de la valoarea de 2300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înregistrată în prima zi a lunii</w:t>
      </w:r>
      <w:r w:rsidRPr="00315335">
        <w:rPr>
          <w:rFonts w:ascii="Arial" w:hAnsi="Arial" w:cs="Arial"/>
          <w:sz w:val="24"/>
          <w:szCs w:val="24"/>
          <w:lang w:eastAsia="x-none"/>
        </w:rPr>
        <w:t xml:space="preserve"> (valoarea maximă lunară), până la valoarea de 1850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intervalul 21-30 octombrie (valoarea minimă lunară), apoi în creştere uşoară până la valoarea de 2050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ultima zi a lunii.</w:t>
      </w:r>
    </w:p>
    <w:p w:rsidR="00643CB5" w:rsidRPr="00315335" w:rsidRDefault="00643CB5" w:rsidP="00643CB5">
      <w:pPr>
        <w:spacing w:after="0" w:line="240" w:lineRule="auto"/>
        <w:ind w:firstLine="708"/>
        <w:jc w:val="both"/>
        <w:rPr>
          <w:rFonts w:ascii="Arial" w:hAnsi="Arial" w:cs="Arial"/>
          <w:sz w:val="24"/>
          <w:szCs w:val="24"/>
          <w:lang w:eastAsia="x-none"/>
        </w:rPr>
      </w:pPr>
      <w:r w:rsidRPr="00315335">
        <w:rPr>
          <w:rFonts w:ascii="Arial" w:hAnsi="Arial" w:cs="Arial"/>
          <w:sz w:val="24"/>
          <w:szCs w:val="24"/>
          <w:lang w:eastAsia="x-none"/>
        </w:rPr>
        <w:t xml:space="preserve">În luna </w:t>
      </w:r>
      <w:r w:rsidRPr="00315335">
        <w:rPr>
          <w:rFonts w:ascii="Arial" w:hAnsi="Arial" w:cs="Arial"/>
          <w:b/>
          <w:sz w:val="24"/>
          <w:szCs w:val="24"/>
          <w:lang w:eastAsia="x-none"/>
        </w:rPr>
        <w:t>noiembrie</w:t>
      </w:r>
      <w:r w:rsidRPr="00315335">
        <w:rPr>
          <w:rFonts w:ascii="Arial" w:hAnsi="Arial" w:cs="Arial"/>
          <w:sz w:val="24"/>
          <w:szCs w:val="24"/>
          <w:lang w:eastAsia="x-none"/>
        </w:rPr>
        <w:t xml:space="preserve"> 2018 d</w:t>
      </w:r>
      <w:r w:rsidRPr="00315335">
        <w:rPr>
          <w:rFonts w:ascii="Arial" w:hAnsi="Arial" w:cs="Arial"/>
          <w:sz w:val="24"/>
          <w:szCs w:val="24"/>
          <w:lang w:eastAsia="zh-CN"/>
        </w:rPr>
        <w:t xml:space="preserve">ebitele la intrarea în ţară (secţiunea Baziaş) au fost în creştere de la valoarea de 2400 </w:t>
      </w:r>
      <w:r w:rsidRPr="00315335">
        <w:rPr>
          <w:rFonts w:ascii="Arial" w:hAnsi="Arial" w:cs="Arial"/>
          <w:sz w:val="24"/>
          <w:szCs w:val="24"/>
          <w:lang w:eastAsia="x-none"/>
        </w:rPr>
        <w:t>m</w:t>
      </w:r>
      <w:r w:rsidRPr="00315335">
        <w:rPr>
          <w:rFonts w:ascii="Arial" w:hAnsi="Arial" w:cs="Arial"/>
          <w:sz w:val="24"/>
          <w:szCs w:val="24"/>
          <w:vertAlign w:val="superscript"/>
          <w:lang w:eastAsia="x-none"/>
        </w:rPr>
        <w:t>3</w:t>
      </w:r>
      <w:r w:rsidRPr="00315335">
        <w:rPr>
          <w:rFonts w:ascii="Arial" w:hAnsi="Arial" w:cs="Arial"/>
          <w:sz w:val="24"/>
          <w:szCs w:val="24"/>
          <w:lang w:eastAsia="x-none"/>
        </w:rPr>
        <w:t xml:space="preserve">/s </w:t>
      </w:r>
      <w:r w:rsidRPr="00315335">
        <w:rPr>
          <w:rFonts w:ascii="Arial" w:hAnsi="Arial" w:cs="Arial"/>
          <w:sz w:val="24"/>
          <w:szCs w:val="24"/>
          <w:lang w:eastAsia="zh-CN"/>
        </w:rPr>
        <w:t>înregistrată în prima zi a lunii</w:t>
      </w:r>
      <w:r w:rsidRPr="00315335">
        <w:rPr>
          <w:rFonts w:ascii="Arial" w:hAnsi="Arial" w:cs="Arial"/>
          <w:sz w:val="24"/>
          <w:szCs w:val="24"/>
          <w:lang w:eastAsia="x-none"/>
        </w:rPr>
        <w:t xml:space="preserve"> până la valoarea de 4000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data de 7 noiembrie (valoarea maximă lunară), în scădere până la valoarea de 2350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intervalul 22-23 noiembrie (valoarea minimă lunară), apoi în uşoară creştere până la 2600 m</w:t>
      </w:r>
      <w:r w:rsidRPr="00315335">
        <w:rPr>
          <w:rFonts w:ascii="Arial" w:hAnsi="Arial" w:cs="Arial"/>
          <w:sz w:val="24"/>
          <w:szCs w:val="24"/>
          <w:vertAlign w:val="superscript"/>
          <w:lang w:eastAsia="x-none"/>
        </w:rPr>
        <w:t>3</w:t>
      </w:r>
      <w:r w:rsidRPr="00315335">
        <w:rPr>
          <w:rFonts w:ascii="Arial" w:hAnsi="Arial" w:cs="Arial"/>
          <w:sz w:val="24"/>
          <w:szCs w:val="24"/>
          <w:lang w:eastAsia="x-none"/>
        </w:rPr>
        <w:t>/s în ultima zi a lunii.</w:t>
      </w:r>
    </w:p>
    <w:p w:rsidR="00643CB5" w:rsidRPr="00315335" w:rsidRDefault="00643CB5" w:rsidP="00643CB5">
      <w:pPr>
        <w:spacing w:after="0" w:line="240" w:lineRule="auto"/>
        <w:jc w:val="both"/>
        <w:rPr>
          <w:rFonts w:ascii="Arial" w:hAnsi="Arial" w:cs="Arial"/>
          <w:lang w:eastAsia="zh-CN"/>
        </w:rPr>
      </w:pPr>
    </w:p>
    <w:p w:rsidR="00643CB5" w:rsidRPr="00315335" w:rsidRDefault="00643CB5" w:rsidP="00643CB5">
      <w:pPr>
        <w:spacing w:after="0" w:line="240" w:lineRule="auto"/>
        <w:jc w:val="both"/>
        <w:rPr>
          <w:rFonts w:ascii="Arial" w:hAnsi="Arial" w:cs="Arial"/>
          <w:b/>
          <w:i/>
          <w:sz w:val="24"/>
          <w:szCs w:val="24"/>
        </w:rPr>
      </w:pPr>
      <w:r w:rsidRPr="00315335">
        <w:rPr>
          <w:rFonts w:ascii="Arial" w:hAnsi="Arial" w:cs="Arial"/>
          <w:b/>
          <w:i/>
          <w:sz w:val="24"/>
          <w:szCs w:val="24"/>
        </w:rPr>
        <w:t>Caracterizarea regimului hidrologic al Dunării în luna decembrie 2018</w:t>
      </w:r>
    </w:p>
    <w:p w:rsidR="00643CB5" w:rsidRPr="00315335" w:rsidRDefault="00643CB5" w:rsidP="00643CB5">
      <w:pPr>
        <w:pStyle w:val="Textsimplu"/>
        <w:ind w:firstLine="708"/>
        <w:jc w:val="both"/>
        <w:rPr>
          <w:rFonts w:ascii="Arial" w:hAnsi="Arial" w:cs="Arial"/>
        </w:rPr>
      </w:pPr>
      <w:r w:rsidRPr="00315335">
        <w:rPr>
          <w:rFonts w:ascii="Arial" w:hAnsi="Arial" w:cs="Arial"/>
          <w:sz w:val="24"/>
          <w:szCs w:val="24"/>
          <w:lang w:val="ro-RO" w:eastAsia="zh-CN"/>
        </w:rPr>
        <w:t xml:space="preserve">Ȋn luna decembrie 2018 debitele la intrarea în ţară (secţiunea Baziaş) au fost în creştere de la valoarea de 2800 </w:t>
      </w:r>
      <w:r w:rsidRPr="00315335">
        <w:rPr>
          <w:rFonts w:ascii="Arial" w:hAnsi="Arial" w:cs="Arial"/>
          <w:sz w:val="24"/>
          <w:szCs w:val="24"/>
          <w:lang w:val="ro-RO"/>
        </w:rPr>
        <w:t>m</w:t>
      </w:r>
      <w:r w:rsidRPr="00315335">
        <w:rPr>
          <w:rFonts w:ascii="Arial" w:hAnsi="Arial" w:cs="Arial"/>
          <w:sz w:val="24"/>
          <w:szCs w:val="24"/>
          <w:vertAlign w:val="superscript"/>
          <w:lang w:val="ro-RO"/>
        </w:rPr>
        <w:t>3</w:t>
      </w:r>
      <w:r w:rsidRPr="00315335">
        <w:rPr>
          <w:rFonts w:ascii="Arial" w:hAnsi="Arial" w:cs="Arial"/>
          <w:sz w:val="24"/>
          <w:szCs w:val="24"/>
          <w:lang w:val="ro-RO"/>
        </w:rPr>
        <w:t xml:space="preserve">/s (valoarea minimă lunară) </w:t>
      </w:r>
      <w:r w:rsidRPr="00315335">
        <w:rPr>
          <w:rFonts w:ascii="Arial" w:hAnsi="Arial" w:cs="Arial"/>
          <w:sz w:val="24"/>
          <w:szCs w:val="24"/>
          <w:lang w:val="ro-RO" w:eastAsia="zh-CN"/>
        </w:rPr>
        <w:t>înregistrată în prima zi a lunii</w:t>
      </w:r>
      <w:r w:rsidRPr="00315335">
        <w:rPr>
          <w:rFonts w:ascii="Arial" w:hAnsi="Arial" w:cs="Arial"/>
          <w:sz w:val="24"/>
          <w:szCs w:val="24"/>
          <w:lang w:val="ro-RO"/>
        </w:rPr>
        <w:t xml:space="preserve"> până la valoarea de 3400 m</w:t>
      </w:r>
      <w:r w:rsidRPr="00315335">
        <w:rPr>
          <w:rFonts w:ascii="Arial" w:hAnsi="Arial" w:cs="Arial"/>
          <w:sz w:val="24"/>
          <w:szCs w:val="24"/>
          <w:vertAlign w:val="superscript"/>
          <w:lang w:val="ro-RO"/>
        </w:rPr>
        <w:t>3</w:t>
      </w:r>
      <w:r w:rsidRPr="00315335">
        <w:rPr>
          <w:rFonts w:ascii="Arial" w:hAnsi="Arial" w:cs="Arial"/>
          <w:sz w:val="24"/>
          <w:szCs w:val="24"/>
          <w:lang w:val="ro-RO"/>
        </w:rPr>
        <w:t>/s în zilele de 4 şi 5 decembrie, în scădere până la valoarea de 2900 m</w:t>
      </w:r>
      <w:r w:rsidRPr="00315335">
        <w:rPr>
          <w:rFonts w:ascii="Arial" w:hAnsi="Arial" w:cs="Arial"/>
          <w:sz w:val="24"/>
          <w:szCs w:val="24"/>
          <w:vertAlign w:val="superscript"/>
          <w:lang w:val="ro-RO"/>
        </w:rPr>
        <w:t>3</w:t>
      </w:r>
      <w:r w:rsidRPr="00315335">
        <w:rPr>
          <w:rFonts w:ascii="Arial" w:hAnsi="Arial" w:cs="Arial"/>
          <w:sz w:val="24"/>
          <w:szCs w:val="24"/>
          <w:lang w:val="ro-RO"/>
        </w:rPr>
        <w:t>/s în data de 8 decembrie, în creştere la valoarea de 3600 m</w:t>
      </w:r>
      <w:r w:rsidRPr="00315335">
        <w:rPr>
          <w:rFonts w:ascii="Arial" w:hAnsi="Arial" w:cs="Arial"/>
          <w:sz w:val="24"/>
          <w:szCs w:val="24"/>
          <w:vertAlign w:val="superscript"/>
          <w:lang w:val="ro-RO"/>
        </w:rPr>
        <w:t>3</w:t>
      </w:r>
      <w:r w:rsidRPr="00315335">
        <w:rPr>
          <w:rFonts w:ascii="Arial" w:hAnsi="Arial" w:cs="Arial"/>
          <w:sz w:val="24"/>
          <w:szCs w:val="24"/>
          <w:lang w:val="ro-RO"/>
        </w:rPr>
        <w:t>/s (în data de 18 decembrie, în scădere uşoară până la 3100 m</w:t>
      </w:r>
      <w:r w:rsidRPr="00315335">
        <w:rPr>
          <w:rFonts w:ascii="Arial" w:hAnsi="Arial" w:cs="Arial"/>
          <w:sz w:val="24"/>
          <w:szCs w:val="24"/>
          <w:vertAlign w:val="superscript"/>
          <w:lang w:val="ro-RO"/>
        </w:rPr>
        <w:t>3</w:t>
      </w:r>
      <w:r w:rsidRPr="00315335">
        <w:rPr>
          <w:rFonts w:ascii="Arial" w:hAnsi="Arial" w:cs="Arial"/>
          <w:sz w:val="24"/>
          <w:szCs w:val="24"/>
          <w:lang w:val="ro-RO"/>
        </w:rPr>
        <w:t>/s în intervalul 23-26 decembrie şi apoi în creştere până la valoarea maximă a lunii decembrie 2018 de 4900 m</w:t>
      </w:r>
      <w:r w:rsidRPr="00315335">
        <w:rPr>
          <w:rFonts w:ascii="Arial" w:hAnsi="Arial" w:cs="Arial"/>
          <w:sz w:val="24"/>
          <w:szCs w:val="24"/>
          <w:vertAlign w:val="superscript"/>
          <w:lang w:val="ro-RO"/>
        </w:rPr>
        <w:t>3</w:t>
      </w:r>
      <w:r w:rsidRPr="00315335">
        <w:rPr>
          <w:rFonts w:ascii="Arial" w:hAnsi="Arial" w:cs="Arial"/>
          <w:sz w:val="24"/>
          <w:szCs w:val="24"/>
          <w:lang w:val="ro-RO"/>
        </w:rPr>
        <w:t>/s în ultima zi a lunii.</w:t>
      </w:r>
    </w:p>
    <w:p w:rsidR="00643CB5" w:rsidRPr="00315335" w:rsidRDefault="00643CB5" w:rsidP="00643CB5">
      <w:pPr>
        <w:pStyle w:val="Default"/>
        <w:jc w:val="both"/>
        <w:rPr>
          <w:rFonts w:ascii="Arial" w:hAnsi="Arial" w:cs="Arial"/>
          <w:color w:val="auto"/>
        </w:rPr>
      </w:pPr>
    </w:p>
    <w:p w:rsidR="00BA6E19" w:rsidRDefault="00643CB5" w:rsidP="00643CB5">
      <w:pPr>
        <w:pStyle w:val="Default"/>
        <w:jc w:val="both"/>
        <w:rPr>
          <w:rFonts w:ascii="Arial" w:hAnsi="Arial" w:cs="Arial"/>
          <w:b/>
          <w:bCs/>
          <w:color w:val="auto"/>
        </w:rPr>
      </w:pPr>
      <w:r w:rsidRPr="00315335">
        <w:rPr>
          <w:rFonts w:ascii="Arial" w:hAnsi="Arial" w:cs="Arial"/>
          <w:b/>
          <w:bCs/>
          <w:color w:val="auto"/>
        </w:rPr>
        <w:t xml:space="preserve">         </w:t>
      </w:r>
    </w:p>
    <w:p w:rsidR="00BA6E19" w:rsidRDefault="00BA6E19" w:rsidP="00643CB5">
      <w:pPr>
        <w:pStyle w:val="Default"/>
        <w:jc w:val="both"/>
        <w:rPr>
          <w:rFonts w:ascii="Arial" w:hAnsi="Arial" w:cs="Arial"/>
          <w:b/>
          <w:bCs/>
          <w:color w:val="auto"/>
        </w:rPr>
      </w:pPr>
    </w:p>
    <w:p w:rsidR="00643CB5" w:rsidRPr="00315335" w:rsidRDefault="00643CB5" w:rsidP="00643CB5">
      <w:pPr>
        <w:pStyle w:val="Default"/>
        <w:jc w:val="both"/>
        <w:rPr>
          <w:rFonts w:ascii="Arial" w:hAnsi="Arial" w:cs="Arial"/>
          <w:color w:val="auto"/>
        </w:rPr>
      </w:pPr>
      <w:r w:rsidRPr="00315335">
        <w:rPr>
          <w:rFonts w:ascii="Arial" w:hAnsi="Arial" w:cs="Arial"/>
          <w:b/>
          <w:bCs/>
          <w:color w:val="auto"/>
        </w:rPr>
        <w:lastRenderedPageBreak/>
        <w:t xml:space="preserve"> II.1.1.4. Schimbări hidromorfologice ale cursurilor de apă </w:t>
      </w:r>
    </w:p>
    <w:p w:rsidR="00643CB5" w:rsidRPr="00315335" w:rsidRDefault="00643CB5" w:rsidP="00643CB5">
      <w:pPr>
        <w:pStyle w:val="Default"/>
        <w:ind w:firstLine="708"/>
        <w:jc w:val="both"/>
        <w:rPr>
          <w:rFonts w:ascii="Arial" w:hAnsi="Arial" w:cs="Arial"/>
          <w:color w:val="auto"/>
        </w:rPr>
      </w:pPr>
      <w:r w:rsidRPr="00315335">
        <w:rPr>
          <w:rFonts w:ascii="Arial" w:hAnsi="Arial" w:cs="Arial"/>
          <w:color w:val="auto"/>
        </w:rPr>
        <w:t xml:space="preserve">Modificările caracteristicilor hidromorfologice ale cursurilor de apă (schimbări ale cursurilor naturale, schimbări ale regimului hidrologic, deteriorarea biodiversităţii acvatice, etc.) sunt rezultatul prezenței presiunilor hidromorfologice care produc un impact asupra stării ecosistemelor acvatice şi pot contribui la neatingerea obiectivelor de mediu ale corpurilor de apă. </w:t>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 xml:space="preserve">Conform Directivei Cadru Apă 2000/60/CE, corpurile de apă puternic modificate sunt acele corpuri de apă de suprafaţă care datorită „alterărilor fizice” şi-au schimbat substanţial caracterul lor natural. Alterarea trebuie să fie profundă, permanentă şi să afecteze la scară largă. </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 xml:space="preserve">Conform Art. 2.8 din Directiva Cadru a Apei, corpurile de apă artificiale sunt corpurile de apă de suprafaţă create prin activitatea umană. </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Corpurile de apă puternic modificate si corpurile de apă artificiale au ca obiectiv atingerea unui „potenţial ecologic bun”, precum şi atingerea „stării chimice bune”.</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Un corp de apă a fost încadrat în categoria corpurilor de apă puternic modificate dacă nu este în stare ecologică bună, consecinţă a alterărilor hidromorfologice potențial semnificative, şi a parcurs toate etapele din testul de desemnare, conform cerințelor art. 4.3 al Directivei Cadru Apă.</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Construcţiile hidrotehnice cu barare transversală (baraje, stavilare, praguri de fund) întrerup conectivitatea longitudinală a râurilor cu efecte asupra regimului hidrologic, transportului de sedimente, dar mai ales asupra migrării biotei. Lucrările în lungul râului (îndiguirile, lucrări de regularizare şi consolidare maluri) întrerup conectivitatea laterală a corpurilor de apă cu luncile inundabile şi zonele de reproducere ce au ca rezultat deteriorarea stării. Prelevările şi restituţiile semnificative au efecte asupra regimului hidrologic, dar şi asupra biotei.</w:t>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ab/>
        <w:t xml:space="preserve">Astfel, impactul alterărilor hidromorfologice asupra stării corpurilor de apă se poate exprima prin afectarea migrării speciilor de peşti migratori, declinul reproducerii naturale a populaţiilor de peşti, reducerea biodiversităţii şi abundenţei speciilor, precum şi alterarea compoziţiei populaţiilor. </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În tabelul următor se prezintă evoluţia procentuală a clasificării corpurilor de apă, la nivel naţional, pentru o perioadă de zece ani (2004-2013), observându-se că predomină corpurile de apă naturale.</w:t>
      </w:r>
    </w:p>
    <w:p w:rsidR="00643CB5" w:rsidRPr="00315335" w:rsidRDefault="00643CB5" w:rsidP="00643CB5">
      <w:pPr>
        <w:pStyle w:val="Default"/>
        <w:ind w:firstLine="708"/>
        <w:jc w:val="both"/>
        <w:rPr>
          <w:rFonts w:ascii="Arial" w:hAnsi="Arial" w:cs="Arial"/>
          <w:color w:val="auto"/>
        </w:rPr>
      </w:pPr>
      <w:r w:rsidRPr="00315335">
        <w:rPr>
          <w:rFonts w:ascii="Arial" w:hAnsi="Arial" w:cs="Arial"/>
          <w:color w:val="auto"/>
        </w:rPr>
        <w:t xml:space="preserve">Numărul total al corpurilor de apă s-a modificat având în vedere aplicarea criteriilor din Planurile de management ale bazinelor/spațiilor hidrografice, aprobate prin HG nr. 80 pentru aprobarea Planului naţional de management aferent porţiunii din bazinul hidrografic internaţional al fluviului Dunărea care este cuprinsă în teritoriul României și HG nr. 859/2016 pentru aprobarea Planului naţional de management actualizat aferent porţiunii din bazinul hidrografic internaţional al fluviului Dunărea care este cuprinsă în teritoriul României. </w:t>
      </w:r>
    </w:p>
    <w:p w:rsidR="00643CB5" w:rsidRPr="00315335" w:rsidRDefault="00643CB5" w:rsidP="00643CB5">
      <w:pPr>
        <w:pStyle w:val="Default"/>
        <w:ind w:firstLine="708"/>
        <w:jc w:val="both"/>
        <w:rPr>
          <w:rFonts w:ascii="Arial" w:hAnsi="Arial" w:cs="Arial"/>
          <w:color w:val="auto"/>
        </w:rPr>
      </w:pP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 xml:space="preserve">      </w:t>
      </w:r>
      <w:r w:rsidRPr="00315335">
        <w:rPr>
          <w:rFonts w:ascii="Arial" w:hAnsi="Arial" w:cs="Arial"/>
          <w:b/>
          <w:sz w:val="24"/>
          <w:szCs w:val="24"/>
        </w:rPr>
        <w:t>Tabel II.1.1.4.1.</w:t>
      </w:r>
      <w:r w:rsidRPr="00315335">
        <w:rPr>
          <w:rFonts w:ascii="Arial" w:hAnsi="Arial" w:cs="Arial"/>
          <w:sz w:val="24"/>
          <w:szCs w:val="24"/>
        </w:rPr>
        <w:t xml:space="preserve"> Clasificarea corpurilor de apă la nivel național în perioada 2004-2018</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2046"/>
        <w:gridCol w:w="1858"/>
        <w:gridCol w:w="1858"/>
        <w:gridCol w:w="1467"/>
      </w:tblGrid>
      <w:tr w:rsidR="00315335" w:rsidRPr="00315335" w:rsidTr="00916B06">
        <w:trPr>
          <w:trHeight w:val="433"/>
          <w:jc w:val="center"/>
        </w:trPr>
        <w:tc>
          <w:tcPr>
            <w:tcW w:w="1276" w:type="dxa"/>
            <w:vMerge w:val="restart"/>
            <w:shd w:val="clear" w:color="auto" w:fill="B6DDE8"/>
          </w:tcPr>
          <w:p w:rsidR="00643CB5" w:rsidRPr="00315335" w:rsidRDefault="00643CB5" w:rsidP="00916B06">
            <w:pPr>
              <w:pStyle w:val="Default"/>
              <w:jc w:val="both"/>
              <w:rPr>
                <w:rFonts w:ascii="Arial" w:hAnsi="Arial" w:cs="Arial"/>
                <w:b/>
                <w:color w:val="auto"/>
              </w:rPr>
            </w:pPr>
            <w:r w:rsidRPr="00315335">
              <w:rPr>
                <w:rFonts w:ascii="Arial" w:hAnsi="Arial" w:cs="Arial"/>
                <w:b/>
                <w:color w:val="auto"/>
              </w:rPr>
              <w:t>Anul</w:t>
            </w:r>
          </w:p>
        </w:tc>
        <w:tc>
          <w:tcPr>
            <w:tcW w:w="7229" w:type="dxa"/>
            <w:gridSpan w:val="4"/>
            <w:shd w:val="clear" w:color="auto" w:fill="B6DDE8"/>
          </w:tcPr>
          <w:p w:rsidR="00643CB5" w:rsidRPr="00315335" w:rsidRDefault="00643CB5" w:rsidP="00916B06">
            <w:pPr>
              <w:pStyle w:val="Default"/>
              <w:jc w:val="both"/>
              <w:rPr>
                <w:rFonts w:ascii="Arial" w:hAnsi="Arial" w:cs="Arial"/>
                <w:b/>
                <w:color w:val="auto"/>
              </w:rPr>
            </w:pPr>
            <w:r w:rsidRPr="00315335">
              <w:rPr>
                <w:rFonts w:ascii="Arial" w:hAnsi="Arial" w:cs="Arial"/>
                <w:b/>
                <w:color w:val="auto"/>
              </w:rPr>
              <w:t>Categoria corpului de apă</w:t>
            </w:r>
          </w:p>
        </w:tc>
      </w:tr>
      <w:tr w:rsidR="00315335" w:rsidRPr="00315335" w:rsidTr="00916B06">
        <w:trPr>
          <w:jc w:val="center"/>
        </w:trPr>
        <w:tc>
          <w:tcPr>
            <w:tcW w:w="1276" w:type="dxa"/>
            <w:vMerge/>
            <w:shd w:val="clear" w:color="auto" w:fill="B6DDE8"/>
          </w:tcPr>
          <w:p w:rsidR="00643CB5" w:rsidRPr="00315335" w:rsidRDefault="00643CB5" w:rsidP="00916B06">
            <w:pPr>
              <w:pStyle w:val="Default"/>
              <w:jc w:val="both"/>
              <w:rPr>
                <w:rFonts w:ascii="Arial" w:hAnsi="Arial" w:cs="Arial"/>
                <w:color w:val="auto"/>
              </w:rPr>
            </w:pPr>
          </w:p>
        </w:tc>
        <w:tc>
          <w:tcPr>
            <w:tcW w:w="2046" w:type="dxa"/>
            <w:shd w:val="clear" w:color="auto" w:fill="B6DDE8"/>
          </w:tcPr>
          <w:p w:rsidR="00643CB5" w:rsidRPr="00315335" w:rsidRDefault="00643CB5" w:rsidP="00916B06">
            <w:pPr>
              <w:pStyle w:val="Default"/>
              <w:jc w:val="both"/>
              <w:rPr>
                <w:rFonts w:ascii="Arial" w:hAnsi="Arial" w:cs="Arial"/>
                <w:b/>
                <w:color w:val="auto"/>
              </w:rPr>
            </w:pPr>
            <w:r w:rsidRPr="00315335">
              <w:rPr>
                <w:rFonts w:ascii="Arial" w:hAnsi="Arial" w:cs="Arial"/>
                <w:b/>
                <w:color w:val="auto"/>
              </w:rPr>
              <w:t>% nr. corpuri de apă naturale</w:t>
            </w:r>
          </w:p>
        </w:tc>
        <w:tc>
          <w:tcPr>
            <w:tcW w:w="1858" w:type="dxa"/>
            <w:shd w:val="clear" w:color="auto" w:fill="B6DDE8"/>
          </w:tcPr>
          <w:p w:rsidR="00643CB5" w:rsidRPr="00315335" w:rsidRDefault="00643CB5" w:rsidP="00916B06">
            <w:pPr>
              <w:pStyle w:val="Default"/>
              <w:jc w:val="both"/>
              <w:rPr>
                <w:rFonts w:ascii="Arial" w:hAnsi="Arial" w:cs="Arial"/>
                <w:b/>
                <w:color w:val="auto"/>
              </w:rPr>
            </w:pPr>
            <w:r w:rsidRPr="00315335">
              <w:rPr>
                <w:rFonts w:ascii="Arial" w:hAnsi="Arial" w:cs="Arial"/>
                <w:b/>
                <w:color w:val="auto"/>
              </w:rPr>
              <w:t>% nr. corpuri de apă artificiale</w:t>
            </w:r>
          </w:p>
        </w:tc>
        <w:tc>
          <w:tcPr>
            <w:tcW w:w="1858" w:type="dxa"/>
            <w:shd w:val="clear" w:color="auto" w:fill="B6DDE8"/>
          </w:tcPr>
          <w:p w:rsidR="00643CB5" w:rsidRPr="00315335" w:rsidRDefault="00643CB5" w:rsidP="00916B06">
            <w:pPr>
              <w:pStyle w:val="Default"/>
              <w:jc w:val="both"/>
              <w:rPr>
                <w:rFonts w:ascii="Arial" w:hAnsi="Arial" w:cs="Arial"/>
                <w:b/>
                <w:color w:val="auto"/>
              </w:rPr>
            </w:pPr>
            <w:r w:rsidRPr="00315335">
              <w:rPr>
                <w:rFonts w:ascii="Arial" w:hAnsi="Arial" w:cs="Arial"/>
                <w:b/>
                <w:color w:val="auto"/>
              </w:rPr>
              <w:t>% nr. corpuri de apă puternic modificate</w:t>
            </w:r>
          </w:p>
        </w:tc>
        <w:tc>
          <w:tcPr>
            <w:tcW w:w="1467" w:type="dxa"/>
            <w:shd w:val="clear" w:color="auto" w:fill="B6DDE8"/>
          </w:tcPr>
          <w:p w:rsidR="00643CB5" w:rsidRPr="00315335" w:rsidRDefault="00643CB5" w:rsidP="00916B06">
            <w:pPr>
              <w:pStyle w:val="Default"/>
              <w:jc w:val="both"/>
              <w:rPr>
                <w:rFonts w:ascii="Arial" w:hAnsi="Arial" w:cs="Arial"/>
                <w:b/>
                <w:color w:val="auto"/>
              </w:rPr>
            </w:pPr>
            <w:r w:rsidRPr="00315335">
              <w:rPr>
                <w:rFonts w:ascii="Arial" w:hAnsi="Arial" w:cs="Arial"/>
                <w:b/>
                <w:color w:val="auto"/>
              </w:rPr>
              <w:t>Total</w:t>
            </w:r>
          </w:p>
        </w:tc>
      </w:tr>
      <w:tr w:rsidR="00315335" w:rsidRPr="00315335" w:rsidTr="00916B06">
        <w:trPr>
          <w:jc w:val="center"/>
        </w:trPr>
        <w:tc>
          <w:tcPr>
            <w:tcW w:w="127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2004</w:t>
            </w:r>
          </w:p>
        </w:tc>
        <w:tc>
          <w:tcPr>
            <w:tcW w:w="204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76,91</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2,07</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  21,03*</w:t>
            </w:r>
          </w:p>
        </w:tc>
        <w:tc>
          <w:tcPr>
            <w:tcW w:w="1467"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100</w:t>
            </w:r>
          </w:p>
        </w:tc>
      </w:tr>
      <w:tr w:rsidR="00315335" w:rsidRPr="00315335" w:rsidTr="00916B06">
        <w:trPr>
          <w:jc w:val="center"/>
        </w:trPr>
        <w:tc>
          <w:tcPr>
            <w:tcW w:w="127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2007</w:t>
            </w:r>
          </w:p>
        </w:tc>
        <w:tc>
          <w:tcPr>
            <w:tcW w:w="204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82,11</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2,79</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15,09</w:t>
            </w:r>
          </w:p>
        </w:tc>
        <w:tc>
          <w:tcPr>
            <w:tcW w:w="1467"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100</w:t>
            </w:r>
          </w:p>
        </w:tc>
      </w:tr>
      <w:tr w:rsidR="00315335" w:rsidRPr="00315335" w:rsidTr="00916B06">
        <w:trPr>
          <w:jc w:val="center"/>
        </w:trPr>
        <w:tc>
          <w:tcPr>
            <w:tcW w:w="127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2012</w:t>
            </w:r>
          </w:p>
        </w:tc>
        <w:tc>
          <w:tcPr>
            <w:tcW w:w="204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80,86</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3,01</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16,13</w:t>
            </w:r>
          </w:p>
        </w:tc>
        <w:tc>
          <w:tcPr>
            <w:tcW w:w="1467"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100</w:t>
            </w:r>
          </w:p>
        </w:tc>
      </w:tr>
      <w:tr w:rsidR="00315335" w:rsidRPr="00315335" w:rsidTr="00916B06">
        <w:trPr>
          <w:jc w:val="center"/>
        </w:trPr>
        <w:tc>
          <w:tcPr>
            <w:tcW w:w="127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2013</w:t>
            </w:r>
          </w:p>
        </w:tc>
        <w:tc>
          <w:tcPr>
            <w:tcW w:w="204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81,64</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2,43</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15,93</w:t>
            </w:r>
          </w:p>
        </w:tc>
        <w:tc>
          <w:tcPr>
            <w:tcW w:w="1467"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100</w:t>
            </w:r>
          </w:p>
        </w:tc>
      </w:tr>
      <w:tr w:rsidR="00315335" w:rsidRPr="00315335" w:rsidTr="00916B06">
        <w:trPr>
          <w:jc w:val="center"/>
        </w:trPr>
        <w:tc>
          <w:tcPr>
            <w:tcW w:w="127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2015</w:t>
            </w:r>
          </w:p>
        </w:tc>
        <w:tc>
          <w:tcPr>
            <w:tcW w:w="204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81,60</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2,28</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16,12</w:t>
            </w:r>
          </w:p>
        </w:tc>
        <w:tc>
          <w:tcPr>
            <w:tcW w:w="1467"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100</w:t>
            </w:r>
          </w:p>
        </w:tc>
      </w:tr>
      <w:tr w:rsidR="00315335" w:rsidRPr="00315335" w:rsidTr="00916B06">
        <w:trPr>
          <w:jc w:val="center"/>
        </w:trPr>
        <w:tc>
          <w:tcPr>
            <w:tcW w:w="127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2016</w:t>
            </w:r>
          </w:p>
        </w:tc>
        <w:tc>
          <w:tcPr>
            <w:tcW w:w="204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81,60</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2,28</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16,12</w:t>
            </w:r>
          </w:p>
        </w:tc>
        <w:tc>
          <w:tcPr>
            <w:tcW w:w="1467"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100</w:t>
            </w:r>
          </w:p>
        </w:tc>
      </w:tr>
      <w:tr w:rsidR="00315335" w:rsidRPr="00315335" w:rsidTr="00916B06">
        <w:trPr>
          <w:jc w:val="center"/>
        </w:trPr>
        <w:tc>
          <w:tcPr>
            <w:tcW w:w="127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2017</w:t>
            </w:r>
          </w:p>
        </w:tc>
        <w:tc>
          <w:tcPr>
            <w:tcW w:w="204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81,60</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2,28</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16,12</w:t>
            </w:r>
          </w:p>
        </w:tc>
        <w:tc>
          <w:tcPr>
            <w:tcW w:w="1467"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100</w:t>
            </w:r>
          </w:p>
        </w:tc>
      </w:tr>
      <w:tr w:rsidR="00315335" w:rsidRPr="00315335" w:rsidTr="00916B06">
        <w:trPr>
          <w:jc w:val="center"/>
        </w:trPr>
        <w:tc>
          <w:tcPr>
            <w:tcW w:w="127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2018</w:t>
            </w:r>
          </w:p>
        </w:tc>
        <w:tc>
          <w:tcPr>
            <w:tcW w:w="2046"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81,60</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2,28</w:t>
            </w:r>
          </w:p>
        </w:tc>
        <w:tc>
          <w:tcPr>
            <w:tcW w:w="1858"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16,12</w:t>
            </w:r>
          </w:p>
        </w:tc>
        <w:tc>
          <w:tcPr>
            <w:tcW w:w="1467" w:type="dxa"/>
            <w:shd w:val="clear" w:color="auto" w:fill="auto"/>
          </w:tcPr>
          <w:p w:rsidR="00643CB5" w:rsidRPr="00315335" w:rsidRDefault="00643CB5" w:rsidP="00916B06">
            <w:pPr>
              <w:pStyle w:val="Default"/>
              <w:jc w:val="both"/>
              <w:rPr>
                <w:rFonts w:ascii="Arial" w:hAnsi="Arial" w:cs="Arial"/>
                <w:color w:val="auto"/>
              </w:rPr>
            </w:pPr>
            <w:r w:rsidRPr="00315335">
              <w:rPr>
                <w:rFonts w:ascii="Arial" w:hAnsi="Arial" w:cs="Arial"/>
                <w:color w:val="auto"/>
              </w:rPr>
              <w:t>100</w:t>
            </w:r>
          </w:p>
        </w:tc>
      </w:tr>
    </w:tbl>
    <w:p w:rsidR="00643CB5" w:rsidRPr="00315335" w:rsidRDefault="00643CB5" w:rsidP="00643CB5">
      <w:pPr>
        <w:spacing w:after="0" w:line="240" w:lineRule="auto"/>
        <w:jc w:val="both"/>
        <w:rPr>
          <w:rFonts w:ascii="Arial" w:hAnsi="Arial" w:cs="Arial"/>
          <w:i/>
          <w:sz w:val="20"/>
          <w:szCs w:val="20"/>
        </w:rPr>
      </w:pPr>
      <w:r w:rsidRPr="00315335">
        <w:rPr>
          <w:rFonts w:ascii="Arial" w:hAnsi="Arial" w:cs="Arial"/>
          <w:i/>
          <w:sz w:val="24"/>
          <w:szCs w:val="24"/>
        </w:rPr>
        <w:t xml:space="preserve">* </w:t>
      </w:r>
      <w:r w:rsidRPr="00315335">
        <w:rPr>
          <w:rFonts w:ascii="Arial" w:hAnsi="Arial" w:cs="Arial"/>
          <w:i/>
          <w:sz w:val="20"/>
          <w:szCs w:val="20"/>
        </w:rPr>
        <w:t>inclusiv corpurile de apă considerate posibil a fi puternic modificate, conform nivelului de informații disponibile la acel moment (2004) (Sursa datelor: Administrația Națională „Apele Române”, rapoarte conform cerințelor art. 5 și 13 ale Directivei Cadru Apă 2000/60/CE)</w:t>
      </w:r>
    </w:p>
    <w:p w:rsidR="00643CB5" w:rsidRPr="00315335" w:rsidRDefault="00643CB5" w:rsidP="00643CB5">
      <w:pPr>
        <w:spacing w:after="0" w:line="240" w:lineRule="auto"/>
        <w:jc w:val="both"/>
        <w:rPr>
          <w:rFonts w:ascii="Arial" w:hAnsi="Arial" w:cs="Arial"/>
          <w:b/>
          <w:i/>
          <w:sz w:val="24"/>
          <w:szCs w:val="24"/>
        </w:rPr>
      </w:pPr>
      <w:r w:rsidRPr="00315335">
        <w:rPr>
          <w:rFonts w:ascii="Arial" w:hAnsi="Arial" w:cs="Arial"/>
          <w:b/>
          <w:i/>
          <w:sz w:val="24"/>
          <w:szCs w:val="24"/>
        </w:rPr>
        <w:lastRenderedPageBreak/>
        <w:t>Reactualizarea clasificării  și numărului corpurilor de apă se va realiza pentru pregătirea celui de-al treilea ciclu de planificare odată  cu aplicarea  cerințelor art. 13 al Directivei Cadru Apă 2000/60/CE.</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 xml:space="preserve">Criteriile pentru identificarea presiunilor hidromorfologice utilizate în Planul Național de Management aprobat prin H.G. nr.80/2011 (definite în cadrul Proiectului Regional UNDP-GEF al Dunării), au fost utilizate și în Planul Național de Management actualizat aprobat prin HG nr. 859/2016, ținând cont de intensitatea presiunii, stabilită pe baza unor parametri abiotici, precum și efectul acestora asupra biotei. Astfel, în cadrul celui de-al doilea Plan Național de Management al bazinelor/spațiilor hidrografice din România au fost inventariate tipurile de presiuni hidromorfologice potențial semnificative identificate la nivel naţional, datorate următoarelor categorii de lucrări: </w:t>
      </w:r>
    </w:p>
    <w:p w:rsidR="00643CB5" w:rsidRPr="00315335" w:rsidRDefault="00643CB5" w:rsidP="00E14739">
      <w:pPr>
        <w:pStyle w:val="Listparagraf"/>
        <w:numPr>
          <w:ilvl w:val="0"/>
          <w:numId w:val="45"/>
        </w:numPr>
        <w:jc w:val="both"/>
        <w:rPr>
          <w:rFonts w:ascii="Arial" w:hAnsi="Arial" w:cs="Arial"/>
        </w:rPr>
      </w:pPr>
      <w:r w:rsidRPr="00315335">
        <w:rPr>
          <w:rFonts w:ascii="Arial" w:hAnsi="Arial" w:cs="Arial"/>
        </w:rPr>
        <w:t>Lucrări de barare transversală situate pe corpul de apă – de tip baraje, praguri de fund, lacuri de acumulare cu suprafețe mai mari de 0,5 km</w:t>
      </w:r>
      <w:r w:rsidRPr="00315335">
        <w:rPr>
          <w:rFonts w:ascii="Arial" w:hAnsi="Arial" w:cs="Arial"/>
          <w:vertAlign w:val="superscript"/>
        </w:rPr>
        <w:t>2</w:t>
      </w:r>
      <w:r w:rsidRPr="00315335">
        <w:rPr>
          <w:rFonts w:ascii="Arial" w:hAnsi="Arial" w:cs="Arial"/>
        </w:rPr>
        <w:t>, cu efecte asupra regimului hidrologic, stabilității albiei, transportului sedimentelor și a migrării biotei, care întrerup conectivitatea longitudinală a corpului de apă;</w:t>
      </w:r>
    </w:p>
    <w:p w:rsidR="00643CB5" w:rsidRPr="00315335" w:rsidRDefault="00643CB5" w:rsidP="00E14739">
      <w:pPr>
        <w:pStyle w:val="Listparagraf"/>
        <w:numPr>
          <w:ilvl w:val="0"/>
          <w:numId w:val="45"/>
        </w:numPr>
        <w:jc w:val="both"/>
        <w:rPr>
          <w:rFonts w:ascii="Arial" w:hAnsi="Arial" w:cs="Arial"/>
        </w:rPr>
      </w:pPr>
      <w:r w:rsidRPr="00315335">
        <w:rPr>
          <w:rFonts w:ascii="Arial" w:hAnsi="Arial" w:cs="Arial"/>
        </w:rPr>
        <w:t>Lucrări în lungul râului - de tip diguri, amenajări agricole și piscicole, lucrări de regularizare și consolidare maluri, tăieri de meandre - cu efecte asupra vegetației din lunca inundabilă și a zonelor de reproducere și asupra profilului longitudinal al râului, structurii substratului și biotei, care conduc la pierderea conectivității laterale;</w:t>
      </w:r>
    </w:p>
    <w:p w:rsidR="00643CB5" w:rsidRPr="00315335" w:rsidRDefault="00643CB5" w:rsidP="00E14739">
      <w:pPr>
        <w:pStyle w:val="Listparagraf"/>
        <w:numPr>
          <w:ilvl w:val="0"/>
          <w:numId w:val="45"/>
        </w:numPr>
        <w:jc w:val="both"/>
        <w:rPr>
          <w:rFonts w:ascii="Arial" w:hAnsi="Arial" w:cs="Arial"/>
        </w:rPr>
      </w:pPr>
      <w:r w:rsidRPr="00315335">
        <w:rPr>
          <w:rFonts w:ascii="Arial" w:hAnsi="Arial" w:cs="Arial"/>
        </w:rPr>
        <w:t>Prelevări și restituții/ derivații - prize de apă, restituții folosințe (evacuări), derivații cu efecte asupra curgerii minime, stabilității albiei și biotei;</w:t>
      </w:r>
    </w:p>
    <w:p w:rsidR="00643CB5" w:rsidRPr="00315335" w:rsidRDefault="00643CB5" w:rsidP="00E14739">
      <w:pPr>
        <w:pStyle w:val="Listparagraf"/>
        <w:numPr>
          <w:ilvl w:val="0"/>
          <w:numId w:val="45"/>
        </w:numPr>
        <w:jc w:val="both"/>
        <w:rPr>
          <w:rFonts w:ascii="Arial" w:hAnsi="Arial" w:cs="Arial"/>
        </w:rPr>
      </w:pPr>
      <w:r w:rsidRPr="00315335">
        <w:rPr>
          <w:rFonts w:ascii="Arial" w:hAnsi="Arial" w:cs="Arial"/>
        </w:rPr>
        <w:t>Canale navigabile – cu efecte asupra stabilității albiei și biotei.</w:t>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Aceste lucrări au fost executate pe corpurile de apă în diverse scopuri, și anume: asigurarea cerinţei de apă, regularizarea debitelor naturale, apărarea împotriva efectelor distructive ale apelor, producerea energiei electrice, combaterea excesului de umiditate, etc, cu efecte funcţionale pentru comunităţile umane (alimentare cu apă potabilă şi industrială, irigaţii, etc.).</w:t>
      </w:r>
    </w:p>
    <w:p w:rsidR="00643CB5" w:rsidRPr="00315335" w:rsidRDefault="00643CB5" w:rsidP="00643CB5">
      <w:pPr>
        <w:spacing w:after="0" w:line="240" w:lineRule="auto"/>
        <w:ind w:firstLine="708"/>
        <w:jc w:val="both"/>
        <w:rPr>
          <w:rFonts w:ascii="Arial" w:hAnsi="Arial" w:cs="Arial"/>
          <w:i/>
          <w:sz w:val="24"/>
          <w:szCs w:val="24"/>
        </w:rPr>
      </w:pPr>
      <w:r w:rsidRPr="00315335">
        <w:rPr>
          <w:rFonts w:ascii="Arial" w:hAnsi="Arial" w:cs="Arial"/>
          <w:sz w:val="24"/>
          <w:szCs w:val="24"/>
        </w:rPr>
        <w:t>Potrivit Planului național de management actualizat, aprobat prin HG nr. 859/2016, s-a efectuat centralizarea la nivel naţional a presiunilor care afectează în mod semnificativ caracteristicile hidromorfologice ale corpurilor de apă .Astfel, la nivel național s-au identificat 1.960 presiuni hidromorfologice potențial semnificative. În urma aplicării procesului de validare a presiunilor potențial semnificative – alterări hidromorfologice cu atingerea obiectivelor de mediu de către corpurile de apă de suprafață, la nivel național s-a identificat un număr de 226 presiuni hidromorfologice semnificative</w:t>
      </w:r>
      <w:r w:rsidRPr="00315335">
        <w:rPr>
          <w:rFonts w:ascii="Arial" w:hAnsi="Arial" w:cs="Arial"/>
          <w:i/>
          <w:sz w:val="24"/>
          <w:szCs w:val="24"/>
        </w:rPr>
        <w:t>.</w:t>
      </w:r>
    </w:p>
    <w:p w:rsidR="00643CB5" w:rsidRPr="00315335" w:rsidRDefault="00643CB5" w:rsidP="00643CB5">
      <w:pPr>
        <w:pStyle w:val="Default"/>
        <w:jc w:val="both"/>
        <w:rPr>
          <w:rFonts w:ascii="Arial" w:hAnsi="Arial" w:cs="Arial"/>
          <w:b/>
          <w:bCs/>
          <w:color w:val="auto"/>
        </w:rPr>
      </w:pPr>
    </w:p>
    <w:p w:rsidR="00643CB5" w:rsidRPr="00315335" w:rsidRDefault="00643CB5" w:rsidP="00643CB5">
      <w:pPr>
        <w:pStyle w:val="Default"/>
        <w:jc w:val="both"/>
        <w:rPr>
          <w:rFonts w:ascii="Arial" w:hAnsi="Arial" w:cs="Arial"/>
          <w:b/>
          <w:color w:val="auto"/>
        </w:rPr>
      </w:pPr>
      <w:r w:rsidRPr="00315335">
        <w:rPr>
          <w:rFonts w:ascii="Arial" w:hAnsi="Arial" w:cs="Arial"/>
          <w:b/>
          <w:color w:val="auto"/>
        </w:rPr>
        <w:t>Clasificarea corpurilor de apă la nivelul județului Brăila</w:t>
      </w:r>
    </w:p>
    <w:p w:rsidR="00643CB5" w:rsidRPr="00315335" w:rsidRDefault="00643CB5" w:rsidP="00643CB5">
      <w:pPr>
        <w:pStyle w:val="Default"/>
        <w:ind w:firstLine="708"/>
        <w:jc w:val="both"/>
        <w:rPr>
          <w:rFonts w:ascii="Arial" w:hAnsi="Arial" w:cs="Arial"/>
          <w:color w:val="auto"/>
        </w:rPr>
      </w:pPr>
      <w:r w:rsidRPr="00315335">
        <w:rPr>
          <w:rFonts w:ascii="Arial" w:hAnsi="Arial" w:cs="Arial"/>
          <w:color w:val="auto"/>
        </w:rPr>
        <w:t xml:space="preserve">Apele curgătoare de pe teritoriul judeţului Brăila sunt reprezentate de fluviul Dunărea, râurile Siret, Buzău şi Călmăţui. Acestea se încadrează în </w:t>
      </w:r>
      <w:r w:rsidRPr="00315335">
        <w:rPr>
          <w:rFonts w:ascii="Arial" w:hAnsi="Arial" w:cs="Arial"/>
          <w:b/>
          <w:bCs/>
          <w:color w:val="auto"/>
        </w:rPr>
        <w:t>Categoria de corpuri de apă naturale/cvasinaturale.</w:t>
      </w:r>
      <w:r w:rsidRPr="00315335">
        <w:rPr>
          <w:rFonts w:ascii="Arial" w:hAnsi="Arial" w:cs="Arial"/>
          <w:color w:val="auto"/>
        </w:rPr>
        <w:t>Nu au existat presiuni care să afecteze în mod semnificativ caracteristicile hidromorfologice ale cursurilor de apă la nivelul județului Brăila, în anul 2018 și în anii anteriori.</w:t>
      </w:r>
    </w:p>
    <w:p w:rsidR="00643CB5" w:rsidRPr="00315335" w:rsidRDefault="00643CB5" w:rsidP="00643CB5">
      <w:pPr>
        <w:spacing w:after="0" w:line="240" w:lineRule="auto"/>
        <w:jc w:val="both"/>
        <w:rPr>
          <w:rFonts w:ascii="Arial" w:hAnsi="Arial" w:cs="Arial"/>
          <w:b/>
          <w:bCs/>
          <w:i/>
          <w:iCs/>
          <w:sz w:val="24"/>
          <w:szCs w:val="24"/>
          <w:u w:val="single"/>
        </w:rPr>
      </w:pPr>
    </w:p>
    <w:p w:rsidR="00643CB5" w:rsidRPr="00315335" w:rsidRDefault="00643CB5" w:rsidP="00643CB5">
      <w:pPr>
        <w:spacing w:after="0" w:line="240" w:lineRule="auto"/>
        <w:jc w:val="both"/>
        <w:rPr>
          <w:rFonts w:ascii="Arial" w:hAnsi="Arial" w:cs="Arial"/>
          <w:b/>
          <w:bCs/>
          <w:i/>
          <w:iCs/>
          <w:sz w:val="24"/>
          <w:szCs w:val="24"/>
          <w:u w:val="single"/>
        </w:rPr>
      </w:pPr>
      <w:r w:rsidRPr="00315335">
        <w:rPr>
          <w:rFonts w:ascii="Arial" w:hAnsi="Arial" w:cs="Arial"/>
          <w:b/>
          <w:bCs/>
          <w:i/>
          <w:iCs/>
          <w:sz w:val="24"/>
          <w:szCs w:val="24"/>
          <w:u w:val="single"/>
        </w:rPr>
        <w:t>II.1.2. Prognoze</w:t>
      </w:r>
    </w:p>
    <w:p w:rsidR="00643CB5" w:rsidRPr="00315335" w:rsidRDefault="00643CB5" w:rsidP="00643CB5">
      <w:pPr>
        <w:spacing w:after="0" w:line="240" w:lineRule="auto"/>
        <w:jc w:val="both"/>
        <w:rPr>
          <w:rFonts w:ascii="Arial" w:hAnsi="Arial" w:cs="Arial"/>
          <w:b/>
          <w:bCs/>
          <w:i/>
          <w:iCs/>
          <w:sz w:val="24"/>
          <w:szCs w:val="24"/>
          <w:u w:val="single"/>
        </w:rPr>
      </w:pPr>
    </w:p>
    <w:p w:rsidR="00643CB5" w:rsidRPr="00315335" w:rsidRDefault="00643CB5" w:rsidP="00643CB5">
      <w:pPr>
        <w:spacing w:after="0" w:line="240" w:lineRule="auto"/>
        <w:jc w:val="both"/>
        <w:rPr>
          <w:rFonts w:ascii="Arial" w:hAnsi="Arial" w:cs="Arial"/>
          <w:b/>
          <w:i/>
          <w:sz w:val="24"/>
          <w:szCs w:val="24"/>
          <w:lang w:val="en-US"/>
        </w:rPr>
      </w:pPr>
      <w:r w:rsidRPr="00315335">
        <w:rPr>
          <w:rFonts w:ascii="Arial" w:hAnsi="Arial" w:cs="Arial"/>
          <w:b/>
          <w:i/>
          <w:sz w:val="26"/>
          <w:szCs w:val="26"/>
          <w:lang w:val="en-US"/>
        </w:rPr>
        <w:t xml:space="preserve">  II.1.2.1 </w:t>
      </w:r>
      <w:r w:rsidRPr="00315335">
        <w:rPr>
          <w:rFonts w:ascii="Arial" w:hAnsi="Arial" w:cs="Arial"/>
          <w:b/>
          <w:i/>
          <w:sz w:val="24"/>
          <w:szCs w:val="24"/>
          <w:lang w:val="en-US"/>
        </w:rPr>
        <w:t xml:space="preserve">Disponibilitatea,cererea și deficitul resurselor de apă </w:t>
      </w:r>
    </w:p>
    <w:p w:rsidR="00643CB5" w:rsidRPr="00315335" w:rsidRDefault="00643CB5" w:rsidP="00643CB5">
      <w:pPr>
        <w:spacing w:after="0" w:line="240" w:lineRule="auto"/>
        <w:jc w:val="both"/>
        <w:rPr>
          <w:rFonts w:ascii="Arial" w:hAnsi="Arial" w:cs="Arial"/>
          <w:b/>
          <w:bCs/>
          <w:sz w:val="24"/>
          <w:szCs w:val="24"/>
        </w:rPr>
      </w:pPr>
      <w:r w:rsidRPr="00315335">
        <w:rPr>
          <w:rFonts w:ascii="Arial" w:hAnsi="Arial" w:cs="Arial"/>
          <w:b/>
          <w:bCs/>
          <w:sz w:val="24"/>
          <w:szCs w:val="24"/>
        </w:rPr>
        <w:t>Prognoza cerințelor de apă pentru folosinţe (populație, industrie, irigații, zootehnie, acvacultură/piscicultură) pentru orizontul de timp 2020 – 2030</w:t>
      </w:r>
    </w:p>
    <w:p w:rsidR="00643CB5" w:rsidRPr="00315335" w:rsidRDefault="00643CB5" w:rsidP="00643CB5">
      <w:pPr>
        <w:pStyle w:val="textscris"/>
        <w:spacing w:before="0" w:after="0"/>
        <w:ind w:firstLine="708"/>
        <w:rPr>
          <w:lang w:val="ro-RO"/>
        </w:rPr>
      </w:pPr>
      <w:r w:rsidRPr="00315335">
        <w:rPr>
          <w:lang w:val="ro-RO"/>
        </w:rPr>
        <w:t xml:space="preserve">Prognoza cerinţei de apă s-a determinat în anul 2014 în cadrul temei: </w:t>
      </w:r>
      <w:r w:rsidRPr="00315335">
        <w:rPr>
          <w:rFonts w:eastAsia="Calibri"/>
          <w:lang w:val="ro-RO"/>
        </w:rPr>
        <w:t xml:space="preserve">Actualizarea studiilor de fundamentare a </w:t>
      </w:r>
      <w:r w:rsidRPr="00315335">
        <w:rPr>
          <w:lang w:val="ro-RO"/>
        </w:rPr>
        <w:t>P.A.B.H. - Evaluarea cerinţelor de apă</w:t>
      </w:r>
      <w:r w:rsidRPr="00315335">
        <w:rPr>
          <w:rFonts w:eastAsia="Calibri"/>
          <w:lang w:val="ro-RO"/>
        </w:rPr>
        <w:t xml:space="preserve"> (an de referin</w:t>
      </w:r>
      <w:r w:rsidRPr="00315335">
        <w:rPr>
          <w:lang w:val="ro-RO"/>
        </w:rPr>
        <w:t>ţă</w:t>
      </w:r>
      <w:r w:rsidRPr="00315335">
        <w:rPr>
          <w:rFonts w:eastAsia="Calibri"/>
          <w:lang w:val="ro-RO"/>
        </w:rPr>
        <w:t xml:space="preserve"> 2011) la nivelul bazinelor hidrografice</w:t>
      </w:r>
      <w:r w:rsidRPr="00315335">
        <w:rPr>
          <w:lang w:val="ro-RO"/>
        </w:rPr>
        <w:t xml:space="preserve"> pentru orizontul de timp 2020 ş</w:t>
      </w:r>
      <w:r w:rsidRPr="00315335">
        <w:rPr>
          <w:rFonts w:eastAsia="Calibri"/>
          <w:lang w:val="ro-RO"/>
        </w:rPr>
        <w:t>i 2030</w:t>
      </w:r>
      <w:r w:rsidRPr="00315335">
        <w:rPr>
          <w:lang w:val="ro-RO"/>
        </w:rPr>
        <w:t>.</w:t>
      </w:r>
    </w:p>
    <w:p w:rsidR="00643CB5" w:rsidRPr="00315335" w:rsidRDefault="00643CB5" w:rsidP="00643CB5">
      <w:pPr>
        <w:pStyle w:val="textscris"/>
        <w:spacing w:before="0" w:after="0"/>
        <w:ind w:firstLine="708"/>
        <w:rPr>
          <w:lang w:val="ro-RO"/>
        </w:rPr>
      </w:pPr>
      <w:r w:rsidRPr="00315335">
        <w:rPr>
          <w:lang w:val="ro-RO"/>
        </w:rPr>
        <w:t>Pentru realizarea prognozei cerinţelor de apă pentru orizontul de timp 2020-2030 a fost aplicată „Metodologia de prognoză a cerinţelor de apă ale folosinţelor”, elaborată în cadrul Institutului Naţional de Hidrologie şi Gospodărire a Apelor, metodologie aplicată în elaborarea Planului Naţional de Amenajare a Bazinelor Hidrografice, parte componentă a Schemei Directoare de Amenajare şi Management a Bazinelor Hidrografice.</w:t>
      </w:r>
    </w:p>
    <w:p w:rsidR="00643CB5" w:rsidRPr="00315335" w:rsidRDefault="00643CB5" w:rsidP="00643CB5">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315335">
        <w:rPr>
          <w:rFonts w:ascii="Arial" w:hAnsi="Arial" w:cs="Arial"/>
          <w:sz w:val="24"/>
          <w:szCs w:val="24"/>
        </w:rPr>
        <w:t xml:space="preserve">    Prognoza cerinţei de apă s-a determinat prin metode specifice de prognoză pentru fiecare categorie de folosinţă de apă - </w:t>
      </w:r>
      <w:r w:rsidRPr="00315335">
        <w:rPr>
          <w:rFonts w:ascii="Arial" w:eastAsia="Calibri" w:hAnsi="Arial" w:cs="Arial"/>
          <w:sz w:val="24"/>
          <w:szCs w:val="24"/>
        </w:rPr>
        <w:t>Populație;Industrie;Irigații;Zootehnie;Acvacultură/piscicultură.</w:t>
      </w:r>
    </w:p>
    <w:p w:rsidR="00643CB5" w:rsidRPr="00315335" w:rsidRDefault="00643CB5" w:rsidP="00643CB5">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ind w:left="360"/>
        <w:jc w:val="both"/>
        <w:rPr>
          <w:rFonts w:ascii="Arial" w:hAnsi="Arial" w:cs="Arial"/>
          <w:sz w:val="24"/>
          <w:szCs w:val="24"/>
        </w:rPr>
      </w:pPr>
      <w:r w:rsidRPr="00315335">
        <w:rPr>
          <w:rFonts w:ascii="Arial" w:hAnsi="Arial" w:cs="Arial"/>
          <w:sz w:val="24"/>
          <w:szCs w:val="24"/>
        </w:rPr>
        <w:lastRenderedPageBreak/>
        <w:tab/>
        <w:t xml:space="preserve">În elaborarea </w:t>
      </w:r>
      <w:r w:rsidRPr="00315335">
        <w:rPr>
          <w:rFonts w:ascii="Arial" w:hAnsi="Arial" w:cs="Arial"/>
          <w:b/>
          <w:i/>
          <w:sz w:val="24"/>
          <w:szCs w:val="24"/>
        </w:rPr>
        <w:t xml:space="preserve">prognozei </w:t>
      </w:r>
      <w:r w:rsidRPr="00315335">
        <w:rPr>
          <w:rFonts w:ascii="Arial" w:eastAsia="Calibri" w:hAnsi="Arial" w:cs="Arial"/>
          <w:b/>
          <w:i/>
          <w:sz w:val="24"/>
          <w:szCs w:val="24"/>
        </w:rPr>
        <w:t>cerințelor de apă pentru populație</w:t>
      </w:r>
      <w:r w:rsidRPr="00315335">
        <w:rPr>
          <w:rFonts w:ascii="Arial" w:eastAsia="Calibri" w:hAnsi="Arial" w:cs="Arial"/>
          <w:sz w:val="24"/>
          <w:szCs w:val="24"/>
        </w:rPr>
        <w:t xml:space="preserve"> </w:t>
      </w:r>
      <w:r w:rsidRPr="00315335">
        <w:rPr>
          <w:rFonts w:ascii="Arial" w:hAnsi="Arial" w:cs="Arial"/>
          <w:sz w:val="24"/>
          <w:szCs w:val="24"/>
        </w:rPr>
        <w:t>s-a ţinut cont de:</w:t>
      </w:r>
    </w:p>
    <w:p w:rsidR="00643CB5" w:rsidRPr="00315335" w:rsidRDefault="00643CB5" w:rsidP="00E14739">
      <w:pPr>
        <w:pStyle w:val="Listparagraf"/>
        <w:numPr>
          <w:ilvl w:val="0"/>
          <w:numId w:val="4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lang w:val="ro-RO"/>
        </w:rPr>
      </w:pPr>
      <w:r w:rsidRPr="00315335">
        <w:rPr>
          <w:rFonts w:ascii="Arial" w:eastAsia="Calibri" w:hAnsi="Arial" w:cs="Arial"/>
          <w:lang w:val="ro-RO"/>
        </w:rPr>
        <w:t>datele puse la dispoziţie de Institutul Naţional de Statistică prin Recensământul Populaţiei şi Locuinţelor realizat în anul 2011</w:t>
      </w:r>
      <w:r w:rsidRPr="00315335">
        <w:rPr>
          <w:rFonts w:ascii="Arial" w:hAnsi="Arial" w:cs="Arial"/>
          <w:lang w:val="ro-RO"/>
        </w:rPr>
        <w:t>;</w:t>
      </w:r>
    </w:p>
    <w:p w:rsidR="00643CB5" w:rsidRPr="00315335" w:rsidRDefault="00643CB5" w:rsidP="00E14739">
      <w:pPr>
        <w:pStyle w:val="Listparagraf"/>
        <w:numPr>
          <w:ilvl w:val="0"/>
          <w:numId w:val="4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lang w:val="ro-RO"/>
        </w:rPr>
      </w:pPr>
      <w:r w:rsidRPr="00315335">
        <w:rPr>
          <w:rFonts w:ascii="Arial" w:eastAsia="Calibri" w:hAnsi="Arial" w:cs="Arial"/>
          <w:lang w:val="ro-RO"/>
        </w:rPr>
        <w:t>datele sta</w:t>
      </w:r>
      <w:r w:rsidRPr="00315335">
        <w:rPr>
          <w:rFonts w:ascii="Arial" w:hAnsi="Arial" w:cs="Arial"/>
          <w:lang w:val="ro-RO"/>
        </w:rPr>
        <w:t>tistice privind evoluţia populaţ</w:t>
      </w:r>
      <w:r w:rsidRPr="00315335">
        <w:rPr>
          <w:rFonts w:ascii="Arial" w:eastAsia="Calibri" w:hAnsi="Arial" w:cs="Arial"/>
          <w:lang w:val="ro-RO"/>
        </w:rPr>
        <w:t>iei din România realizată de Organizaţia Naţiunilor Unite (Departamentul pentru Economie şi Afaceri Sociale – Divizia Populaţiei) în lucrarea „World Population Prospects: The 2012 Revision” publicată la 13 iunie 2013</w:t>
      </w:r>
      <w:r w:rsidRPr="00315335">
        <w:rPr>
          <w:rFonts w:ascii="Arial" w:hAnsi="Arial" w:cs="Arial"/>
          <w:lang w:val="ro-RO"/>
        </w:rPr>
        <w:t>;</w:t>
      </w:r>
    </w:p>
    <w:p w:rsidR="00643CB5" w:rsidRPr="00315335" w:rsidRDefault="00643CB5" w:rsidP="00E14739">
      <w:pPr>
        <w:pStyle w:val="Listparagraf"/>
        <w:numPr>
          <w:ilvl w:val="0"/>
          <w:numId w:val="4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lang w:val="ro-RO"/>
        </w:rPr>
      </w:pPr>
      <w:r w:rsidRPr="00315335">
        <w:rPr>
          <w:rFonts w:ascii="Arial" w:hAnsi="Arial" w:cs="Arial"/>
          <w:lang w:val="ro-RO"/>
        </w:rPr>
        <w:t>repartiţia populaţiei pe medii de locuire;</w:t>
      </w:r>
    </w:p>
    <w:p w:rsidR="00643CB5" w:rsidRPr="00315335" w:rsidRDefault="00643CB5" w:rsidP="00E14739">
      <w:pPr>
        <w:pStyle w:val="Listparagraf"/>
        <w:numPr>
          <w:ilvl w:val="0"/>
          <w:numId w:val="4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lang w:val="ro-RO"/>
        </w:rPr>
      </w:pPr>
      <w:r w:rsidRPr="00315335">
        <w:rPr>
          <w:rFonts w:ascii="Arial" w:eastAsia="Calibri" w:hAnsi="Arial" w:cs="Arial"/>
          <w:lang w:val="ro-RO"/>
        </w:rPr>
        <w:t>coeficientul de creştere a gradului de urbanizare pentru România (conform statisticii Organizaţiei Naţinunilor Unite (Departamentul pentru Economie şi Afaceri Sociale – Divizia Populaţiei) din lucrarea „World Urbanization Prospects: The 2011 Revision. Average Annual Rate of Change the Percentage Urban by Major Area, Region and Count</w:t>
      </w:r>
      <w:r w:rsidRPr="00315335">
        <w:rPr>
          <w:rFonts w:ascii="Arial" w:hAnsi="Arial" w:cs="Arial"/>
          <w:lang w:val="ro-RO"/>
        </w:rPr>
        <w:t>ry” publicată în octombrie 2012;</w:t>
      </w:r>
    </w:p>
    <w:p w:rsidR="00643CB5" w:rsidRPr="00315335" w:rsidRDefault="00643CB5" w:rsidP="00E14739">
      <w:pPr>
        <w:pStyle w:val="Listparagraf"/>
        <w:numPr>
          <w:ilvl w:val="0"/>
          <w:numId w:val="4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lang w:val="ro-RO"/>
        </w:rPr>
      </w:pPr>
      <w:r w:rsidRPr="00315335">
        <w:rPr>
          <w:rFonts w:ascii="Arial" w:hAnsi="Arial" w:cs="Arial"/>
          <w:lang w:val="ro-RO"/>
        </w:rPr>
        <w:t>prognoza evoluţiei populaţiei pentru orizontul de timp 2020-2030;</w:t>
      </w:r>
    </w:p>
    <w:p w:rsidR="00643CB5" w:rsidRPr="00315335" w:rsidRDefault="00643CB5" w:rsidP="00E14739">
      <w:pPr>
        <w:pStyle w:val="Listparagraf"/>
        <w:numPr>
          <w:ilvl w:val="0"/>
          <w:numId w:val="4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lang w:val="ro-RO"/>
        </w:rPr>
      </w:pPr>
      <w:r w:rsidRPr="00315335">
        <w:rPr>
          <w:rFonts w:ascii="Arial" w:eastAsia="Calibri" w:hAnsi="Arial" w:cs="Arial"/>
          <w:lang w:val="ro-RO"/>
        </w:rPr>
        <w:t>rata de utilizare a apei pentru populaţie în zonele urbane</w:t>
      </w:r>
      <w:r w:rsidRPr="00315335">
        <w:rPr>
          <w:rFonts w:ascii="Arial" w:hAnsi="Arial" w:cs="Arial"/>
          <w:lang w:val="ro-RO"/>
        </w:rPr>
        <w:t>/rurale,</w:t>
      </w:r>
      <w:r w:rsidRPr="00315335">
        <w:rPr>
          <w:rFonts w:ascii="Arial" w:eastAsia="Calibri" w:hAnsi="Arial" w:cs="Arial"/>
          <w:lang w:val="ro-RO"/>
        </w:rPr>
        <w:t xml:space="preserve"> la nivelul României</w:t>
      </w:r>
      <w:r w:rsidRPr="00315335">
        <w:rPr>
          <w:rFonts w:ascii="Arial" w:hAnsi="Arial" w:cs="Arial"/>
          <w:lang w:val="ro-RO"/>
        </w:rPr>
        <w:t>;</w:t>
      </w:r>
    </w:p>
    <w:p w:rsidR="00643CB5" w:rsidRPr="00315335" w:rsidRDefault="00643CB5" w:rsidP="00E14739">
      <w:pPr>
        <w:pStyle w:val="Listparagraf"/>
        <w:numPr>
          <w:ilvl w:val="0"/>
          <w:numId w:val="4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lang w:val="ro-RO"/>
        </w:rPr>
      </w:pPr>
      <w:r w:rsidRPr="00315335">
        <w:rPr>
          <w:rFonts w:ascii="Arial" w:hAnsi="Arial" w:cs="Arial"/>
          <w:lang w:val="ro-RO"/>
        </w:rPr>
        <w:t xml:space="preserve">prevederile </w:t>
      </w:r>
      <w:r w:rsidRPr="00315335">
        <w:rPr>
          <w:rFonts w:ascii="Arial" w:eastAsia="Calibri" w:hAnsi="Arial" w:cs="Arial"/>
          <w:i/>
          <w:lang w:val="ro-RO"/>
        </w:rPr>
        <w:t>Programului Operaţional Sectorial de Mediu</w:t>
      </w:r>
      <w:r w:rsidRPr="00315335">
        <w:rPr>
          <w:rFonts w:ascii="Arial" w:eastAsia="Calibri" w:hAnsi="Arial" w:cs="Arial"/>
          <w:lang w:val="ro-RO"/>
        </w:rPr>
        <w:t xml:space="preserve"> (POS MEDIU)</w:t>
      </w:r>
      <w:r w:rsidRPr="00315335">
        <w:rPr>
          <w:rFonts w:ascii="Arial" w:hAnsi="Arial" w:cs="Arial"/>
          <w:lang w:val="ro-RO"/>
        </w:rPr>
        <w:t>.</w:t>
      </w:r>
    </w:p>
    <w:p w:rsidR="00643CB5" w:rsidRPr="00315335" w:rsidRDefault="00643CB5" w:rsidP="00643CB5">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315335">
        <w:rPr>
          <w:rFonts w:ascii="Arial" w:hAnsi="Arial" w:cs="Arial"/>
          <w:sz w:val="24"/>
          <w:szCs w:val="24"/>
        </w:rPr>
        <w:tab/>
      </w:r>
      <w:r w:rsidRPr="00315335">
        <w:rPr>
          <w:rFonts w:ascii="Arial" w:eastAsia="Calibri" w:hAnsi="Arial" w:cs="Arial"/>
          <w:sz w:val="24"/>
          <w:szCs w:val="24"/>
        </w:rPr>
        <w:t xml:space="preserve">Prognoza cerinţelor de apă </w:t>
      </w:r>
      <w:r w:rsidRPr="00315335">
        <w:rPr>
          <w:rFonts w:ascii="Arial" w:hAnsi="Arial" w:cs="Arial"/>
          <w:sz w:val="24"/>
          <w:szCs w:val="24"/>
        </w:rPr>
        <w:t>pentru populaţie s-a realizat</w:t>
      </w:r>
      <w:r w:rsidRPr="00315335">
        <w:rPr>
          <w:rFonts w:ascii="Arial" w:eastAsia="Calibri" w:hAnsi="Arial" w:cs="Arial"/>
          <w:sz w:val="24"/>
          <w:szCs w:val="24"/>
        </w:rPr>
        <w:t xml:space="preserve"> pentru trei scenarii în funcţie de rata fertilităţii: scenariul minimal (rata scăzută a fertilităţii), scenariul mediu (rata medie a fertilităţii) şi scenariul maximal (rata ridicată a fertilităţii)</w:t>
      </w:r>
      <w:r w:rsidRPr="00315335">
        <w:rPr>
          <w:rFonts w:ascii="Arial" w:hAnsi="Arial" w:cs="Arial"/>
          <w:sz w:val="24"/>
          <w:szCs w:val="24"/>
        </w:rPr>
        <w:t>.</w:t>
      </w:r>
    </w:p>
    <w:p w:rsidR="00643CB5" w:rsidRPr="00315335" w:rsidRDefault="00643CB5" w:rsidP="00643CB5">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hAnsi="Arial" w:cs="Arial"/>
          <w:sz w:val="24"/>
          <w:szCs w:val="24"/>
        </w:rPr>
      </w:pPr>
      <w:r w:rsidRPr="00315335">
        <w:rPr>
          <w:rFonts w:ascii="Arial" w:hAnsi="Arial" w:cs="Arial"/>
          <w:sz w:val="24"/>
          <w:szCs w:val="24"/>
        </w:rPr>
        <w:tab/>
      </w:r>
      <w:r w:rsidRPr="00315335">
        <w:rPr>
          <w:rFonts w:ascii="Arial" w:eastAsia="Calibri" w:hAnsi="Arial" w:cs="Arial"/>
          <w:b/>
          <w:i/>
          <w:sz w:val="24"/>
          <w:szCs w:val="24"/>
        </w:rPr>
        <w:t>Prognoza cerințelor de apă pentru industrie</w:t>
      </w:r>
      <w:r w:rsidRPr="00315335">
        <w:rPr>
          <w:rFonts w:ascii="Arial" w:hAnsi="Arial" w:cs="Arial"/>
          <w:i/>
          <w:sz w:val="24"/>
          <w:szCs w:val="24"/>
        </w:rPr>
        <w:t xml:space="preserve"> </w:t>
      </w:r>
      <w:r w:rsidRPr="00315335">
        <w:rPr>
          <w:rFonts w:ascii="Arial" w:hAnsi="Arial" w:cs="Arial"/>
          <w:sz w:val="24"/>
          <w:szCs w:val="24"/>
        </w:rPr>
        <w:t xml:space="preserve">s-a determinat prin </w:t>
      </w:r>
      <w:r w:rsidRPr="00315335">
        <w:rPr>
          <w:rFonts w:ascii="Arial" w:eastAsia="Calibri" w:hAnsi="Arial" w:cs="Arial"/>
          <w:sz w:val="24"/>
          <w:szCs w:val="24"/>
        </w:rPr>
        <w:t>metoda prelevărilor pe locuitor</w:t>
      </w:r>
      <w:r w:rsidRPr="00315335">
        <w:rPr>
          <w:rFonts w:ascii="Arial" w:hAnsi="Arial" w:cs="Arial"/>
          <w:sz w:val="24"/>
          <w:szCs w:val="24"/>
        </w:rPr>
        <w:t>, având la bază</w:t>
      </w:r>
      <w:r w:rsidRPr="00315335">
        <w:rPr>
          <w:rFonts w:ascii="Arial" w:eastAsia="Calibri" w:hAnsi="Arial" w:cs="Arial"/>
          <w:sz w:val="24"/>
          <w:szCs w:val="24"/>
        </w:rPr>
        <w:t>:</w:t>
      </w:r>
    </w:p>
    <w:p w:rsidR="00643CB5" w:rsidRPr="00315335" w:rsidRDefault="00643CB5" w:rsidP="00E14739">
      <w:pPr>
        <w:pStyle w:val="Listparagraf"/>
        <w:numPr>
          <w:ilvl w:val="0"/>
          <w:numId w:val="50"/>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lang w:val="ro-RO"/>
        </w:rPr>
      </w:pPr>
      <w:r w:rsidRPr="00315335">
        <w:rPr>
          <w:rFonts w:ascii="Arial" w:eastAsia="Calibri" w:hAnsi="Arial" w:cs="Arial"/>
          <w:lang w:val="ro-RO"/>
        </w:rPr>
        <w:t xml:space="preserve">volumul de apă industrială prelevat la nivelul anului de referinţă, volum ce a fost preluat din Balanţa Apei elaborată de Administraţia Naţională „Apele Române” </w:t>
      </w:r>
      <w:r w:rsidRPr="00315335">
        <w:rPr>
          <w:rFonts w:ascii="Arial" w:hAnsi="Arial" w:cs="Arial"/>
          <w:lang w:val="ro-RO"/>
        </w:rPr>
        <w:t xml:space="preserve">; </w:t>
      </w:r>
    </w:p>
    <w:p w:rsidR="00643CB5" w:rsidRPr="00315335" w:rsidRDefault="00643CB5" w:rsidP="00E14739">
      <w:pPr>
        <w:pStyle w:val="Listparagraf"/>
        <w:numPr>
          <w:ilvl w:val="0"/>
          <w:numId w:val="50"/>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hAnsi="Arial" w:cs="Arial"/>
          <w:lang w:val="ro-RO"/>
        </w:rPr>
      </w:pPr>
      <w:r w:rsidRPr="00315335">
        <w:rPr>
          <w:rFonts w:ascii="Arial" w:hAnsi="Arial" w:cs="Arial"/>
          <w:lang w:val="ro-RO"/>
        </w:rPr>
        <w:t>populaţia la nivelul anului de referinţă;</w:t>
      </w:r>
    </w:p>
    <w:p w:rsidR="00643CB5" w:rsidRPr="00315335" w:rsidRDefault="00643CB5" w:rsidP="00E14739">
      <w:pPr>
        <w:pStyle w:val="Listparagraf"/>
        <w:numPr>
          <w:ilvl w:val="0"/>
          <w:numId w:val="50"/>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ind w:left="794"/>
        <w:jc w:val="both"/>
        <w:rPr>
          <w:rFonts w:ascii="Arial" w:hAnsi="Arial" w:cs="Arial"/>
          <w:lang w:val="ro-RO"/>
        </w:rPr>
      </w:pPr>
      <w:r w:rsidRPr="00315335">
        <w:rPr>
          <w:rFonts w:ascii="Arial" w:eastAsia="Calibri" w:hAnsi="Arial" w:cs="Arial"/>
          <w:lang w:val="ro-RO"/>
        </w:rPr>
        <w:t>evoluţia principalilor indicatori economico - sociali</w:t>
      </w:r>
      <w:r w:rsidRPr="00315335">
        <w:rPr>
          <w:rFonts w:ascii="Arial" w:hAnsi="Arial" w:cs="Arial"/>
          <w:lang w:val="ro-RO"/>
        </w:rPr>
        <w:t xml:space="preserve"> furnizată de</w:t>
      </w:r>
      <w:r w:rsidRPr="00315335">
        <w:rPr>
          <w:rFonts w:ascii="Arial" w:eastAsia="Calibri" w:hAnsi="Arial" w:cs="Arial"/>
          <w:lang w:val="ro-RO"/>
        </w:rPr>
        <w:t xml:space="preserve"> Comisia Naţională de Prognoză, prin publicaţia "</w:t>
      </w:r>
      <w:r w:rsidRPr="00315335">
        <w:rPr>
          <w:rFonts w:ascii="Arial" w:eastAsia="Calibri" w:hAnsi="Arial" w:cs="Arial"/>
          <w:i/>
          <w:lang w:val="ro-RO"/>
        </w:rPr>
        <w:t>Proiecţia principalilor indicatori economico - sociali în profil teritorial până în 2016</w:t>
      </w:r>
      <w:r w:rsidRPr="00315335">
        <w:rPr>
          <w:rFonts w:ascii="Arial" w:eastAsia="Calibri" w:hAnsi="Arial" w:cs="Arial"/>
          <w:lang w:val="ro-RO"/>
        </w:rPr>
        <w:t>", publicat în iunie 2013</w:t>
      </w:r>
      <w:r w:rsidRPr="00315335">
        <w:rPr>
          <w:rFonts w:ascii="Arial" w:hAnsi="Arial" w:cs="Arial"/>
          <w:lang w:val="ro-RO"/>
        </w:rPr>
        <w:t>. Ca şi în cazul prognozei cerinţelor de apă pentru populaţie, prognoza cerinţei de apă pentru industrie s-a realizat pentru trei scenarii de prognoză.</w:t>
      </w:r>
    </w:p>
    <w:p w:rsidR="00643CB5" w:rsidRPr="00315335" w:rsidRDefault="00643CB5" w:rsidP="00643CB5">
      <w:pPr>
        <w:pStyle w:val="1text2"/>
        <w:spacing w:before="120" w:after="120"/>
        <w:rPr>
          <w:rFonts w:cs="Arial"/>
        </w:rPr>
      </w:pPr>
      <w:r w:rsidRPr="00315335">
        <w:rPr>
          <w:rFonts w:cs="Arial"/>
        </w:rPr>
        <w:tab/>
        <w:t>Pentru determinarea cerinţei de apă pentru industrie pentru orizontul de timp 2020 - 2030 se prevăd 3 scenarii de prognoză:</w:t>
      </w:r>
    </w:p>
    <w:p w:rsidR="00643CB5" w:rsidRPr="00315335" w:rsidRDefault="00643CB5" w:rsidP="00643CB5">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315335">
        <w:rPr>
          <w:rFonts w:ascii="Arial" w:eastAsia="Calibri" w:hAnsi="Arial" w:cs="Arial"/>
          <w:i/>
          <w:sz w:val="24"/>
          <w:szCs w:val="24"/>
        </w:rPr>
        <w:tab/>
      </w:r>
      <w:r w:rsidRPr="00315335">
        <w:rPr>
          <w:rFonts w:ascii="Arial" w:eastAsia="Calibri" w:hAnsi="Arial" w:cs="Arial"/>
          <w:sz w:val="24"/>
          <w:szCs w:val="24"/>
        </w:rPr>
        <w:t>Pentru calculul</w:t>
      </w:r>
      <w:r w:rsidRPr="00315335">
        <w:rPr>
          <w:rFonts w:ascii="Arial" w:eastAsia="Calibri" w:hAnsi="Arial" w:cs="Arial"/>
          <w:b/>
          <w:i/>
          <w:sz w:val="24"/>
          <w:szCs w:val="24"/>
        </w:rPr>
        <w:t xml:space="preserve"> prognozei cerințelor de apă pentru irigații</w:t>
      </w:r>
      <w:r w:rsidRPr="00315335">
        <w:rPr>
          <w:rFonts w:ascii="Arial" w:eastAsia="Calibri" w:hAnsi="Arial" w:cs="Arial"/>
          <w:i/>
          <w:sz w:val="24"/>
          <w:szCs w:val="24"/>
        </w:rPr>
        <w:t xml:space="preserve"> </w:t>
      </w:r>
      <w:r w:rsidRPr="00315335">
        <w:rPr>
          <w:rFonts w:ascii="Arial" w:eastAsia="Calibri" w:hAnsi="Arial" w:cs="Arial"/>
          <w:sz w:val="24"/>
          <w:szCs w:val="24"/>
        </w:rPr>
        <w:t xml:space="preserve">s-au luat în considerare: </w:t>
      </w:r>
    </w:p>
    <w:p w:rsidR="00643CB5" w:rsidRPr="00315335" w:rsidRDefault="00643CB5" w:rsidP="00E14739">
      <w:pPr>
        <w:pStyle w:val="Listparagraf"/>
        <w:numPr>
          <w:ilvl w:val="0"/>
          <w:numId w:val="4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lang w:val="ro-RO"/>
        </w:rPr>
      </w:pPr>
      <w:r w:rsidRPr="00315335">
        <w:rPr>
          <w:rFonts w:ascii="Arial" w:eastAsia="Calibri" w:hAnsi="Arial" w:cs="Arial"/>
          <w:lang w:val="ro-RO"/>
        </w:rPr>
        <w:t>volumele de apă prelevate pentru irigații în anii anteriori etapei de calcul;</w:t>
      </w:r>
    </w:p>
    <w:p w:rsidR="00643CB5" w:rsidRPr="00315335" w:rsidRDefault="00643CB5" w:rsidP="00E14739">
      <w:pPr>
        <w:pStyle w:val="Listparagraf"/>
        <w:numPr>
          <w:ilvl w:val="0"/>
          <w:numId w:val="4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ind w:left="714" w:hanging="357"/>
        <w:jc w:val="both"/>
        <w:rPr>
          <w:rFonts w:ascii="Arial" w:eastAsia="Calibri" w:hAnsi="Arial" w:cs="Arial"/>
          <w:lang w:val="ro-RO"/>
        </w:rPr>
      </w:pPr>
      <w:r w:rsidRPr="00315335">
        <w:rPr>
          <w:rFonts w:ascii="Arial" w:eastAsia="Calibri" w:hAnsi="Arial" w:cs="Arial"/>
          <w:lang w:val="ro-RO"/>
        </w:rPr>
        <w:t xml:space="preserve">suprafețele prognozate a fi irigate in conformitate cu Strategia Investiţiilor în Sectorul Irigaţiilor, elaborată de Fidman Merk at S.R.L. (Ianuarie, 2011) pentru Ministerul Agriculturii şi Dezvoltării Rurale – Proiectul de Reabilitare şi Reformă a Sectorului de Irigaţii </w:t>
      </w:r>
    </w:p>
    <w:p w:rsidR="00643CB5" w:rsidRPr="00315335" w:rsidRDefault="00643CB5" w:rsidP="00E14739">
      <w:pPr>
        <w:pStyle w:val="1text2"/>
        <w:numPr>
          <w:ilvl w:val="0"/>
          <w:numId w:val="46"/>
        </w:numPr>
        <w:spacing w:before="120" w:after="120"/>
        <w:ind w:left="714" w:hanging="357"/>
        <w:rPr>
          <w:rFonts w:cs="Arial"/>
        </w:rPr>
      </w:pPr>
      <w:r w:rsidRPr="00315335">
        <w:rPr>
          <w:rFonts w:cs="Arial"/>
        </w:rPr>
        <w:t>suprafețele prognozate a fi amenajate pentru irigaţii cu normele de udare aferente la nivel național, conform informaţiilor primite de la ANIF.</w:t>
      </w:r>
    </w:p>
    <w:p w:rsidR="00643CB5" w:rsidRPr="00315335" w:rsidRDefault="00643CB5" w:rsidP="00643CB5">
      <w:pPr>
        <w:pStyle w:val="Listparagraf"/>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lang w:val="ro-RO"/>
        </w:rPr>
      </w:pPr>
      <w:r w:rsidRPr="00315335">
        <w:rPr>
          <w:rFonts w:ascii="Arial" w:eastAsia="Calibri" w:hAnsi="Arial" w:cs="Arial"/>
          <w:lang w:val="ro-RO"/>
        </w:rPr>
        <w:tab/>
        <w:t>Calculele de prognoză s-au realizat pe trei scenarii de prognoză.</w:t>
      </w:r>
    </w:p>
    <w:p w:rsidR="00643CB5" w:rsidRPr="00315335" w:rsidRDefault="00643CB5" w:rsidP="00643CB5">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315335">
        <w:rPr>
          <w:rFonts w:ascii="Arial" w:eastAsia="Calibri" w:hAnsi="Arial" w:cs="Arial"/>
          <w:i/>
          <w:sz w:val="24"/>
          <w:szCs w:val="24"/>
        </w:rPr>
        <w:tab/>
      </w:r>
      <w:r w:rsidRPr="00315335">
        <w:rPr>
          <w:rFonts w:ascii="Arial" w:eastAsia="Calibri" w:hAnsi="Arial" w:cs="Arial"/>
          <w:b/>
          <w:i/>
          <w:sz w:val="24"/>
          <w:szCs w:val="24"/>
        </w:rPr>
        <w:t>Prognoza cerințelor de apă pentru zootehnie</w:t>
      </w:r>
      <w:r w:rsidRPr="00315335">
        <w:rPr>
          <w:rFonts w:ascii="Arial" w:eastAsia="Calibri" w:hAnsi="Arial" w:cs="Arial"/>
          <w:i/>
          <w:sz w:val="24"/>
          <w:szCs w:val="24"/>
        </w:rPr>
        <w:t xml:space="preserve"> </w:t>
      </w:r>
      <w:r w:rsidRPr="00315335">
        <w:rPr>
          <w:rFonts w:ascii="Arial" w:eastAsia="Calibri" w:hAnsi="Arial" w:cs="Arial"/>
          <w:sz w:val="24"/>
          <w:szCs w:val="24"/>
        </w:rPr>
        <w:t xml:space="preserve">se referă în mod exclusiv la cerința de apă necesară creșterii animalelor în regim industrial, pentru animalele crescute în gospodăriile poulației volumele de apă necesare  s-au considerat a fi  înglobate în cerința de apă din mediul rural. </w:t>
      </w:r>
    </w:p>
    <w:p w:rsidR="00643CB5" w:rsidRPr="00315335" w:rsidRDefault="00643CB5" w:rsidP="00643CB5">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315335">
        <w:rPr>
          <w:rFonts w:ascii="Arial" w:eastAsia="Calibri" w:hAnsi="Arial" w:cs="Arial"/>
          <w:sz w:val="24"/>
          <w:szCs w:val="24"/>
        </w:rPr>
        <w:tab/>
        <w:t xml:space="preserve">Pentru calcul prognozei cerințelor de apă pentru zootehnie  s-au luat in considerare: </w:t>
      </w:r>
    </w:p>
    <w:p w:rsidR="00643CB5" w:rsidRPr="00315335" w:rsidRDefault="00643CB5" w:rsidP="00E14739">
      <w:pPr>
        <w:pStyle w:val="Listparagraf"/>
        <w:numPr>
          <w:ilvl w:val="0"/>
          <w:numId w:val="49"/>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lang w:val="ro-RO"/>
        </w:rPr>
      </w:pPr>
      <w:r w:rsidRPr="00315335">
        <w:rPr>
          <w:rFonts w:ascii="Arial" w:eastAsia="Calibri" w:hAnsi="Arial" w:cs="Arial"/>
          <w:lang w:val="ro-RO"/>
        </w:rPr>
        <w:t xml:space="preserve">datele furnizate de Institutul Naţional de Statistică ce cuprind efectivele de animale, pe categorii de animale, forme de proprietate, macroregiuni, regiuni de dezvoltare şi judeţe pentru anul de referinţă (2011); </w:t>
      </w:r>
    </w:p>
    <w:p w:rsidR="00643CB5" w:rsidRPr="00315335" w:rsidRDefault="00643CB5" w:rsidP="00E14739">
      <w:pPr>
        <w:pStyle w:val="Listparagraf"/>
        <w:numPr>
          <w:ilvl w:val="0"/>
          <w:numId w:val="49"/>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lang w:val="ro-RO"/>
        </w:rPr>
      </w:pPr>
      <w:r w:rsidRPr="00315335">
        <w:rPr>
          <w:rFonts w:ascii="Arial" w:eastAsia="Calibri" w:hAnsi="Arial" w:cs="Arial"/>
          <w:lang w:val="ro-RO"/>
        </w:rPr>
        <w:t>numărul populaţiei la nivelul anului de referinţă;</w:t>
      </w:r>
    </w:p>
    <w:p w:rsidR="00643CB5" w:rsidRPr="00315335" w:rsidRDefault="00643CB5" w:rsidP="00E14739">
      <w:pPr>
        <w:pStyle w:val="Listparagraf"/>
        <w:numPr>
          <w:ilvl w:val="0"/>
          <w:numId w:val="49"/>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lang w:val="ro-RO"/>
        </w:rPr>
      </w:pPr>
      <w:r w:rsidRPr="00315335">
        <w:rPr>
          <w:rFonts w:ascii="Arial" w:eastAsia="Calibri" w:hAnsi="Arial" w:cs="Arial"/>
          <w:lang w:val="ro-RO"/>
        </w:rPr>
        <w:t>prognoza numărului de locuitori pentru orizontul de timp 2020-2030 determinată anterior;</w:t>
      </w:r>
    </w:p>
    <w:p w:rsidR="00643CB5" w:rsidRPr="00315335" w:rsidRDefault="00643CB5" w:rsidP="00E14739">
      <w:pPr>
        <w:pStyle w:val="Listparagraf"/>
        <w:numPr>
          <w:ilvl w:val="0"/>
          <w:numId w:val="49"/>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lang w:val="ro-RO"/>
        </w:rPr>
      </w:pPr>
      <w:r w:rsidRPr="00315335">
        <w:rPr>
          <w:rFonts w:ascii="Arial" w:eastAsia="Calibri" w:hAnsi="Arial" w:cs="Arial"/>
          <w:lang w:val="ro-RO"/>
        </w:rPr>
        <w:t>cerinţa medie de apă pentru animalele crescute în regim industrial.</w:t>
      </w:r>
    </w:p>
    <w:p w:rsidR="00643CB5" w:rsidRPr="00315335" w:rsidRDefault="00643CB5" w:rsidP="00643CB5">
      <w:pPr>
        <w:pStyle w:val="1text2"/>
        <w:spacing w:before="120" w:after="120"/>
        <w:ind w:left="714"/>
        <w:rPr>
          <w:rFonts w:cs="Arial"/>
        </w:rPr>
      </w:pPr>
      <w:r w:rsidRPr="00315335">
        <w:rPr>
          <w:rFonts w:cs="Arial"/>
        </w:rPr>
        <w:lastRenderedPageBreak/>
        <w:t>Calculele de prognoză s-au realizat pentru trei scenarii de prognoză.</w:t>
      </w:r>
    </w:p>
    <w:p w:rsidR="00643CB5" w:rsidRPr="00315335" w:rsidRDefault="00643CB5" w:rsidP="00643CB5">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sz w:val="24"/>
          <w:szCs w:val="24"/>
        </w:rPr>
      </w:pPr>
      <w:r w:rsidRPr="00315335">
        <w:rPr>
          <w:rFonts w:ascii="Arial" w:eastAsia="Calibri" w:hAnsi="Arial" w:cs="Arial"/>
          <w:i/>
          <w:sz w:val="24"/>
          <w:szCs w:val="24"/>
        </w:rPr>
        <w:tab/>
      </w:r>
      <w:r w:rsidRPr="00315335">
        <w:rPr>
          <w:rFonts w:ascii="Arial" w:eastAsia="Calibri" w:hAnsi="Arial" w:cs="Arial"/>
          <w:b/>
          <w:i/>
          <w:sz w:val="24"/>
          <w:szCs w:val="24"/>
        </w:rPr>
        <w:t>Prognoza cerințelor de apă pentru acvacultură/piscicultură</w:t>
      </w:r>
      <w:r w:rsidRPr="00315335">
        <w:rPr>
          <w:rFonts w:ascii="Arial" w:eastAsia="Calibri" w:hAnsi="Arial" w:cs="Arial"/>
          <w:i/>
          <w:sz w:val="24"/>
          <w:szCs w:val="24"/>
        </w:rPr>
        <w:t xml:space="preserve"> </w:t>
      </w:r>
      <w:r w:rsidRPr="00315335">
        <w:rPr>
          <w:rFonts w:ascii="Arial" w:eastAsia="Calibri" w:hAnsi="Arial" w:cs="Arial"/>
          <w:sz w:val="24"/>
          <w:szCs w:val="24"/>
        </w:rPr>
        <w:t xml:space="preserve">s-a realizat luând în considerare: </w:t>
      </w:r>
    </w:p>
    <w:p w:rsidR="00643CB5" w:rsidRPr="00315335" w:rsidRDefault="00643CB5" w:rsidP="00E14739">
      <w:pPr>
        <w:pStyle w:val="Listparagraf"/>
        <w:numPr>
          <w:ilvl w:val="0"/>
          <w:numId w:val="49"/>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lang w:val="ro-RO"/>
        </w:rPr>
      </w:pPr>
      <w:r w:rsidRPr="00315335">
        <w:rPr>
          <w:rFonts w:ascii="Arial" w:eastAsia="Calibri" w:hAnsi="Arial" w:cs="Arial"/>
          <w:lang w:val="ro-RO"/>
        </w:rPr>
        <w:t>volumele de apă prelevate  în anii anteriori pentru acvacultură/piscicultură, volume ce au fost preluate din Balanţa Apei elaborată de Administraţia Naţionala „Apele Române”</w:t>
      </w:r>
      <w:r w:rsidRPr="00315335">
        <w:rPr>
          <w:rFonts w:ascii="Arial" w:hAnsi="Arial" w:cs="Arial"/>
          <w:lang w:val="ro-RO"/>
        </w:rPr>
        <w:t>;</w:t>
      </w:r>
    </w:p>
    <w:p w:rsidR="00643CB5" w:rsidRPr="00315335" w:rsidRDefault="00643CB5" w:rsidP="00E14739">
      <w:pPr>
        <w:pStyle w:val="Listparagraf"/>
        <w:numPr>
          <w:ilvl w:val="0"/>
          <w:numId w:val="49"/>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jc w:val="both"/>
        <w:rPr>
          <w:rFonts w:ascii="Arial" w:eastAsia="Calibri" w:hAnsi="Arial" w:cs="Arial"/>
          <w:lang w:val="ro-RO"/>
        </w:rPr>
      </w:pPr>
      <w:r w:rsidRPr="00315335">
        <w:rPr>
          <w:rFonts w:ascii="Arial" w:eastAsia="Calibri" w:hAnsi="Arial" w:cs="Arial"/>
          <w:lang w:val="ro-RO"/>
        </w:rPr>
        <w:t>suprafeţele amenajărilor piscicole – pepiniere şi crescătorii potrivit Registrului Unităților de Acvacultură (RUA actualizarea martie 2014) a Agenţiei Naţionale pentru Pescuit şi Acvacultură.</w:t>
      </w:r>
    </w:p>
    <w:p w:rsidR="00643CB5" w:rsidRPr="00315335" w:rsidRDefault="00643CB5" w:rsidP="00643CB5">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after="120" w:line="240" w:lineRule="auto"/>
        <w:jc w:val="both"/>
        <w:rPr>
          <w:rFonts w:ascii="Arial" w:eastAsia="Calibri" w:hAnsi="Arial" w:cs="Arial"/>
          <w:iCs/>
        </w:rPr>
      </w:pPr>
      <w:r w:rsidRPr="00315335">
        <w:rPr>
          <w:rFonts w:ascii="Arial" w:eastAsia="Calibri" w:hAnsi="Arial" w:cs="Arial"/>
          <w:sz w:val="24"/>
          <w:szCs w:val="24"/>
        </w:rPr>
        <w:t>În tabelul nr. II.1.2.1.1 este redată cerința de apă prognozată pe folosințe apă, pentru orizontul de timp 2020-2030, în cazul scenariului mediu.</w:t>
      </w:r>
    </w:p>
    <w:p w:rsidR="00643CB5" w:rsidRPr="00315335" w:rsidRDefault="00643CB5" w:rsidP="00643CB5">
      <w:pPr>
        <w:pStyle w:val="1text2"/>
        <w:spacing w:before="120" w:after="120"/>
        <w:jc w:val="center"/>
        <w:rPr>
          <w:rFonts w:cs="Arial"/>
        </w:rPr>
      </w:pPr>
      <w:r w:rsidRPr="00315335">
        <w:rPr>
          <w:rFonts w:cs="Arial"/>
          <w:b/>
        </w:rPr>
        <w:t>Tabelul nr. II.1.2.1.1</w:t>
      </w:r>
      <w:r w:rsidRPr="00315335">
        <w:rPr>
          <w:rFonts w:cs="Arial"/>
        </w:rPr>
        <w:t xml:space="preserve"> Prognoza cerinței de apă pentru orizontul de timp 2020-2030</w:t>
      </w:r>
    </w:p>
    <w:tbl>
      <w:tblPr>
        <w:tblStyle w:val="Tabelgril"/>
        <w:tblW w:w="0" w:type="auto"/>
        <w:jc w:val="center"/>
        <w:shd w:val="clear" w:color="auto" w:fill="DBE5F1" w:themeFill="accent1" w:themeFillTint="33"/>
        <w:tblLook w:val="04A0" w:firstRow="1" w:lastRow="0" w:firstColumn="1" w:lastColumn="0" w:noHBand="0" w:noVBand="1"/>
      </w:tblPr>
      <w:tblGrid>
        <w:gridCol w:w="3537"/>
        <w:gridCol w:w="1756"/>
        <w:gridCol w:w="2559"/>
      </w:tblGrid>
      <w:tr w:rsidR="00315335" w:rsidRPr="00315335" w:rsidTr="00916B06">
        <w:trPr>
          <w:trHeight w:val="732"/>
          <w:jc w:val="center"/>
        </w:trPr>
        <w:tc>
          <w:tcPr>
            <w:tcW w:w="3537" w:type="dxa"/>
            <w:vMerge w:val="restart"/>
            <w:shd w:val="clear" w:color="auto" w:fill="DBE5F1" w:themeFill="accent1" w:themeFillTint="33"/>
            <w:vAlign w:val="center"/>
          </w:tcPr>
          <w:p w:rsidR="00643CB5" w:rsidRPr="00315335" w:rsidRDefault="00643CB5" w:rsidP="00916B06">
            <w:pPr>
              <w:pStyle w:val="1text2"/>
              <w:spacing w:before="0"/>
              <w:rPr>
                <w:rFonts w:cs="Arial"/>
                <w:b/>
                <w:bCs/>
                <w:lang w:val="ro-RO"/>
              </w:rPr>
            </w:pPr>
            <w:r w:rsidRPr="00315335">
              <w:rPr>
                <w:rFonts w:cs="Arial"/>
                <w:b/>
                <w:bCs/>
                <w:lang w:val="ro-RO"/>
              </w:rPr>
              <w:t>Folosința de apă</w:t>
            </w:r>
          </w:p>
        </w:tc>
        <w:tc>
          <w:tcPr>
            <w:tcW w:w="4315" w:type="dxa"/>
            <w:gridSpan w:val="2"/>
            <w:shd w:val="clear" w:color="auto" w:fill="DBE5F1" w:themeFill="accent1" w:themeFillTint="33"/>
            <w:vAlign w:val="center"/>
          </w:tcPr>
          <w:p w:rsidR="00643CB5" w:rsidRPr="00315335" w:rsidRDefault="00643CB5" w:rsidP="00916B06">
            <w:pPr>
              <w:pStyle w:val="1text2"/>
              <w:spacing w:before="0"/>
              <w:jc w:val="center"/>
              <w:rPr>
                <w:rFonts w:cs="Arial"/>
                <w:b/>
                <w:bCs/>
                <w:lang w:val="ro-RO"/>
              </w:rPr>
            </w:pPr>
            <w:r w:rsidRPr="00315335">
              <w:rPr>
                <w:rFonts w:cs="Arial"/>
                <w:b/>
                <w:bCs/>
                <w:lang w:val="ro-RO"/>
              </w:rPr>
              <w:t>Cerința de apă</w:t>
            </w:r>
          </w:p>
          <w:p w:rsidR="00643CB5" w:rsidRPr="00315335" w:rsidRDefault="00643CB5" w:rsidP="00916B06">
            <w:pPr>
              <w:pStyle w:val="1text2"/>
              <w:spacing w:before="0"/>
              <w:jc w:val="center"/>
              <w:rPr>
                <w:rFonts w:cs="Arial"/>
                <w:b/>
                <w:bCs/>
                <w:lang w:val="ro-RO"/>
              </w:rPr>
            </w:pPr>
            <w:r w:rsidRPr="00315335">
              <w:rPr>
                <w:rFonts w:cs="Arial"/>
                <w:b/>
                <w:bCs/>
                <w:lang w:val="ro-RO"/>
              </w:rPr>
              <w:t>(mil. mc)</w:t>
            </w:r>
          </w:p>
        </w:tc>
      </w:tr>
      <w:tr w:rsidR="00315335" w:rsidRPr="00315335" w:rsidTr="00916B06">
        <w:trPr>
          <w:trHeight w:val="260"/>
          <w:jc w:val="center"/>
        </w:trPr>
        <w:tc>
          <w:tcPr>
            <w:tcW w:w="3537" w:type="dxa"/>
            <w:vMerge/>
            <w:shd w:val="clear" w:color="auto" w:fill="DBE5F1" w:themeFill="accent1" w:themeFillTint="33"/>
          </w:tcPr>
          <w:p w:rsidR="00643CB5" w:rsidRPr="00315335" w:rsidRDefault="00643CB5" w:rsidP="00916B06">
            <w:pPr>
              <w:pStyle w:val="1text2"/>
              <w:spacing w:before="0"/>
              <w:rPr>
                <w:rFonts w:cs="Arial"/>
                <w:b/>
                <w:bCs/>
                <w:lang w:val="ro-RO"/>
              </w:rPr>
            </w:pPr>
          </w:p>
        </w:tc>
        <w:tc>
          <w:tcPr>
            <w:tcW w:w="1756" w:type="dxa"/>
            <w:shd w:val="clear" w:color="auto" w:fill="DBE5F1" w:themeFill="accent1" w:themeFillTint="33"/>
          </w:tcPr>
          <w:p w:rsidR="00643CB5" w:rsidRPr="00315335" w:rsidRDefault="00643CB5" w:rsidP="00916B06">
            <w:pPr>
              <w:pStyle w:val="1text2"/>
              <w:spacing w:before="0"/>
              <w:jc w:val="center"/>
              <w:rPr>
                <w:rFonts w:cs="Arial"/>
                <w:b/>
                <w:bCs/>
                <w:lang w:val="ro-RO"/>
              </w:rPr>
            </w:pPr>
            <w:r w:rsidRPr="00315335">
              <w:rPr>
                <w:rFonts w:cs="Arial"/>
                <w:b/>
                <w:bCs/>
                <w:lang w:val="ro-RO"/>
              </w:rPr>
              <w:t>2020</w:t>
            </w:r>
          </w:p>
        </w:tc>
        <w:tc>
          <w:tcPr>
            <w:tcW w:w="2558" w:type="dxa"/>
            <w:shd w:val="clear" w:color="auto" w:fill="DBE5F1" w:themeFill="accent1" w:themeFillTint="33"/>
          </w:tcPr>
          <w:p w:rsidR="00643CB5" w:rsidRPr="00315335" w:rsidRDefault="00643CB5" w:rsidP="00916B06">
            <w:pPr>
              <w:pStyle w:val="1text2"/>
              <w:spacing w:before="0"/>
              <w:jc w:val="center"/>
              <w:rPr>
                <w:rFonts w:cs="Arial"/>
                <w:b/>
                <w:bCs/>
                <w:lang w:val="ro-RO"/>
              </w:rPr>
            </w:pPr>
            <w:r w:rsidRPr="00315335">
              <w:rPr>
                <w:rFonts w:cs="Arial"/>
                <w:b/>
                <w:bCs/>
                <w:lang w:val="ro-RO"/>
              </w:rPr>
              <w:t>2030</w:t>
            </w:r>
          </w:p>
        </w:tc>
      </w:tr>
      <w:tr w:rsidR="00315335" w:rsidRPr="00315335" w:rsidTr="00916B06">
        <w:trPr>
          <w:trHeight w:val="247"/>
          <w:jc w:val="center"/>
        </w:trPr>
        <w:tc>
          <w:tcPr>
            <w:tcW w:w="3537" w:type="dxa"/>
            <w:shd w:val="clear" w:color="auto" w:fill="DBE5F1" w:themeFill="accent1" w:themeFillTint="33"/>
          </w:tcPr>
          <w:p w:rsidR="00643CB5" w:rsidRPr="00315335" w:rsidRDefault="00643CB5" w:rsidP="00916B06">
            <w:pPr>
              <w:pStyle w:val="1text2"/>
              <w:spacing w:before="0"/>
              <w:rPr>
                <w:rFonts w:cs="Arial"/>
                <w:lang w:val="ro-RO"/>
              </w:rPr>
            </w:pPr>
            <w:r w:rsidRPr="00315335">
              <w:rPr>
                <w:rFonts w:cs="Arial"/>
                <w:lang w:val="ro-RO"/>
              </w:rPr>
              <w:t xml:space="preserve">Populație </w:t>
            </w:r>
          </w:p>
        </w:tc>
        <w:tc>
          <w:tcPr>
            <w:tcW w:w="1756"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2.088</w:t>
            </w:r>
          </w:p>
        </w:tc>
        <w:tc>
          <w:tcPr>
            <w:tcW w:w="2558"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2.097</w:t>
            </w:r>
          </w:p>
        </w:tc>
      </w:tr>
      <w:tr w:rsidR="00315335" w:rsidRPr="00315335" w:rsidTr="00916B06">
        <w:trPr>
          <w:trHeight w:val="247"/>
          <w:jc w:val="center"/>
        </w:trPr>
        <w:tc>
          <w:tcPr>
            <w:tcW w:w="3537" w:type="dxa"/>
            <w:shd w:val="clear" w:color="auto" w:fill="DBE5F1" w:themeFill="accent1" w:themeFillTint="33"/>
          </w:tcPr>
          <w:p w:rsidR="00643CB5" w:rsidRPr="00315335" w:rsidRDefault="00643CB5" w:rsidP="00916B06">
            <w:pPr>
              <w:pStyle w:val="1text2"/>
              <w:spacing w:before="0"/>
              <w:rPr>
                <w:rFonts w:cs="Arial"/>
                <w:lang w:val="ro-RO"/>
              </w:rPr>
            </w:pPr>
            <w:r w:rsidRPr="00315335">
              <w:rPr>
                <w:rFonts w:cs="Arial"/>
                <w:lang w:val="ro-RO"/>
              </w:rPr>
              <w:t>Industrie</w:t>
            </w:r>
          </w:p>
        </w:tc>
        <w:tc>
          <w:tcPr>
            <w:tcW w:w="1756"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6.664</w:t>
            </w:r>
          </w:p>
        </w:tc>
        <w:tc>
          <w:tcPr>
            <w:tcW w:w="2558"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7.383</w:t>
            </w:r>
          </w:p>
        </w:tc>
      </w:tr>
      <w:tr w:rsidR="00315335" w:rsidRPr="00315335" w:rsidTr="00916B06">
        <w:trPr>
          <w:trHeight w:val="247"/>
          <w:jc w:val="center"/>
        </w:trPr>
        <w:tc>
          <w:tcPr>
            <w:tcW w:w="3537" w:type="dxa"/>
            <w:shd w:val="clear" w:color="auto" w:fill="DBE5F1" w:themeFill="accent1" w:themeFillTint="33"/>
          </w:tcPr>
          <w:p w:rsidR="00643CB5" w:rsidRPr="00315335" w:rsidRDefault="00643CB5" w:rsidP="00916B06">
            <w:pPr>
              <w:pStyle w:val="1text2"/>
              <w:spacing w:before="0"/>
              <w:rPr>
                <w:rFonts w:cs="Arial"/>
                <w:lang w:val="ro-RO"/>
              </w:rPr>
            </w:pPr>
            <w:r w:rsidRPr="00315335">
              <w:rPr>
                <w:rFonts w:cs="Arial"/>
                <w:lang w:val="ro-RO"/>
              </w:rPr>
              <w:t>Irigații</w:t>
            </w:r>
          </w:p>
        </w:tc>
        <w:tc>
          <w:tcPr>
            <w:tcW w:w="1756"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562</w:t>
            </w:r>
          </w:p>
        </w:tc>
        <w:tc>
          <w:tcPr>
            <w:tcW w:w="2558"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1.689</w:t>
            </w:r>
          </w:p>
        </w:tc>
      </w:tr>
      <w:tr w:rsidR="00315335" w:rsidRPr="00315335" w:rsidTr="00916B06">
        <w:trPr>
          <w:trHeight w:val="247"/>
          <w:jc w:val="center"/>
        </w:trPr>
        <w:tc>
          <w:tcPr>
            <w:tcW w:w="3537" w:type="dxa"/>
            <w:shd w:val="clear" w:color="auto" w:fill="DBE5F1" w:themeFill="accent1" w:themeFillTint="33"/>
          </w:tcPr>
          <w:p w:rsidR="00643CB5" w:rsidRPr="00315335" w:rsidRDefault="00643CB5" w:rsidP="00916B06">
            <w:pPr>
              <w:pStyle w:val="1text2"/>
              <w:spacing w:before="0"/>
              <w:rPr>
                <w:rFonts w:cs="Arial"/>
                <w:lang w:val="ro-RO"/>
              </w:rPr>
            </w:pPr>
            <w:r w:rsidRPr="00315335">
              <w:rPr>
                <w:rFonts w:cs="Arial"/>
                <w:lang w:val="ro-RO"/>
              </w:rPr>
              <w:t>Zootehnie</w:t>
            </w:r>
          </w:p>
        </w:tc>
        <w:tc>
          <w:tcPr>
            <w:tcW w:w="1756"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172</w:t>
            </w:r>
          </w:p>
        </w:tc>
        <w:tc>
          <w:tcPr>
            <w:tcW w:w="2558"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164</w:t>
            </w:r>
          </w:p>
        </w:tc>
      </w:tr>
      <w:tr w:rsidR="00315335" w:rsidRPr="00315335" w:rsidTr="00916B06">
        <w:trPr>
          <w:trHeight w:val="247"/>
          <w:jc w:val="center"/>
        </w:trPr>
        <w:tc>
          <w:tcPr>
            <w:tcW w:w="3537" w:type="dxa"/>
            <w:shd w:val="clear" w:color="auto" w:fill="DBE5F1" w:themeFill="accent1" w:themeFillTint="33"/>
          </w:tcPr>
          <w:p w:rsidR="00643CB5" w:rsidRPr="00315335" w:rsidRDefault="00643CB5" w:rsidP="00916B06">
            <w:pPr>
              <w:pStyle w:val="1text2"/>
              <w:spacing w:before="0"/>
              <w:rPr>
                <w:rFonts w:cs="Arial"/>
                <w:lang w:val="ro-RO"/>
              </w:rPr>
            </w:pPr>
            <w:r w:rsidRPr="00315335">
              <w:rPr>
                <w:rFonts w:cs="Arial"/>
                <w:lang w:val="ro-RO"/>
              </w:rPr>
              <w:t>Acvacultură/piscicultură</w:t>
            </w:r>
          </w:p>
        </w:tc>
        <w:tc>
          <w:tcPr>
            <w:tcW w:w="1756"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818</w:t>
            </w:r>
          </w:p>
        </w:tc>
        <w:tc>
          <w:tcPr>
            <w:tcW w:w="2558" w:type="dxa"/>
            <w:shd w:val="clear" w:color="auto" w:fill="DBE5F1" w:themeFill="accent1" w:themeFillTint="33"/>
          </w:tcPr>
          <w:p w:rsidR="00643CB5" w:rsidRPr="00315335" w:rsidRDefault="00643CB5" w:rsidP="00916B06">
            <w:pPr>
              <w:pStyle w:val="1text2"/>
              <w:spacing w:before="0"/>
              <w:jc w:val="center"/>
              <w:rPr>
                <w:rFonts w:cs="Arial"/>
                <w:lang w:val="ro-RO"/>
              </w:rPr>
            </w:pPr>
            <w:r w:rsidRPr="00315335">
              <w:rPr>
                <w:rFonts w:cs="Arial"/>
                <w:lang w:val="ro-RO"/>
              </w:rPr>
              <w:t>949</w:t>
            </w:r>
          </w:p>
        </w:tc>
      </w:tr>
      <w:tr w:rsidR="00315335" w:rsidRPr="00315335" w:rsidTr="00916B06">
        <w:trPr>
          <w:trHeight w:val="247"/>
          <w:jc w:val="center"/>
        </w:trPr>
        <w:tc>
          <w:tcPr>
            <w:tcW w:w="3537" w:type="dxa"/>
            <w:shd w:val="clear" w:color="auto" w:fill="DBE5F1" w:themeFill="accent1" w:themeFillTint="33"/>
          </w:tcPr>
          <w:p w:rsidR="00643CB5" w:rsidRPr="00315335" w:rsidRDefault="00643CB5" w:rsidP="00916B06">
            <w:pPr>
              <w:pStyle w:val="1text2"/>
              <w:spacing w:before="0"/>
              <w:rPr>
                <w:rFonts w:cs="Arial"/>
                <w:b/>
                <w:bCs/>
                <w:lang w:val="ro-RO"/>
              </w:rPr>
            </w:pPr>
            <w:r w:rsidRPr="00315335">
              <w:rPr>
                <w:rFonts w:cs="Arial"/>
                <w:b/>
                <w:bCs/>
                <w:lang w:val="ro-RO"/>
              </w:rPr>
              <w:t>Total România</w:t>
            </w:r>
          </w:p>
        </w:tc>
        <w:tc>
          <w:tcPr>
            <w:tcW w:w="1756" w:type="dxa"/>
            <w:shd w:val="clear" w:color="auto" w:fill="DBE5F1" w:themeFill="accent1" w:themeFillTint="33"/>
          </w:tcPr>
          <w:p w:rsidR="00643CB5" w:rsidRPr="00315335" w:rsidRDefault="00643CB5" w:rsidP="00916B06">
            <w:pPr>
              <w:pStyle w:val="1text2"/>
              <w:spacing w:before="0"/>
              <w:jc w:val="center"/>
              <w:rPr>
                <w:rFonts w:cs="Arial"/>
                <w:b/>
                <w:bCs/>
                <w:lang w:val="ro-RO"/>
              </w:rPr>
            </w:pPr>
            <w:r w:rsidRPr="00315335">
              <w:rPr>
                <w:rFonts w:cs="Arial"/>
                <w:b/>
                <w:bCs/>
                <w:lang w:val="ro-RO"/>
              </w:rPr>
              <w:t>10.304</w:t>
            </w:r>
          </w:p>
        </w:tc>
        <w:tc>
          <w:tcPr>
            <w:tcW w:w="2558" w:type="dxa"/>
            <w:shd w:val="clear" w:color="auto" w:fill="DBE5F1" w:themeFill="accent1" w:themeFillTint="33"/>
          </w:tcPr>
          <w:p w:rsidR="00643CB5" w:rsidRPr="00315335" w:rsidRDefault="00643CB5" w:rsidP="00916B06">
            <w:pPr>
              <w:pStyle w:val="1text2"/>
              <w:spacing w:before="0"/>
              <w:jc w:val="center"/>
              <w:rPr>
                <w:rFonts w:cs="Arial"/>
                <w:b/>
                <w:bCs/>
                <w:lang w:val="ro-RO"/>
              </w:rPr>
            </w:pPr>
            <w:r w:rsidRPr="00315335">
              <w:rPr>
                <w:rFonts w:cs="Arial"/>
                <w:b/>
                <w:bCs/>
                <w:lang w:val="ro-RO"/>
              </w:rPr>
              <w:t>12.282</w:t>
            </w:r>
          </w:p>
        </w:tc>
      </w:tr>
    </w:tbl>
    <w:p w:rsidR="00643CB5" w:rsidRPr="00315335" w:rsidRDefault="00643CB5" w:rsidP="00643CB5">
      <w:pPr>
        <w:spacing w:after="0" w:line="240" w:lineRule="auto"/>
        <w:jc w:val="both"/>
        <w:rPr>
          <w:rFonts w:ascii="Arial" w:hAnsi="Arial" w:cs="Arial"/>
          <w:b/>
          <w:i/>
          <w:sz w:val="26"/>
          <w:szCs w:val="26"/>
          <w:lang w:val="en-US"/>
        </w:rPr>
      </w:pPr>
      <w:r w:rsidRPr="00315335">
        <w:rPr>
          <w:rFonts w:ascii="Arial" w:hAnsi="Arial" w:cs="Arial"/>
          <w:b/>
          <w:i/>
          <w:sz w:val="26"/>
          <w:szCs w:val="26"/>
          <w:lang w:val="en-US"/>
        </w:rPr>
        <w:t xml:space="preserve"> </w:t>
      </w:r>
    </w:p>
    <w:p w:rsidR="00643CB5" w:rsidRPr="00315335" w:rsidRDefault="00643CB5" w:rsidP="00643CB5">
      <w:pPr>
        <w:spacing w:after="0" w:line="240" w:lineRule="auto"/>
        <w:jc w:val="both"/>
        <w:rPr>
          <w:rFonts w:ascii="Arial" w:eastAsia="Calibri" w:hAnsi="Arial" w:cs="Arial"/>
          <w:sz w:val="24"/>
          <w:szCs w:val="24"/>
        </w:rPr>
      </w:pPr>
      <w:r w:rsidRPr="00315335">
        <w:rPr>
          <w:rFonts w:ascii="Arial" w:hAnsi="Arial" w:cs="Arial"/>
          <w:b/>
          <w:i/>
          <w:sz w:val="26"/>
          <w:szCs w:val="26"/>
          <w:lang w:val="en-US"/>
        </w:rPr>
        <w:t>II.1.2.2   Riscurile şi presiunile inundaţiilor</w:t>
      </w:r>
    </w:p>
    <w:p w:rsidR="00643CB5" w:rsidRPr="00315335" w:rsidRDefault="00643CB5" w:rsidP="00643CB5">
      <w:pPr>
        <w:spacing w:after="0" w:line="240" w:lineRule="auto"/>
        <w:ind w:firstLine="708"/>
        <w:jc w:val="both"/>
        <w:rPr>
          <w:rFonts w:ascii="Arial" w:eastAsia="Calibri" w:hAnsi="Arial" w:cs="Arial"/>
          <w:sz w:val="24"/>
          <w:szCs w:val="24"/>
        </w:rPr>
      </w:pPr>
      <w:r w:rsidRPr="00315335">
        <w:rPr>
          <w:rFonts w:ascii="Arial" w:eastAsia="Calibri" w:hAnsi="Arial" w:cs="Arial"/>
          <w:sz w:val="24"/>
          <w:szCs w:val="24"/>
        </w:rPr>
        <w:t>I</w:t>
      </w:r>
      <w:r w:rsidRPr="00315335">
        <w:rPr>
          <w:rFonts w:ascii="Arial" w:eastAsia="Calibri" w:hAnsi="Arial" w:cs="Arial"/>
          <w:spacing w:val="-1"/>
          <w:sz w:val="24"/>
          <w:szCs w:val="24"/>
        </w:rPr>
        <w:t>nund</w:t>
      </w:r>
      <w:r w:rsidRPr="00315335">
        <w:rPr>
          <w:rFonts w:ascii="Arial" w:eastAsia="Calibri" w:hAnsi="Arial" w:cs="Arial"/>
          <w:sz w:val="24"/>
          <w:szCs w:val="24"/>
        </w:rPr>
        <w:t>a</w:t>
      </w:r>
      <w:r w:rsidRPr="00315335">
        <w:rPr>
          <w:rFonts w:ascii="Arial" w:eastAsia="Calibri" w:hAnsi="Arial" w:cs="Arial"/>
          <w:spacing w:val="1"/>
          <w:sz w:val="24"/>
          <w:szCs w:val="24"/>
        </w:rPr>
        <w:t>ţ</w:t>
      </w:r>
      <w:r w:rsidRPr="00315335">
        <w:rPr>
          <w:rFonts w:ascii="Arial" w:eastAsia="Calibri" w:hAnsi="Arial" w:cs="Arial"/>
          <w:sz w:val="24"/>
          <w:szCs w:val="24"/>
        </w:rPr>
        <w:t>i</w:t>
      </w:r>
      <w:r w:rsidRPr="00315335">
        <w:rPr>
          <w:rFonts w:ascii="Arial" w:eastAsia="Calibri" w:hAnsi="Arial" w:cs="Arial"/>
          <w:spacing w:val="-1"/>
          <w:sz w:val="24"/>
          <w:szCs w:val="24"/>
        </w:rPr>
        <w:t>i</w:t>
      </w:r>
      <w:r w:rsidRPr="00315335">
        <w:rPr>
          <w:rFonts w:ascii="Arial" w:eastAsia="Calibri" w:hAnsi="Arial" w:cs="Arial"/>
          <w:sz w:val="24"/>
          <w:szCs w:val="24"/>
        </w:rPr>
        <w:t>le rep</w:t>
      </w:r>
      <w:r w:rsidRPr="00315335">
        <w:rPr>
          <w:rFonts w:ascii="Arial" w:eastAsia="Calibri" w:hAnsi="Arial" w:cs="Arial"/>
          <w:spacing w:val="-1"/>
          <w:sz w:val="24"/>
          <w:szCs w:val="24"/>
        </w:rPr>
        <w:t>r</w:t>
      </w:r>
      <w:r w:rsidRPr="00315335">
        <w:rPr>
          <w:rFonts w:ascii="Arial" w:eastAsia="Calibri" w:hAnsi="Arial" w:cs="Arial"/>
          <w:sz w:val="24"/>
          <w:szCs w:val="24"/>
        </w:rPr>
        <w:t>ez</w:t>
      </w:r>
      <w:r w:rsidRPr="00315335">
        <w:rPr>
          <w:rFonts w:ascii="Arial" w:eastAsia="Calibri" w:hAnsi="Arial" w:cs="Arial"/>
          <w:spacing w:val="-1"/>
          <w:sz w:val="24"/>
          <w:szCs w:val="24"/>
        </w:rPr>
        <w:t>in</w:t>
      </w:r>
      <w:r w:rsidRPr="00315335">
        <w:rPr>
          <w:rFonts w:ascii="Arial" w:eastAsia="Calibri" w:hAnsi="Arial" w:cs="Arial"/>
          <w:sz w:val="24"/>
          <w:szCs w:val="24"/>
        </w:rPr>
        <w:t xml:space="preserve">tă </w:t>
      </w:r>
      <w:r w:rsidRPr="00315335">
        <w:rPr>
          <w:rFonts w:ascii="Arial" w:eastAsia="Calibri" w:hAnsi="Arial" w:cs="Arial"/>
          <w:spacing w:val="-1"/>
          <w:sz w:val="24"/>
          <w:szCs w:val="24"/>
        </w:rPr>
        <w:t>unu</w:t>
      </w:r>
      <w:r w:rsidRPr="00315335">
        <w:rPr>
          <w:rFonts w:ascii="Arial" w:eastAsia="Calibri" w:hAnsi="Arial" w:cs="Arial"/>
          <w:sz w:val="24"/>
          <w:szCs w:val="24"/>
        </w:rPr>
        <w:t xml:space="preserve">l </w:t>
      </w:r>
      <w:r w:rsidRPr="00315335">
        <w:rPr>
          <w:rFonts w:ascii="Arial" w:eastAsia="Calibri" w:hAnsi="Arial" w:cs="Arial"/>
          <w:spacing w:val="-1"/>
          <w:sz w:val="24"/>
          <w:szCs w:val="24"/>
        </w:rPr>
        <w:t>d</w:t>
      </w:r>
      <w:r w:rsidRPr="00315335">
        <w:rPr>
          <w:rFonts w:ascii="Arial" w:eastAsia="Calibri" w:hAnsi="Arial" w:cs="Arial"/>
          <w:sz w:val="24"/>
          <w:szCs w:val="24"/>
        </w:rPr>
        <w:t>i</w:t>
      </w:r>
      <w:r w:rsidRPr="00315335">
        <w:rPr>
          <w:rFonts w:ascii="Arial" w:eastAsia="Calibri" w:hAnsi="Arial" w:cs="Arial"/>
          <w:spacing w:val="-1"/>
          <w:sz w:val="24"/>
          <w:szCs w:val="24"/>
        </w:rPr>
        <w:t>n</w:t>
      </w:r>
      <w:r w:rsidRPr="00315335">
        <w:rPr>
          <w:rFonts w:ascii="Arial" w:eastAsia="Calibri" w:hAnsi="Arial" w:cs="Arial"/>
          <w:sz w:val="24"/>
          <w:szCs w:val="24"/>
        </w:rPr>
        <w:t xml:space="preserve">tre </w:t>
      </w:r>
      <w:r w:rsidRPr="00315335">
        <w:rPr>
          <w:rFonts w:ascii="Arial" w:eastAsia="Calibri" w:hAnsi="Arial" w:cs="Arial"/>
          <w:spacing w:val="-1"/>
          <w:sz w:val="24"/>
          <w:szCs w:val="24"/>
        </w:rPr>
        <w:t>h</w:t>
      </w:r>
      <w:r w:rsidRPr="00315335">
        <w:rPr>
          <w:rFonts w:ascii="Arial" w:eastAsia="Calibri" w:hAnsi="Arial" w:cs="Arial"/>
          <w:sz w:val="24"/>
          <w:szCs w:val="24"/>
        </w:rPr>
        <w:t>a</w:t>
      </w:r>
      <w:r w:rsidRPr="00315335">
        <w:rPr>
          <w:rFonts w:ascii="Arial" w:eastAsia="Calibri" w:hAnsi="Arial" w:cs="Arial"/>
          <w:spacing w:val="-1"/>
          <w:sz w:val="24"/>
          <w:szCs w:val="24"/>
        </w:rPr>
        <w:t>z</w:t>
      </w:r>
      <w:r w:rsidRPr="00315335">
        <w:rPr>
          <w:rFonts w:ascii="Arial" w:eastAsia="Calibri" w:hAnsi="Arial" w:cs="Arial"/>
          <w:sz w:val="24"/>
          <w:szCs w:val="24"/>
        </w:rPr>
        <w:t>ar</w:t>
      </w:r>
      <w:r w:rsidRPr="00315335">
        <w:rPr>
          <w:rFonts w:ascii="Arial" w:eastAsia="Calibri" w:hAnsi="Arial" w:cs="Arial"/>
          <w:spacing w:val="-1"/>
          <w:sz w:val="24"/>
          <w:szCs w:val="24"/>
        </w:rPr>
        <w:t>d</w:t>
      </w:r>
      <w:r w:rsidRPr="00315335">
        <w:rPr>
          <w:rFonts w:ascii="Arial" w:eastAsia="Calibri" w:hAnsi="Arial" w:cs="Arial"/>
          <w:sz w:val="24"/>
          <w:szCs w:val="24"/>
        </w:rPr>
        <w:t xml:space="preserve">ele </w:t>
      </w:r>
      <w:r w:rsidRPr="00315335">
        <w:rPr>
          <w:rFonts w:ascii="Arial" w:eastAsia="Calibri" w:hAnsi="Arial" w:cs="Arial"/>
          <w:spacing w:val="-1"/>
          <w:sz w:val="24"/>
          <w:szCs w:val="24"/>
        </w:rPr>
        <w:t>p</w:t>
      </w:r>
      <w:r w:rsidRPr="00315335">
        <w:rPr>
          <w:rFonts w:ascii="Arial" w:eastAsia="Calibri" w:hAnsi="Arial" w:cs="Arial"/>
          <w:sz w:val="24"/>
          <w:szCs w:val="24"/>
        </w:rPr>
        <w:t>ri</w:t>
      </w:r>
      <w:r w:rsidRPr="00315335">
        <w:rPr>
          <w:rFonts w:ascii="Arial" w:eastAsia="Calibri" w:hAnsi="Arial" w:cs="Arial"/>
          <w:spacing w:val="-1"/>
          <w:sz w:val="24"/>
          <w:szCs w:val="24"/>
        </w:rPr>
        <w:t>n</w:t>
      </w:r>
      <w:r w:rsidRPr="00315335">
        <w:rPr>
          <w:rFonts w:ascii="Arial" w:eastAsia="Calibri" w:hAnsi="Arial" w:cs="Arial"/>
          <w:sz w:val="24"/>
          <w:szCs w:val="24"/>
        </w:rPr>
        <w:t>ci</w:t>
      </w:r>
      <w:r w:rsidRPr="00315335">
        <w:rPr>
          <w:rFonts w:ascii="Arial" w:eastAsia="Calibri" w:hAnsi="Arial" w:cs="Arial"/>
          <w:spacing w:val="-1"/>
          <w:sz w:val="24"/>
          <w:szCs w:val="24"/>
        </w:rPr>
        <w:t>p</w:t>
      </w:r>
      <w:r w:rsidRPr="00315335">
        <w:rPr>
          <w:rFonts w:ascii="Arial" w:eastAsia="Calibri" w:hAnsi="Arial" w:cs="Arial"/>
          <w:sz w:val="24"/>
          <w:szCs w:val="24"/>
        </w:rPr>
        <w:t xml:space="preserve">ale </w:t>
      </w:r>
      <w:r w:rsidRPr="00315335">
        <w:rPr>
          <w:rFonts w:ascii="Arial" w:eastAsia="Calibri" w:hAnsi="Arial" w:cs="Arial"/>
          <w:spacing w:val="-1"/>
          <w:sz w:val="24"/>
          <w:szCs w:val="24"/>
        </w:rPr>
        <w:t>d</w:t>
      </w:r>
      <w:r w:rsidRPr="00315335">
        <w:rPr>
          <w:rFonts w:ascii="Arial" w:eastAsia="Calibri" w:hAnsi="Arial" w:cs="Arial"/>
          <w:sz w:val="24"/>
          <w:szCs w:val="24"/>
        </w:rPr>
        <w:t xml:space="preserve">in ţara  </w:t>
      </w:r>
      <w:r w:rsidRPr="00315335">
        <w:rPr>
          <w:rFonts w:ascii="Arial" w:eastAsia="Calibri" w:hAnsi="Arial" w:cs="Arial"/>
          <w:spacing w:val="-1"/>
          <w:sz w:val="24"/>
          <w:szCs w:val="24"/>
        </w:rPr>
        <w:t>n</w:t>
      </w:r>
      <w:r w:rsidRPr="00315335">
        <w:rPr>
          <w:rFonts w:ascii="Arial" w:eastAsia="Calibri" w:hAnsi="Arial" w:cs="Arial"/>
          <w:spacing w:val="1"/>
          <w:sz w:val="24"/>
          <w:szCs w:val="24"/>
        </w:rPr>
        <w:t>o</w:t>
      </w:r>
      <w:r w:rsidRPr="00315335">
        <w:rPr>
          <w:rFonts w:ascii="Arial" w:eastAsia="Calibri" w:hAnsi="Arial" w:cs="Arial"/>
          <w:sz w:val="24"/>
          <w:szCs w:val="24"/>
        </w:rPr>
        <w:t xml:space="preserve">astră, care </w:t>
      </w:r>
      <w:r w:rsidRPr="00315335">
        <w:rPr>
          <w:rFonts w:ascii="Arial" w:eastAsia="Calibri" w:hAnsi="Arial" w:cs="Arial"/>
          <w:spacing w:val="-1"/>
          <w:sz w:val="24"/>
          <w:szCs w:val="24"/>
        </w:rPr>
        <w:t>p</w:t>
      </w:r>
      <w:r w:rsidRPr="00315335">
        <w:rPr>
          <w:rFonts w:ascii="Arial" w:eastAsia="Calibri" w:hAnsi="Arial" w:cs="Arial"/>
          <w:sz w:val="24"/>
          <w:szCs w:val="24"/>
        </w:rPr>
        <w:t>rin i</w:t>
      </w:r>
      <w:r w:rsidRPr="00315335">
        <w:rPr>
          <w:rFonts w:ascii="Arial" w:eastAsia="Calibri" w:hAnsi="Arial" w:cs="Arial"/>
          <w:spacing w:val="-1"/>
          <w:sz w:val="24"/>
          <w:szCs w:val="24"/>
        </w:rPr>
        <w:t>n</w:t>
      </w:r>
      <w:r w:rsidRPr="00315335">
        <w:rPr>
          <w:rFonts w:ascii="Arial" w:eastAsia="Calibri" w:hAnsi="Arial" w:cs="Arial"/>
          <w:sz w:val="24"/>
          <w:szCs w:val="24"/>
        </w:rPr>
        <w:t>t</w:t>
      </w:r>
      <w:r w:rsidRPr="00315335">
        <w:rPr>
          <w:rFonts w:ascii="Arial" w:eastAsia="Calibri" w:hAnsi="Arial" w:cs="Arial"/>
          <w:spacing w:val="1"/>
          <w:sz w:val="24"/>
          <w:szCs w:val="24"/>
        </w:rPr>
        <w:t>e</w:t>
      </w:r>
      <w:r w:rsidRPr="00315335">
        <w:rPr>
          <w:rFonts w:ascii="Arial" w:eastAsia="Calibri" w:hAnsi="Arial" w:cs="Arial"/>
          <w:spacing w:val="-1"/>
          <w:sz w:val="24"/>
          <w:szCs w:val="24"/>
        </w:rPr>
        <w:t>n</w:t>
      </w:r>
      <w:r w:rsidRPr="00315335">
        <w:rPr>
          <w:rFonts w:ascii="Arial" w:eastAsia="Calibri" w:hAnsi="Arial" w:cs="Arial"/>
          <w:sz w:val="24"/>
          <w:szCs w:val="24"/>
        </w:rPr>
        <w:t>s</w:t>
      </w:r>
      <w:r w:rsidRPr="00315335">
        <w:rPr>
          <w:rFonts w:ascii="Arial" w:eastAsia="Calibri" w:hAnsi="Arial" w:cs="Arial"/>
          <w:spacing w:val="-3"/>
          <w:sz w:val="24"/>
          <w:szCs w:val="24"/>
        </w:rPr>
        <w:t>i</w:t>
      </w:r>
      <w:r w:rsidRPr="00315335">
        <w:rPr>
          <w:rFonts w:ascii="Arial" w:eastAsia="Calibri" w:hAnsi="Arial" w:cs="Arial"/>
          <w:sz w:val="24"/>
          <w:szCs w:val="24"/>
        </w:rPr>
        <w:t xml:space="preserve">tate şi </w:t>
      </w:r>
      <w:r w:rsidRPr="00315335">
        <w:rPr>
          <w:rFonts w:ascii="Arial" w:eastAsia="Calibri" w:hAnsi="Arial" w:cs="Arial"/>
          <w:spacing w:val="-3"/>
          <w:sz w:val="24"/>
          <w:szCs w:val="24"/>
        </w:rPr>
        <w:t>a</w:t>
      </w:r>
      <w:r w:rsidRPr="00315335">
        <w:rPr>
          <w:rFonts w:ascii="Arial" w:eastAsia="Calibri" w:hAnsi="Arial" w:cs="Arial"/>
          <w:spacing w:val="1"/>
          <w:sz w:val="24"/>
          <w:szCs w:val="24"/>
        </w:rPr>
        <w:t>m</w:t>
      </w:r>
      <w:r w:rsidRPr="00315335">
        <w:rPr>
          <w:rFonts w:ascii="Arial" w:eastAsia="Calibri" w:hAnsi="Arial" w:cs="Arial"/>
          <w:spacing w:val="-1"/>
          <w:sz w:val="24"/>
          <w:szCs w:val="24"/>
        </w:rPr>
        <w:t>p</w:t>
      </w:r>
      <w:r w:rsidRPr="00315335">
        <w:rPr>
          <w:rFonts w:ascii="Arial" w:eastAsia="Calibri" w:hAnsi="Arial" w:cs="Arial"/>
          <w:spacing w:val="-3"/>
          <w:sz w:val="24"/>
          <w:szCs w:val="24"/>
        </w:rPr>
        <w:t>l</w:t>
      </w:r>
      <w:r w:rsidRPr="00315335">
        <w:rPr>
          <w:rFonts w:ascii="Arial" w:eastAsia="Calibri" w:hAnsi="Arial" w:cs="Arial"/>
          <w:spacing w:val="1"/>
          <w:sz w:val="24"/>
          <w:szCs w:val="24"/>
        </w:rPr>
        <w:t>o</w:t>
      </w:r>
      <w:r w:rsidRPr="00315335">
        <w:rPr>
          <w:rFonts w:ascii="Arial" w:eastAsia="Calibri" w:hAnsi="Arial" w:cs="Arial"/>
          <w:sz w:val="24"/>
          <w:szCs w:val="24"/>
        </w:rPr>
        <w:t xml:space="preserve">are </w:t>
      </w:r>
      <w:r w:rsidRPr="00315335">
        <w:rPr>
          <w:rFonts w:ascii="Arial" w:eastAsia="Calibri" w:hAnsi="Arial" w:cs="Arial"/>
          <w:spacing w:val="-3"/>
          <w:sz w:val="24"/>
          <w:szCs w:val="24"/>
        </w:rPr>
        <w:t>a</w:t>
      </w:r>
      <w:r w:rsidRPr="00315335">
        <w:rPr>
          <w:rFonts w:ascii="Arial" w:eastAsia="Calibri" w:hAnsi="Arial" w:cs="Arial"/>
          <w:spacing w:val="-1"/>
          <w:sz w:val="24"/>
          <w:szCs w:val="24"/>
        </w:rPr>
        <w:t>m</w:t>
      </w:r>
      <w:r w:rsidRPr="00315335">
        <w:rPr>
          <w:rFonts w:ascii="Arial" w:eastAsia="Calibri" w:hAnsi="Arial" w:cs="Arial"/>
          <w:sz w:val="24"/>
          <w:szCs w:val="24"/>
        </w:rPr>
        <w:t>en</w:t>
      </w:r>
      <w:r w:rsidRPr="00315335">
        <w:rPr>
          <w:rFonts w:ascii="Arial" w:eastAsia="Calibri" w:hAnsi="Arial" w:cs="Arial"/>
          <w:spacing w:val="-1"/>
          <w:sz w:val="24"/>
          <w:szCs w:val="24"/>
        </w:rPr>
        <w:t>in</w:t>
      </w:r>
      <w:r w:rsidRPr="00315335">
        <w:rPr>
          <w:rFonts w:ascii="Arial" w:eastAsia="Calibri" w:hAnsi="Arial" w:cs="Arial"/>
          <w:sz w:val="24"/>
          <w:szCs w:val="24"/>
        </w:rPr>
        <w:t xml:space="preserve">ţă </w:t>
      </w:r>
      <w:r w:rsidRPr="00315335">
        <w:rPr>
          <w:rFonts w:ascii="Arial" w:eastAsia="Calibri" w:hAnsi="Arial" w:cs="Arial"/>
          <w:spacing w:val="-1"/>
          <w:sz w:val="24"/>
          <w:szCs w:val="24"/>
        </w:rPr>
        <w:t>p</w:t>
      </w:r>
      <w:r w:rsidRPr="00315335">
        <w:rPr>
          <w:rFonts w:ascii="Arial" w:eastAsia="Calibri" w:hAnsi="Arial" w:cs="Arial"/>
          <w:spacing w:val="1"/>
          <w:sz w:val="24"/>
          <w:szCs w:val="24"/>
        </w:rPr>
        <w:t>o</w:t>
      </w:r>
      <w:r w:rsidRPr="00315335">
        <w:rPr>
          <w:rFonts w:ascii="Arial" w:eastAsia="Calibri" w:hAnsi="Arial" w:cs="Arial"/>
          <w:spacing w:val="-1"/>
          <w:sz w:val="24"/>
          <w:szCs w:val="24"/>
        </w:rPr>
        <w:t>pu</w:t>
      </w:r>
      <w:r w:rsidRPr="00315335">
        <w:rPr>
          <w:rFonts w:ascii="Arial" w:eastAsia="Calibri" w:hAnsi="Arial" w:cs="Arial"/>
          <w:sz w:val="24"/>
          <w:szCs w:val="24"/>
        </w:rPr>
        <w:t>laţi</w:t>
      </w:r>
      <w:r w:rsidRPr="00315335">
        <w:rPr>
          <w:rFonts w:ascii="Arial" w:eastAsia="Calibri" w:hAnsi="Arial" w:cs="Arial"/>
          <w:spacing w:val="-3"/>
          <w:sz w:val="24"/>
          <w:szCs w:val="24"/>
        </w:rPr>
        <w:t>a</w:t>
      </w:r>
      <w:r w:rsidRPr="00315335">
        <w:rPr>
          <w:rFonts w:ascii="Arial" w:eastAsia="Calibri" w:hAnsi="Arial" w:cs="Arial"/>
          <w:sz w:val="24"/>
          <w:szCs w:val="24"/>
        </w:rPr>
        <w:t>,</w:t>
      </w:r>
      <w:r w:rsidRPr="00315335">
        <w:rPr>
          <w:rFonts w:ascii="Arial" w:eastAsia="Calibri" w:hAnsi="Arial" w:cs="Arial"/>
          <w:spacing w:val="-3"/>
          <w:sz w:val="24"/>
          <w:szCs w:val="24"/>
        </w:rPr>
        <w:t>a</w:t>
      </w:r>
      <w:r w:rsidRPr="00315335">
        <w:rPr>
          <w:rFonts w:ascii="Arial" w:eastAsia="Calibri" w:hAnsi="Arial" w:cs="Arial"/>
          <w:sz w:val="24"/>
          <w:szCs w:val="24"/>
        </w:rPr>
        <w:t>cti</w:t>
      </w:r>
      <w:r w:rsidRPr="00315335">
        <w:rPr>
          <w:rFonts w:ascii="Arial" w:eastAsia="Calibri" w:hAnsi="Arial" w:cs="Arial"/>
          <w:spacing w:val="1"/>
          <w:sz w:val="24"/>
          <w:szCs w:val="24"/>
        </w:rPr>
        <w:t>v</w:t>
      </w:r>
      <w:r w:rsidRPr="00315335">
        <w:rPr>
          <w:rFonts w:ascii="Arial" w:eastAsia="Calibri" w:hAnsi="Arial" w:cs="Arial"/>
          <w:sz w:val="24"/>
          <w:szCs w:val="24"/>
        </w:rPr>
        <w:t>it</w:t>
      </w:r>
      <w:r w:rsidRPr="00315335">
        <w:rPr>
          <w:rFonts w:ascii="Arial" w:eastAsia="Calibri" w:hAnsi="Arial" w:cs="Arial"/>
          <w:spacing w:val="-2"/>
          <w:sz w:val="24"/>
          <w:szCs w:val="24"/>
        </w:rPr>
        <w:t>a</w:t>
      </w:r>
      <w:r w:rsidRPr="00315335">
        <w:rPr>
          <w:rFonts w:ascii="Arial" w:eastAsia="Calibri" w:hAnsi="Arial" w:cs="Arial"/>
          <w:sz w:val="24"/>
          <w:szCs w:val="24"/>
        </w:rPr>
        <w:t>t</w:t>
      </w:r>
      <w:r w:rsidRPr="00315335">
        <w:rPr>
          <w:rFonts w:ascii="Arial" w:eastAsia="Calibri" w:hAnsi="Arial" w:cs="Arial"/>
          <w:spacing w:val="1"/>
          <w:sz w:val="24"/>
          <w:szCs w:val="24"/>
        </w:rPr>
        <w:t>e</w:t>
      </w:r>
      <w:r w:rsidRPr="00315335">
        <w:rPr>
          <w:rFonts w:ascii="Arial" w:eastAsia="Calibri" w:hAnsi="Arial" w:cs="Arial"/>
          <w:sz w:val="24"/>
          <w:szCs w:val="24"/>
        </w:rPr>
        <w:t>a e</w:t>
      </w:r>
      <w:r w:rsidRPr="00315335">
        <w:rPr>
          <w:rFonts w:ascii="Arial" w:eastAsia="Calibri" w:hAnsi="Arial" w:cs="Arial"/>
          <w:spacing w:val="-2"/>
          <w:sz w:val="24"/>
          <w:szCs w:val="24"/>
        </w:rPr>
        <w:t>c</w:t>
      </w:r>
      <w:r w:rsidRPr="00315335">
        <w:rPr>
          <w:rFonts w:ascii="Arial" w:eastAsia="Calibri" w:hAnsi="Arial" w:cs="Arial"/>
          <w:spacing w:val="1"/>
          <w:sz w:val="24"/>
          <w:szCs w:val="24"/>
        </w:rPr>
        <w:t>o</w:t>
      </w:r>
      <w:r w:rsidRPr="00315335">
        <w:rPr>
          <w:rFonts w:ascii="Arial" w:eastAsia="Calibri" w:hAnsi="Arial" w:cs="Arial"/>
          <w:spacing w:val="-1"/>
          <w:sz w:val="24"/>
          <w:szCs w:val="24"/>
        </w:rPr>
        <w:t>no</w:t>
      </w:r>
      <w:r w:rsidRPr="00315335">
        <w:rPr>
          <w:rFonts w:ascii="Arial" w:eastAsia="Calibri" w:hAnsi="Arial" w:cs="Arial"/>
          <w:spacing w:val="1"/>
          <w:sz w:val="24"/>
          <w:szCs w:val="24"/>
        </w:rPr>
        <w:t>m</w:t>
      </w:r>
      <w:r w:rsidRPr="00315335">
        <w:rPr>
          <w:rFonts w:ascii="Arial" w:eastAsia="Calibri" w:hAnsi="Arial" w:cs="Arial"/>
          <w:sz w:val="24"/>
          <w:szCs w:val="24"/>
        </w:rPr>
        <w:t>ic</w:t>
      </w:r>
      <w:r w:rsidRPr="00315335">
        <w:rPr>
          <w:rFonts w:ascii="Arial" w:eastAsia="Calibri" w:hAnsi="Arial" w:cs="Arial"/>
          <w:spacing w:val="-3"/>
          <w:sz w:val="24"/>
          <w:szCs w:val="24"/>
        </w:rPr>
        <w:t>ă</w:t>
      </w:r>
      <w:r w:rsidRPr="00315335">
        <w:rPr>
          <w:rFonts w:ascii="Arial" w:eastAsia="Calibri" w:hAnsi="Arial" w:cs="Arial"/>
          <w:sz w:val="24"/>
          <w:szCs w:val="24"/>
        </w:rPr>
        <w:t xml:space="preserve">, </w:t>
      </w:r>
      <w:r w:rsidRPr="00315335">
        <w:rPr>
          <w:rFonts w:ascii="Arial" w:eastAsia="Calibri" w:hAnsi="Arial" w:cs="Arial"/>
          <w:spacing w:val="1"/>
          <w:sz w:val="24"/>
          <w:szCs w:val="24"/>
        </w:rPr>
        <w:t>m</w:t>
      </w:r>
      <w:r w:rsidRPr="00315335">
        <w:rPr>
          <w:rFonts w:ascii="Arial" w:eastAsia="Calibri" w:hAnsi="Arial" w:cs="Arial"/>
          <w:sz w:val="24"/>
          <w:szCs w:val="24"/>
        </w:rPr>
        <w:t>ed</w:t>
      </w:r>
      <w:r w:rsidRPr="00315335">
        <w:rPr>
          <w:rFonts w:ascii="Arial" w:eastAsia="Calibri" w:hAnsi="Arial" w:cs="Arial"/>
          <w:spacing w:val="-1"/>
          <w:sz w:val="24"/>
          <w:szCs w:val="24"/>
        </w:rPr>
        <w:t>iu</w:t>
      </w:r>
      <w:r w:rsidRPr="00315335">
        <w:rPr>
          <w:rFonts w:ascii="Arial" w:eastAsia="Calibri" w:hAnsi="Arial" w:cs="Arial"/>
          <w:sz w:val="24"/>
          <w:szCs w:val="24"/>
        </w:rPr>
        <w:t>l,</w:t>
      </w:r>
      <w:r w:rsidRPr="00315335">
        <w:rPr>
          <w:rFonts w:ascii="Arial" w:eastAsia="Calibri" w:hAnsi="Arial" w:cs="Arial"/>
          <w:spacing w:val="1"/>
          <w:sz w:val="24"/>
          <w:szCs w:val="24"/>
        </w:rPr>
        <w:t>v</w:t>
      </w:r>
      <w:r w:rsidRPr="00315335">
        <w:rPr>
          <w:rFonts w:ascii="Arial" w:eastAsia="Calibri" w:hAnsi="Arial" w:cs="Arial"/>
          <w:sz w:val="24"/>
          <w:szCs w:val="24"/>
        </w:rPr>
        <w:t>alori</w:t>
      </w:r>
      <w:r w:rsidRPr="00315335">
        <w:rPr>
          <w:rFonts w:ascii="Arial" w:eastAsia="Calibri" w:hAnsi="Arial" w:cs="Arial"/>
          <w:spacing w:val="-4"/>
          <w:sz w:val="24"/>
          <w:szCs w:val="24"/>
        </w:rPr>
        <w:t>l</w:t>
      </w:r>
      <w:r w:rsidRPr="00315335">
        <w:rPr>
          <w:rFonts w:ascii="Arial" w:eastAsia="Calibri" w:hAnsi="Arial" w:cs="Arial"/>
          <w:sz w:val="24"/>
          <w:szCs w:val="24"/>
        </w:rPr>
        <w:t>e cu</w:t>
      </w:r>
      <w:r w:rsidRPr="00315335">
        <w:rPr>
          <w:rFonts w:ascii="Arial" w:eastAsia="Calibri" w:hAnsi="Arial" w:cs="Arial"/>
          <w:spacing w:val="-1"/>
          <w:sz w:val="24"/>
          <w:szCs w:val="24"/>
        </w:rPr>
        <w:t>l</w:t>
      </w:r>
      <w:r w:rsidRPr="00315335">
        <w:rPr>
          <w:rFonts w:ascii="Arial" w:eastAsia="Calibri" w:hAnsi="Arial" w:cs="Arial"/>
          <w:sz w:val="24"/>
          <w:szCs w:val="24"/>
        </w:rPr>
        <w:t>tur</w:t>
      </w:r>
      <w:r w:rsidRPr="00315335">
        <w:rPr>
          <w:rFonts w:ascii="Arial" w:eastAsia="Calibri" w:hAnsi="Arial" w:cs="Arial"/>
          <w:spacing w:val="-1"/>
          <w:sz w:val="24"/>
          <w:szCs w:val="24"/>
        </w:rPr>
        <w:t>a</w:t>
      </w:r>
      <w:r w:rsidRPr="00315335">
        <w:rPr>
          <w:rFonts w:ascii="Arial" w:eastAsia="Calibri" w:hAnsi="Arial" w:cs="Arial"/>
          <w:spacing w:val="-3"/>
          <w:sz w:val="24"/>
          <w:szCs w:val="24"/>
        </w:rPr>
        <w:t>l</w:t>
      </w:r>
      <w:r w:rsidRPr="00315335">
        <w:rPr>
          <w:rFonts w:ascii="Arial" w:eastAsia="Calibri" w:hAnsi="Arial" w:cs="Arial"/>
          <w:sz w:val="24"/>
          <w:szCs w:val="24"/>
        </w:rPr>
        <w:t xml:space="preserve">e şi de </w:t>
      </w:r>
      <w:r w:rsidRPr="00315335">
        <w:rPr>
          <w:rFonts w:ascii="Arial" w:eastAsia="Calibri" w:hAnsi="Arial" w:cs="Arial"/>
          <w:spacing w:val="-1"/>
          <w:sz w:val="24"/>
          <w:szCs w:val="24"/>
        </w:rPr>
        <w:t>p</w:t>
      </w:r>
      <w:r w:rsidRPr="00315335">
        <w:rPr>
          <w:rFonts w:ascii="Arial" w:eastAsia="Calibri" w:hAnsi="Arial" w:cs="Arial"/>
          <w:sz w:val="24"/>
          <w:szCs w:val="24"/>
        </w:rPr>
        <w:t>atr</w:t>
      </w:r>
      <w:r w:rsidRPr="00315335">
        <w:rPr>
          <w:rFonts w:ascii="Arial" w:eastAsia="Calibri" w:hAnsi="Arial" w:cs="Arial"/>
          <w:spacing w:val="-3"/>
          <w:sz w:val="24"/>
          <w:szCs w:val="24"/>
        </w:rPr>
        <w:t>i</w:t>
      </w:r>
      <w:r w:rsidRPr="00315335">
        <w:rPr>
          <w:rFonts w:ascii="Arial" w:eastAsia="Calibri" w:hAnsi="Arial" w:cs="Arial"/>
          <w:spacing w:val="1"/>
          <w:sz w:val="24"/>
          <w:szCs w:val="24"/>
        </w:rPr>
        <w:t>mo</w:t>
      </w:r>
      <w:r w:rsidRPr="00315335">
        <w:rPr>
          <w:rFonts w:ascii="Arial" w:eastAsia="Calibri" w:hAnsi="Arial" w:cs="Arial"/>
          <w:spacing w:val="-1"/>
          <w:sz w:val="24"/>
          <w:szCs w:val="24"/>
        </w:rPr>
        <w:t>n</w:t>
      </w:r>
      <w:r w:rsidRPr="00315335">
        <w:rPr>
          <w:rFonts w:ascii="Arial" w:eastAsia="Calibri" w:hAnsi="Arial" w:cs="Arial"/>
          <w:sz w:val="24"/>
          <w:szCs w:val="24"/>
        </w:rPr>
        <w:t>i</w:t>
      </w:r>
      <w:r w:rsidRPr="00315335">
        <w:rPr>
          <w:rFonts w:ascii="Arial" w:eastAsia="Calibri" w:hAnsi="Arial" w:cs="Arial"/>
          <w:spacing w:val="-1"/>
          <w:sz w:val="24"/>
          <w:szCs w:val="24"/>
        </w:rPr>
        <w:t>u</w:t>
      </w:r>
      <w:r w:rsidRPr="00315335">
        <w:rPr>
          <w:rFonts w:ascii="Arial" w:eastAsia="Calibri" w:hAnsi="Arial" w:cs="Arial"/>
          <w:sz w:val="24"/>
          <w:szCs w:val="24"/>
        </w:rPr>
        <w:t>.</w:t>
      </w:r>
    </w:p>
    <w:p w:rsidR="00643CB5" w:rsidRPr="00315335" w:rsidRDefault="00643CB5" w:rsidP="00643CB5">
      <w:pPr>
        <w:spacing w:after="0" w:line="240" w:lineRule="auto"/>
        <w:ind w:firstLine="708"/>
        <w:jc w:val="both"/>
        <w:rPr>
          <w:rFonts w:ascii="Calibri" w:eastAsia="Calibri" w:hAnsi="Calibri" w:cs="Calibri"/>
        </w:rPr>
      </w:pPr>
      <w:r w:rsidRPr="00315335">
        <w:rPr>
          <w:rFonts w:ascii="Arial" w:eastAsia="Calibri" w:hAnsi="Arial" w:cs="Arial"/>
          <w:sz w:val="24"/>
          <w:szCs w:val="24"/>
        </w:rPr>
        <w:t>În R</w:t>
      </w:r>
      <w:r w:rsidRPr="00315335">
        <w:rPr>
          <w:rFonts w:ascii="Arial" w:eastAsia="Calibri" w:hAnsi="Arial" w:cs="Arial"/>
          <w:spacing w:val="-1"/>
          <w:sz w:val="24"/>
          <w:szCs w:val="24"/>
        </w:rPr>
        <w:t>o</w:t>
      </w:r>
      <w:r w:rsidRPr="00315335">
        <w:rPr>
          <w:rFonts w:ascii="Arial" w:eastAsia="Calibri" w:hAnsi="Arial" w:cs="Arial"/>
          <w:spacing w:val="1"/>
          <w:sz w:val="24"/>
          <w:szCs w:val="24"/>
        </w:rPr>
        <w:t>m</w:t>
      </w:r>
      <w:r w:rsidRPr="00315335">
        <w:rPr>
          <w:rFonts w:ascii="Arial" w:eastAsia="Calibri" w:hAnsi="Arial" w:cs="Arial"/>
          <w:sz w:val="24"/>
          <w:szCs w:val="24"/>
        </w:rPr>
        <w:t>â</w:t>
      </w:r>
      <w:r w:rsidRPr="00315335">
        <w:rPr>
          <w:rFonts w:ascii="Arial" w:eastAsia="Calibri" w:hAnsi="Arial" w:cs="Arial"/>
          <w:spacing w:val="-1"/>
          <w:sz w:val="24"/>
          <w:szCs w:val="24"/>
        </w:rPr>
        <w:t>n</w:t>
      </w:r>
      <w:r w:rsidRPr="00315335">
        <w:rPr>
          <w:rFonts w:ascii="Arial" w:eastAsia="Calibri" w:hAnsi="Arial" w:cs="Arial"/>
          <w:sz w:val="24"/>
          <w:szCs w:val="24"/>
        </w:rPr>
        <w:t>ia i</w:t>
      </w:r>
      <w:r w:rsidRPr="00315335">
        <w:rPr>
          <w:rFonts w:ascii="Arial" w:eastAsia="Calibri" w:hAnsi="Arial" w:cs="Arial"/>
          <w:spacing w:val="-1"/>
          <w:sz w:val="24"/>
          <w:szCs w:val="24"/>
        </w:rPr>
        <w:t>nund</w:t>
      </w:r>
      <w:r w:rsidRPr="00315335">
        <w:rPr>
          <w:rFonts w:ascii="Arial" w:eastAsia="Calibri" w:hAnsi="Arial" w:cs="Arial"/>
          <w:sz w:val="24"/>
          <w:szCs w:val="24"/>
        </w:rPr>
        <w:t>aţii</w:t>
      </w:r>
      <w:r w:rsidRPr="00315335">
        <w:rPr>
          <w:rFonts w:ascii="Arial" w:eastAsia="Calibri" w:hAnsi="Arial" w:cs="Arial"/>
          <w:spacing w:val="-1"/>
          <w:sz w:val="24"/>
          <w:szCs w:val="24"/>
        </w:rPr>
        <w:t>l</w:t>
      </w:r>
      <w:r w:rsidRPr="00315335">
        <w:rPr>
          <w:rFonts w:ascii="Arial" w:eastAsia="Calibri" w:hAnsi="Arial" w:cs="Arial"/>
          <w:sz w:val="24"/>
          <w:szCs w:val="24"/>
        </w:rPr>
        <w:t>e su</w:t>
      </w:r>
      <w:r w:rsidRPr="00315335">
        <w:rPr>
          <w:rFonts w:ascii="Arial" w:eastAsia="Calibri" w:hAnsi="Arial" w:cs="Arial"/>
          <w:spacing w:val="-4"/>
          <w:sz w:val="24"/>
          <w:szCs w:val="24"/>
        </w:rPr>
        <w:t>n</w:t>
      </w:r>
      <w:r w:rsidRPr="00315335">
        <w:rPr>
          <w:rFonts w:ascii="Arial" w:eastAsia="Calibri" w:hAnsi="Arial" w:cs="Arial"/>
          <w:sz w:val="24"/>
          <w:szCs w:val="24"/>
        </w:rPr>
        <w:t xml:space="preserve">t </w:t>
      </w:r>
      <w:r w:rsidRPr="00315335">
        <w:rPr>
          <w:rFonts w:ascii="Arial" w:eastAsia="Calibri" w:hAnsi="Arial" w:cs="Arial"/>
          <w:spacing w:val="-1"/>
          <w:sz w:val="24"/>
          <w:szCs w:val="24"/>
        </w:rPr>
        <w:t>po</w:t>
      </w:r>
      <w:r w:rsidRPr="00315335">
        <w:rPr>
          <w:rFonts w:ascii="Arial" w:eastAsia="Calibri" w:hAnsi="Arial" w:cs="Arial"/>
          <w:sz w:val="24"/>
          <w:szCs w:val="24"/>
        </w:rPr>
        <w:t>si</w:t>
      </w:r>
      <w:r w:rsidRPr="00315335">
        <w:rPr>
          <w:rFonts w:ascii="Arial" w:eastAsia="Calibri" w:hAnsi="Arial" w:cs="Arial"/>
          <w:spacing w:val="-1"/>
          <w:sz w:val="24"/>
          <w:szCs w:val="24"/>
        </w:rPr>
        <w:t>b</w:t>
      </w:r>
      <w:r w:rsidRPr="00315335">
        <w:rPr>
          <w:rFonts w:ascii="Arial" w:eastAsia="Calibri" w:hAnsi="Arial" w:cs="Arial"/>
          <w:sz w:val="24"/>
          <w:szCs w:val="24"/>
        </w:rPr>
        <w:t>i</w:t>
      </w:r>
      <w:r w:rsidRPr="00315335">
        <w:rPr>
          <w:rFonts w:ascii="Arial" w:eastAsia="Calibri" w:hAnsi="Arial" w:cs="Arial"/>
          <w:spacing w:val="-1"/>
          <w:sz w:val="24"/>
          <w:szCs w:val="24"/>
        </w:rPr>
        <w:t>l</w:t>
      </w:r>
      <w:r w:rsidRPr="00315335">
        <w:rPr>
          <w:rFonts w:ascii="Arial" w:eastAsia="Calibri" w:hAnsi="Arial" w:cs="Arial"/>
          <w:sz w:val="24"/>
          <w:szCs w:val="24"/>
        </w:rPr>
        <w:t xml:space="preserve">e </w:t>
      </w:r>
      <w:r w:rsidRPr="00315335">
        <w:rPr>
          <w:rFonts w:ascii="Arial" w:eastAsia="Calibri" w:hAnsi="Arial" w:cs="Arial"/>
          <w:spacing w:val="-3"/>
          <w:sz w:val="24"/>
          <w:szCs w:val="24"/>
        </w:rPr>
        <w:t>p</w:t>
      </w:r>
      <w:r w:rsidRPr="00315335">
        <w:rPr>
          <w:rFonts w:ascii="Arial" w:eastAsia="Calibri" w:hAnsi="Arial" w:cs="Arial"/>
          <w:sz w:val="24"/>
          <w:szCs w:val="24"/>
        </w:rPr>
        <w:t xml:space="preserve">e </w:t>
      </w:r>
      <w:r w:rsidRPr="00315335">
        <w:rPr>
          <w:rFonts w:ascii="Arial" w:eastAsia="Calibri" w:hAnsi="Arial" w:cs="Arial"/>
          <w:spacing w:val="-2"/>
          <w:sz w:val="24"/>
          <w:szCs w:val="24"/>
        </w:rPr>
        <w:t>t</w:t>
      </w:r>
      <w:r w:rsidRPr="00315335">
        <w:rPr>
          <w:rFonts w:ascii="Arial" w:eastAsia="Calibri" w:hAnsi="Arial" w:cs="Arial"/>
          <w:spacing w:val="1"/>
          <w:sz w:val="24"/>
          <w:szCs w:val="24"/>
        </w:rPr>
        <w:t>o</w:t>
      </w:r>
      <w:r w:rsidRPr="00315335">
        <w:rPr>
          <w:rFonts w:ascii="Arial" w:eastAsia="Calibri" w:hAnsi="Arial" w:cs="Arial"/>
          <w:sz w:val="24"/>
          <w:szCs w:val="24"/>
        </w:rPr>
        <w:t xml:space="preserve">t </w:t>
      </w:r>
      <w:r w:rsidRPr="00315335">
        <w:rPr>
          <w:rFonts w:ascii="Arial" w:eastAsia="Calibri" w:hAnsi="Arial" w:cs="Arial"/>
          <w:spacing w:val="-1"/>
          <w:sz w:val="24"/>
          <w:szCs w:val="24"/>
        </w:rPr>
        <w:t>p</w:t>
      </w:r>
      <w:r w:rsidRPr="00315335">
        <w:rPr>
          <w:rFonts w:ascii="Arial" w:eastAsia="Calibri" w:hAnsi="Arial" w:cs="Arial"/>
          <w:sz w:val="24"/>
          <w:szCs w:val="24"/>
        </w:rPr>
        <w:t>arc</w:t>
      </w:r>
      <w:r w:rsidRPr="00315335">
        <w:rPr>
          <w:rFonts w:ascii="Arial" w:eastAsia="Calibri" w:hAnsi="Arial" w:cs="Arial"/>
          <w:spacing w:val="-1"/>
          <w:sz w:val="24"/>
          <w:szCs w:val="24"/>
        </w:rPr>
        <w:t>u</w:t>
      </w:r>
      <w:r w:rsidRPr="00315335">
        <w:rPr>
          <w:rFonts w:ascii="Arial" w:eastAsia="Calibri" w:hAnsi="Arial" w:cs="Arial"/>
          <w:sz w:val="24"/>
          <w:szCs w:val="24"/>
        </w:rPr>
        <w:t>rs</w:t>
      </w:r>
      <w:r w:rsidRPr="00315335">
        <w:rPr>
          <w:rFonts w:ascii="Arial" w:eastAsia="Calibri" w:hAnsi="Arial" w:cs="Arial"/>
          <w:spacing w:val="-1"/>
          <w:sz w:val="24"/>
          <w:szCs w:val="24"/>
        </w:rPr>
        <w:t>u</w:t>
      </w:r>
      <w:r w:rsidRPr="00315335">
        <w:rPr>
          <w:rFonts w:ascii="Arial" w:eastAsia="Calibri" w:hAnsi="Arial" w:cs="Arial"/>
          <w:sz w:val="24"/>
          <w:szCs w:val="24"/>
        </w:rPr>
        <w:t>l a</w:t>
      </w:r>
      <w:r w:rsidRPr="00315335">
        <w:rPr>
          <w:rFonts w:ascii="Arial" w:eastAsia="Calibri" w:hAnsi="Arial" w:cs="Arial"/>
          <w:spacing w:val="-1"/>
          <w:sz w:val="24"/>
          <w:szCs w:val="24"/>
        </w:rPr>
        <w:t>nu</w:t>
      </w:r>
      <w:r w:rsidRPr="00315335">
        <w:rPr>
          <w:rFonts w:ascii="Arial" w:eastAsia="Calibri" w:hAnsi="Arial" w:cs="Arial"/>
          <w:sz w:val="24"/>
          <w:szCs w:val="24"/>
        </w:rPr>
        <w:t>l</w:t>
      </w:r>
      <w:r w:rsidRPr="00315335">
        <w:rPr>
          <w:rFonts w:ascii="Arial" w:eastAsia="Calibri" w:hAnsi="Arial" w:cs="Arial"/>
          <w:spacing w:val="-1"/>
          <w:sz w:val="24"/>
          <w:szCs w:val="24"/>
        </w:rPr>
        <w:t>u</w:t>
      </w:r>
      <w:r w:rsidRPr="00315335">
        <w:rPr>
          <w:rFonts w:ascii="Arial" w:eastAsia="Calibri" w:hAnsi="Arial" w:cs="Arial"/>
          <w:sz w:val="24"/>
          <w:szCs w:val="24"/>
        </w:rPr>
        <w:t>i,ac</w:t>
      </w:r>
      <w:r w:rsidRPr="00315335">
        <w:rPr>
          <w:rFonts w:ascii="Arial" w:eastAsia="Calibri" w:hAnsi="Arial" w:cs="Arial"/>
          <w:spacing w:val="9"/>
          <w:sz w:val="24"/>
          <w:szCs w:val="24"/>
        </w:rPr>
        <w:t>e</w:t>
      </w:r>
      <w:r w:rsidRPr="00315335">
        <w:rPr>
          <w:rFonts w:ascii="Arial" w:eastAsia="Calibri" w:hAnsi="Arial" w:cs="Arial"/>
          <w:sz w:val="24"/>
          <w:szCs w:val="24"/>
        </w:rPr>
        <w:t>s</w:t>
      </w:r>
      <w:r w:rsidRPr="00315335">
        <w:rPr>
          <w:rFonts w:ascii="Arial" w:eastAsia="Calibri" w:hAnsi="Arial" w:cs="Arial"/>
          <w:spacing w:val="-2"/>
          <w:sz w:val="24"/>
          <w:szCs w:val="24"/>
        </w:rPr>
        <w:t>t</w:t>
      </w:r>
      <w:r w:rsidRPr="00315335">
        <w:rPr>
          <w:rFonts w:ascii="Arial" w:eastAsia="Calibri" w:hAnsi="Arial" w:cs="Arial"/>
          <w:sz w:val="24"/>
          <w:szCs w:val="24"/>
        </w:rPr>
        <w:t>ea a</w:t>
      </w:r>
      <w:r w:rsidRPr="00315335">
        <w:rPr>
          <w:rFonts w:ascii="Arial" w:eastAsia="Calibri" w:hAnsi="Arial" w:cs="Arial"/>
          <w:spacing w:val="1"/>
          <w:sz w:val="24"/>
          <w:szCs w:val="24"/>
        </w:rPr>
        <w:t>v</w:t>
      </w:r>
      <w:r w:rsidRPr="00315335">
        <w:rPr>
          <w:rFonts w:ascii="Arial" w:eastAsia="Calibri" w:hAnsi="Arial" w:cs="Arial"/>
          <w:sz w:val="24"/>
          <w:szCs w:val="24"/>
        </w:rPr>
        <w:t>â</w:t>
      </w:r>
      <w:r w:rsidRPr="00315335">
        <w:rPr>
          <w:rFonts w:ascii="Arial" w:eastAsia="Calibri" w:hAnsi="Arial" w:cs="Arial"/>
          <w:spacing w:val="-1"/>
          <w:sz w:val="24"/>
          <w:szCs w:val="24"/>
        </w:rPr>
        <w:t>n</w:t>
      </w:r>
      <w:r w:rsidRPr="00315335">
        <w:rPr>
          <w:rFonts w:ascii="Arial" w:eastAsia="Calibri" w:hAnsi="Arial" w:cs="Arial"/>
          <w:sz w:val="24"/>
          <w:szCs w:val="24"/>
        </w:rPr>
        <w:t>d ca su</w:t>
      </w:r>
      <w:r w:rsidRPr="00315335">
        <w:rPr>
          <w:rFonts w:ascii="Arial" w:eastAsia="Calibri" w:hAnsi="Arial" w:cs="Arial"/>
          <w:spacing w:val="-1"/>
          <w:sz w:val="24"/>
          <w:szCs w:val="24"/>
        </w:rPr>
        <w:t>r</w:t>
      </w:r>
      <w:r w:rsidRPr="00315335">
        <w:rPr>
          <w:rFonts w:ascii="Arial" w:eastAsia="Calibri" w:hAnsi="Arial" w:cs="Arial"/>
          <w:sz w:val="24"/>
          <w:szCs w:val="24"/>
        </w:rPr>
        <w:t xml:space="preserve">să </w:t>
      </w:r>
      <w:r w:rsidRPr="00315335">
        <w:rPr>
          <w:rFonts w:ascii="Arial" w:eastAsia="Calibri" w:hAnsi="Arial" w:cs="Arial"/>
          <w:spacing w:val="-3"/>
          <w:sz w:val="24"/>
          <w:szCs w:val="24"/>
        </w:rPr>
        <w:t>r</w:t>
      </w:r>
      <w:r w:rsidRPr="00315335">
        <w:rPr>
          <w:rFonts w:ascii="Arial" w:eastAsia="Calibri" w:hAnsi="Arial" w:cs="Arial"/>
          <w:sz w:val="24"/>
          <w:szCs w:val="24"/>
        </w:rPr>
        <w:t>e</w:t>
      </w:r>
      <w:r w:rsidRPr="00315335">
        <w:rPr>
          <w:rFonts w:ascii="Arial" w:eastAsia="Calibri" w:hAnsi="Arial" w:cs="Arial"/>
          <w:spacing w:val="1"/>
          <w:sz w:val="24"/>
          <w:szCs w:val="24"/>
        </w:rPr>
        <w:t>v</w:t>
      </w:r>
      <w:r w:rsidRPr="00315335">
        <w:rPr>
          <w:rFonts w:ascii="Arial" w:eastAsia="Calibri" w:hAnsi="Arial" w:cs="Arial"/>
          <w:sz w:val="24"/>
          <w:szCs w:val="24"/>
        </w:rPr>
        <w:t>ă</w:t>
      </w:r>
      <w:r w:rsidRPr="00315335">
        <w:rPr>
          <w:rFonts w:ascii="Arial" w:eastAsia="Calibri" w:hAnsi="Arial" w:cs="Arial"/>
          <w:spacing w:val="-3"/>
          <w:sz w:val="24"/>
          <w:szCs w:val="24"/>
        </w:rPr>
        <w:t>r</w:t>
      </w:r>
      <w:r w:rsidRPr="00315335">
        <w:rPr>
          <w:rFonts w:ascii="Arial" w:eastAsia="Calibri" w:hAnsi="Arial" w:cs="Arial"/>
          <w:sz w:val="24"/>
          <w:szCs w:val="24"/>
        </w:rPr>
        <w:t xml:space="preserve">sări </w:t>
      </w:r>
      <w:r w:rsidRPr="00315335">
        <w:rPr>
          <w:rFonts w:ascii="Arial" w:eastAsia="Calibri" w:hAnsi="Arial" w:cs="Arial"/>
          <w:spacing w:val="-1"/>
          <w:sz w:val="24"/>
          <w:szCs w:val="24"/>
        </w:rPr>
        <w:t>n</w:t>
      </w:r>
      <w:r w:rsidRPr="00315335">
        <w:rPr>
          <w:rFonts w:ascii="Arial" w:eastAsia="Calibri" w:hAnsi="Arial" w:cs="Arial"/>
          <w:sz w:val="24"/>
          <w:szCs w:val="24"/>
        </w:rPr>
        <w:t>atu</w:t>
      </w:r>
      <w:r w:rsidRPr="00315335">
        <w:rPr>
          <w:rFonts w:ascii="Arial" w:eastAsia="Calibri" w:hAnsi="Arial" w:cs="Arial"/>
          <w:spacing w:val="-1"/>
          <w:sz w:val="24"/>
          <w:szCs w:val="24"/>
        </w:rPr>
        <w:t>r</w:t>
      </w:r>
      <w:r w:rsidRPr="00315335">
        <w:rPr>
          <w:rFonts w:ascii="Arial" w:eastAsia="Calibri" w:hAnsi="Arial" w:cs="Arial"/>
          <w:sz w:val="24"/>
          <w:szCs w:val="24"/>
        </w:rPr>
        <w:t>a</w:t>
      </w:r>
      <w:r w:rsidRPr="00315335">
        <w:rPr>
          <w:rFonts w:ascii="Arial" w:eastAsia="Calibri" w:hAnsi="Arial" w:cs="Arial"/>
          <w:spacing w:val="2"/>
          <w:sz w:val="24"/>
          <w:szCs w:val="24"/>
        </w:rPr>
        <w:t>l</w:t>
      </w:r>
      <w:r w:rsidRPr="00315335">
        <w:rPr>
          <w:rFonts w:ascii="Arial" w:eastAsia="Calibri" w:hAnsi="Arial" w:cs="Arial"/>
          <w:sz w:val="24"/>
          <w:szCs w:val="24"/>
        </w:rPr>
        <w:t>e ale cu</w:t>
      </w:r>
      <w:r w:rsidRPr="00315335">
        <w:rPr>
          <w:rFonts w:ascii="Arial" w:eastAsia="Calibri" w:hAnsi="Arial" w:cs="Arial"/>
          <w:spacing w:val="-1"/>
          <w:sz w:val="24"/>
          <w:szCs w:val="24"/>
        </w:rPr>
        <w:t>r</w:t>
      </w:r>
      <w:r w:rsidRPr="00315335">
        <w:rPr>
          <w:rFonts w:ascii="Arial" w:eastAsia="Calibri" w:hAnsi="Arial" w:cs="Arial"/>
          <w:sz w:val="24"/>
          <w:szCs w:val="24"/>
        </w:rPr>
        <w:t>su</w:t>
      </w:r>
      <w:r w:rsidRPr="00315335">
        <w:rPr>
          <w:rFonts w:ascii="Arial" w:eastAsia="Calibri" w:hAnsi="Arial" w:cs="Arial"/>
          <w:spacing w:val="-1"/>
          <w:sz w:val="24"/>
          <w:szCs w:val="24"/>
        </w:rPr>
        <w:t>r</w:t>
      </w:r>
      <w:r w:rsidRPr="00315335">
        <w:rPr>
          <w:rFonts w:ascii="Arial" w:eastAsia="Calibri" w:hAnsi="Arial" w:cs="Arial"/>
          <w:sz w:val="24"/>
          <w:szCs w:val="24"/>
        </w:rPr>
        <w:t>i</w:t>
      </w:r>
      <w:r w:rsidRPr="00315335">
        <w:rPr>
          <w:rFonts w:ascii="Arial" w:eastAsia="Calibri" w:hAnsi="Arial" w:cs="Arial"/>
          <w:spacing w:val="-3"/>
          <w:sz w:val="24"/>
          <w:szCs w:val="24"/>
        </w:rPr>
        <w:t>l</w:t>
      </w:r>
      <w:r w:rsidRPr="00315335">
        <w:rPr>
          <w:rFonts w:ascii="Arial" w:eastAsia="Calibri" w:hAnsi="Arial" w:cs="Arial"/>
          <w:spacing w:val="1"/>
          <w:sz w:val="24"/>
          <w:szCs w:val="24"/>
        </w:rPr>
        <w:t>o</w:t>
      </w:r>
      <w:r w:rsidRPr="00315335">
        <w:rPr>
          <w:rFonts w:ascii="Arial" w:eastAsia="Calibri" w:hAnsi="Arial" w:cs="Arial"/>
          <w:sz w:val="24"/>
          <w:szCs w:val="24"/>
        </w:rPr>
        <w:t xml:space="preserve">r </w:t>
      </w:r>
      <w:r w:rsidRPr="00315335">
        <w:rPr>
          <w:rFonts w:ascii="Arial" w:eastAsia="Calibri" w:hAnsi="Arial" w:cs="Arial"/>
          <w:spacing w:val="-1"/>
          <w:sz w:val="24"/>
          <w:szCs w:val="24"/>
        </w:rPr>
        <w:t>d</w:t>
      </w:r>
      <w:r w:rsidRPr="00315335">
        <w:rPr>
          <w:rFonts w:ascii="Arial" w:eastAsia="Calibri" w:hAnsi="Arial" w:cs="Arial"/>
          <w:sz w:val="24"/>
          <w:szCs w:val="24"/>
        </w:rPr>
        <w:t>e a</w:t>
      </w:r>
      <w:r w:rsidRPr="00315335">
        <w:rPr>
          <w:rFonts w:ascii="Arial" w:eastAsia="Calibri" w:hAnsi="Arial" w:cs="Arial"/>
          <w:spacing w:val="-1"/>
          <w:sz w:val="24"/>
          <w:szCs w:val="24"/>
        </w:rPr>
        <w:t>p</w:t>
      </w:r>
      <w:r w:rsidRPr="00315335">
        <w:rPr>
          <w:rFonts w:ascii="Arial" w:eastAsia="Calibri" w:hAnsi="Arial" w:cs="Arial"/>
          <w:sz w:val="24"/>
          <w:szCs w:val="24"/>
        </w:rPr>
        <w:t>ă,</w:t>
      </w:r>
      <w:r w:rsidRPr="00315335">
        <w:rPr>
          <w:rFonts w:ascii="Arial" w:eastAsia="Calibri" w:hAnsi="Arial" w:cs="Arial"/>
          <w:spacing w:val="-1"/>
          <w:sz w:val="24"/>
          <w:szCs w:val="24"/>
        </w:rPr>
        <w:t>p</w:t>
      </w:r>
      <w:r w:rsidRPr="00315335">
        <w:rPr>
          <w:rFonts w:ascii="Arial" w:eastAsia="Calibri" w:hAnsi="Arial" w:cs="Arial"/>
          <w:sz w:val="24"/>
          <w:szCs w:val="24"/>
        </w:rPr>
        <w:t>r</w:t>
      </w:r>
      <w:r w:rsidRPr="00315335">
        <w:rPr>
          <w:rFonts w:ascii="Arial" w:eastAsia="Calibri" w:hAnsi="Arial" w:cs="Arial"/>
          <w:spacing w:val="-2"/>
          <w:sz w:val="24"/>
          <w:szCs w:val="24"/>
        </w:rPr>
        <w:t>ec</w:t>
      </w:r>
      <w:r w:rsidRPr="00315335">
        <w:rPr>
          <w:rFonts w:ascii="Arial" w:eastAsia="Calibri" w:hAnsi="Arial" w:cs="Arial"/>
          <w:sz w:val="24"/>
          <w:szCs w:val="24"/>
        </w:rPr>
        <w:t>i</w:t>
      </w:r>
      <w:r w:rsidRPr="00315335">
        <w:rPr>
          <w:rFonts w:ascii="Arial" w:eastAsia="Calibri" w:hAnsi="Arial" w:cs="Arial"/>
          <w:spacing w:val="-1"/>
          <w:sz w:val="24"/>
          <w:szCs w:val="24"/>
        </w:rPr>
        <w:t>p</w:t>
      </w:r>
      <w:r w:rsidRPr="00315335">
        <w:rPr>
          <w:rFonts w:ascii="Arial" w:eastAsia="Calibri" w:hAnsi="Arial" w:cs="Arial"/>
          <w:sz w:val="24"/>
          <w:szCs w:val="24"/>
        </w:rPr>
        <w:t>itaţii</w:t>
      </w:r>
      <w:r w:rsidRPr="00315335">
        <w:rPr>
          <w:rFonts w:ascii="Arial" w:eastAsia="Calibri" w:hAnsi="Arial" w:cs="Arial"/>
          <w:spacing w:val="-1"/>
          <w:sz w:val="24"/>
          <w:szCs w:val="24"/>
        </w:rPr>
        <w:t>l</w:t>
      </w:r>
      <w:r w:rsidRPr="00315335">
        <w:rPr>
          <w:rFonts w:ascii="Arial" w:eastAsia="Calibri" w:hAnsi="Arial" w:cs="Arial"/>
          <w:sz w:val="24"/>
          <w:szCs w:val="24"/>
        </w:rPr>
        <w:t>e a</w:t>
      </w:r>
      <w:r w:rsidRPr="00315335">
        <w:rPr>
          <w:rFonts w:ascii="Arial" w:eastAsia="Calibri" w:hAnsi="Arial" w:cs="Arial"/>
          <w:spacing w:val="-1"/>
          <w:sz w:val="24"/>
          <w:szCs w:val="24"/>
        </w:rPr>
        <w:t>bund</w:t>
      </w:r>
      <w:r w:rsidRPr="00315335">
        <w:rPr>
          <w:rFonts w:ascii="Arial" w:eastAsia="Calibri" w:hAnsi="Arial" w:cs="Arial"/>
          <w:sz w:val="24"/>
          <w:szCs w:val="24"/>
        </w:rPr>
        <w:t>ent</w:t>
      </w:r>
      <w:r w:rsidRPr="00315335">
        <w:rPr>
          <w:rFonts w:ascii="Arial" w:eastAsia="Calibri" w:hAnsi="Arial" w:cs="Arial"/>
          <w:spacing w:val="-2"/>
          <w:sz w:val="24"/>
          <w:szCs w:val="24"/>
        </w:rPr>
        <w:t>e</w:t>
      </w:r>
      <w:r w:rsidRPr="00315335">
        <w:rPr>
          <w:rFonts w:ascii="Arial" w:eastAsia="Calibri" w:hAnsi="Arial" w:cs="Arial"/>
          <w:sz w:val="24"/>
          <w:szCs w:val="24"/>
        </w:rPr>
        <w:t>, t</w:t>
      </w:r>
      <w:r w:rsidRPr="00315335">
        <w:rPr>
          <w:rFonts w:ascii="Arial" w:eastAsia="Calibri" w:hAnsi="Arial" w:cs="Arial"/>
          <w:spacing w:val="1"/>
          <w:sz w:val="24"/>
          <w:szCs w:val="24"/>
        </w:rPr>
        <w:t>o</w:t>
      </w:r>
      <w:r w:rsidRPr="00315335">
        <w:rPr>
          <w:rFonts w:ascii="Arial" w:eastAsia="Calibri" w:hAnsi="Arial" w:cs="Arial"/>
          <w:spacing w:val="-1"/>
          <w:sz w:val="24"/>
          <w:szCs w:val="24"/>
        </w:rPr>
        <w:t>p</w:t>
      </w:r>
      <w:r w:rsidRPr="00315335">
        <w:rPr>
          <w:rFonts w:ascii="Arial" w:eastAsia="Calibri" w:hAnsi="Arial" w:cs="Arial"/>
          <w:sz w:val="24"/>
          <w:szCs w:val="24"/>
        </w:rPr>
        <w:t>ir</w:t>
      </w:r>
      <w:r w:rsidRPr="00315335">
        <w:rPr>
          <w:rFonts w:ascii="Arial" w:eastAsia="Calibri" w:hAnsi="Arial" w:cs="Arial"/>
          <w:spacing w:val="1"/>
          <w:sz w:val="24"/>
          <w:szCs w:val="24"/>
        </w:rPr>
        <w:t>e</w:t>
      </w:r>
      <w:r w:rsidRPr="00315335">
        <w:rPr>
          <w:rFonts w:ascii="Arial" w:eastAsia="Calibri" w:hAnsi="Arial" w:cs="Arial"/>
          <w:sz w:val="24"/>
          <w:szCs w:val="24"/>
        </w:rPr>
        <w:t xml:space="preserve">a </w:t>
      </w:r>
      <w:r w:rsidRPr="00315335">
        <w:rPr>
          <w:rFonts w:ascii="Arial" w:eastAsia="Calibri" w:hAnsi="Arial" w:cs="Arial"/>
          <w:spacing w:val="-1"/>
          <w:sz w:val="24"/>
          <w:szCs w:val="24"/>
        </w:rPr>
        <w:t>z</w:t>
      </w:r>
      <w:r w:rsidRPr="00315335">
        <w:rPr>
          <w:rFonts w:ascii="Arial" w:eastAsia="Calibri" w:hAnsi="Arial" w:cs="Arial"/>
          <w:sz w:val="24"/>
          <w:szCs w:val="24"/>
        </w:rPr>
        <w:t>ă</w:t>
      </w:r>
      <w:r w:rsidRPr="00315335">
        <w:rPr>
          <w:rFonts w:ascii="Arial" w:eastAsia="Calibri" w:hAnsi="Arial" w:cs="Arial"/>
          <w:spacing w:val="-3"/>
          <w:sz w:val="24"/>
          <w:szCs w:val="24"/>
        </w:rPr>
        <w:t>p</w:t>
      </w:r>
      <w:r w:rsidRPr="00315335">
        <w:rPr>
          <w:rFonts w:ascii="Arial" w:eastAsia="Calibri" w:hAnsi="Arial" w:cs="Arial"/>
          <w:sz w:val="24"/>
          <w:szCs w:val="24"/>
        </w:rPr>
        <w:t>ez</w:t>
      </w:r>
      <w:r w:rsidRPr="00315335">
        <w:rPr>
          <w:rFonts w:ascii="Arial" w:eastAsia="Calibri" w:hAnsi="Arial" w:cs="Arial"/>
          <w:spacing w:val="-1"/>
          <w:sz w:val="24"/>
          <w:szCs w:val="24"/>
        </w:rPr>
        <w:t>i</w:t>
      </w:r>
      <w:r w:rsidRPr="00315335">
        <w:rPr>
          <w:rFonts w:ascii="Arial" w:eastAsia="Calibri" w:hAnsi="Arial" w:cs="Arial"/>
          <w:sz w:val="24"/>
          <w:szCs w:val="24"/>
        </w:rPr>
        <w:t>l</w:t>
      </w:r>
      <w:r w:rsidRPr="00315335">
        <w:rPr>
          <w:rFonts w:ascii="Arial" w:eastAsia="Calibri" w:hAnsi="Arial" w:cs="Arial"/>
          <w:spacing w:val="1"/>
          <w:sz w:val="24"/>
          <w:szCs w:val="24"/>
        </w:rPr>
        <w:t>o</w:t>
      </w:r>
      <w:r w:rsidRPr="00315335">
        <w:rPr>
          <w:rFonts w:ascii="Arial" w:eastAsia="Calibri" w:hAnsi="Arial" w:cs="Arial"/>
          <w:sz w:val="24"/>
          <w:szCs w:val="24"/>
        </w:rPr>
        <w:t>r,</w:t>
      </w:r>
      <w:r w:rsidRPr="00315335">
        <w:rPr>
          <w:rFonts w:ascii="Arial" w:eastAsia="Calibri" w:hAnsi="Arial" w:cs="Arial"/>
          <w:spacing w:val="-1"/>
          <w:sz w:val="24"/>
          <w:szCs w:val="24"/>
        </w:rPr>
        <w:t>b</w:t>
      </w:r>
      <w:r w:rsidRPr="00315335">
        <w:rPr>
          <w:rFonts w:ascii="Arial" w:eastAsia="Calibri" w:hAnsi="Arial" w:cs="Arial"/>
          <w:spacing w:val="-3"/>
          <w:sz w:val="24"/>
          <w:szCs w:val="24"/>
        </w:rPr>
        <w:t>l</w:t>
      </w:r>
      <w:r w:rsidRPr="00315335">
        <w:rPr>
          <w:rFonts w:ascii="Arial" w:eastAsia="Calibri" w:hAnsi="Arial" w:cs="Arial"/>
          <w:spacing w:val="1"/>
          <w:sz w:val="24"/>
          <w:szCs w:val="24"/>
        </w:rPr>
        <w:t>o</w:t>
      </w:r>
      <w:r w:rsidRPr="00315335">
        <w:rPr>
          <w:rFonts w:ascii="Arial" w:eastAsia="Calibri" w:hAnsi="Arial" w:cs="Arial"/>
          <w:sz w:val="24"/>
          <w:szCs w:val="24"/>
        </w:rPr>
        <w:t>caje</w:t>
      </w:r>
      <w:r w:rsidRPr="00315335">
        <w:rPr>
          <w:rFonts w:ascii="Arial" w:eastAsia="Calibri" w:hAnsi="Arial" w:cs="Arial"/>
          <w:spacing w:val="-2"/>
          <w:sz w:val="24"/>
          <w:szCs w:val="24"/>
        </w:rPr>
        <w:t>l</w:t>
      </w:r>
      <w:r w:rsidRPr="00315335">
        <w:rPr>
          <w:rFonts w:ascii="Arial" w:eastAsia="Calibri" w:hAnsi="Arial" w:cs="Arial"/>
          <w:sz w:val="24"/>
          <w:szCs w:val="24"/>
        </w:rPr>
        <w:t xml:space="preserve">e </w:t>
      </w:r>
      <w:r w:rsidRPr="00315335">
        <w:rPr>
          <w:rFonts w:ascii="Arial" w:eastAsia="Calibri" w:hAnsi="Arial" w:cs="Arial"/>
          <w:spacing w:val="-1"/>
          <w:sz w:val="24"/>
          <w:szCs w:val="24"/>
        </w:rPr>
        <w:t>d</w:t>
      </w:r>
      <w:r w:rsidRPr="00315335">
        <w:rPr>
          <w:rFonts w:ascii="Arial" w:eastAsia="Calibri" w:hAnsi="Arial" w:cs="Arial"/>
          <w:sz w:val="24"/>
          <w:szCs w:val="24"/>
        </w:rPr>
        <w:t>at</w:t>
      </w:r>
      <w:r w:rsidRPr="00315335">
        <w:rPr>
          <w:rFonts w:ascii="Arial" w:eastAsia="Calibri" w:hAnsi="Arial" w:cs="Arial"/>
          <w:spacing w:val="1"/>
          <w:sz w:val="24"/>
          <w:szCs w:val="24"/>
        </w:rPr>
        <w:t>o</w:t>
      </w:r>
      <w:r w:rsidRPr="00315335">
        <w:rPr>
          <w:rFonts w:ascii="Arial" w:eastAsia="Calibri" w:hAnsi="Arial" w:cs="Arial"/>
          <w:sz w:val="24"/>
          <w:szCs w:val="24"/>
        </w:rPr>
        <w:t>ra</w:t>
      </w:r>
      <w:r w:rsidRPr="00315335">
        <w:rPr>
          <w:rFonts w:ascii="Arial" w:eastAsia="Calibri" w:hAnsi="Arial" w:cs="Arial"/>
          <w:spacing w:val="-2"/>
          <w:sz w:val="24"/>
          <w:szCs w:val="24"/>
        </w:rPr>
        <w:t>t</w:t>
      </w:r>
      <w:r w:rsidRPr="00315335">
        <w:rPr>
          <w:rFonts w:ascii="Arial" w:eastAsia="Calibri" w:hAnsi="Arial" w:cs="Arial"/>
          <w:sz w:val="24"/>
          <w:szCs w:val="24"/>
        </w:rPr>
        <w:t xml:space="preserve">e </w:t>
      </w:r>
      <w:r w:rsidRPr="00315335">
        <w:rPr>
          <w:rFonts w:ascii="Arial" w:eastAsia="Calibri" w:hAnsi="Arial" w:cs="Arial"/>
          <w:spacing w:val="-1"/>
          <w:sz w:val="24"/>
          <w:szCs w:val="24"/>
        </w:rPr>
        <w:t>p</w:t>
      </w:r>
      <w:r w:rsidRPr="00315335">
        <w:rPr>
          <w:rFonts w:ascii="Arial" w:eastAsia="Calibri" w:hAnsi="Arial" w:cs="Arial"/>
          <w:spacing w:val="1"/>
          <w:sz w:val="24"/>
          <w:szCs w:val="24"/>
        </w:rPr>
        <w:t>o</w:t>
      </w:r>
      <w:r w:rsidRPr="00315335">
        <w:rPr>
          <w:rFonts w:ascii="Arial" w:eastAsia="Calibri" w:hAnsi="Arial" w:cs="Arial"/>
          <w:spacing w:val="-1"/>
          <w:sz w:val="24"/>
          <w:szCs w:val="24"/>
        </w:rPr>
        <w:t>du</w:t>
      </w:r>
      <w:r w:rsidRPr="00315335">
        <w:rPr>
          <w:rFonts w:ascii="Arial" w:eastAsia="Calibri" w:hAnsi="Arial" w:cs="Arial"/>
          <w:sz w:val="24"/>
          <w:szCs w:val="24"/>
        </w:rPr>
        <w:t>ri</w:t>
      </w:r>
      <w:r w:rsidRPr="00315335">
        <w:rPr>
          <w:rFonts w:ascii="Arial" w:eastAsia="Calibri" w:hAnsi="Arial" w:cs="Arial"/>
          <w:spacing w:val="-4"/>
          <w:sz w:val="24"/>
          <w:szCs w:val="24"/>
        </w:rPr>
        <w:t>l</w:t>
      </w:r>
      <w:r w:rsidRPr="00315335">
        <w:rPr>
          <w:rFonts w:ascii="Arial" w:eastAsia="Calibri" w:hAnsi="Arial" w:cs="Arial"/>
          <w:spacing w:val="1"/>
          <w:sz w:val="24"/>
          <w:szCs w:val="24"/>
        </w:rPr>
        <w:t>o</w:t>
      </w:r>
      <w:r w:rsidRPr="00315335">
        <w:rPr>
          <w:rFonts w:ascii="Arial" w:eastAsia="Calibri" w:hAnsi="Arial" w:cs="Arial"/>
          <w:sz w:val="24"/>
          <w:szCs w:val="24"/>
        </w:rPr>
        <w:t xml:space="preserve">r </w:t>
      </w:r>
      <w:r w:rsidRPr="00315335">
        <w:rPr>
          <w:rFonts w:ascii="Arial" w:eastAsia="Calibri" w:hAnsi="Arial" w:cs="Arial"/>
          <w:spacing w:val="-1"/>
          <w:sz w:val="24"/>
          <w:szCs w:val="24"/>
        </w:rPr>
        <w:t>d</w:t>
      </w:r>
      <w:r w:rsidRPr="00315335">
        <w:rPr>
          <w:rFonts w:ascii="Arial" w:eastAsia="Calibri" w:hAnsi="Arial" w:cs="Arial"/>
          <w:sz w:val="24"/>
          <w:szCs w:val="24"/>
        </w:rPr>
        <w:t xml:space="preserve">e </w:t>
      </w:r>
      <w:r w:rsidRPr="00315335">
        <w:rPr>
          <w:rFonts w:ascii="Arial" w:eastAsia="Calibri" w:hAnsi="Arial" w:cs="Arial"/>
          <w:spacing w:val="-1"/>
          <w:sz w:val="24"/>
          <w:szCs w:val="24"/>
        </w:rPr>
        <w:t>g</w:t>
      </w:r>
      <w:r w:rsidRPr="00315335">
        <w:rPr>
          <w:rFonts w:ascii="Arial" w:eastAsia="Calibri" w:hAnsi="Arial" w:cs="Arial"/>
          <w:spacing w:val="-3"/>
          <w:sz w:val="24"/>
          <w:szCs w:val="24"/>
        </w:rPr>
        <w:t>h</w:t>
      </w:r>
      <w:r w:rsidRPr="00315335">
        <w:rPr>
          <w:rFonts w:ascii="Arial" w:eastAsia="Calibri" w:hAnsi="Arial" w:cs="Arial"/>
          <w:sz w:val="24"/>
          <w:szCs w:val="24"/>
        </w:rPr>
        <w:t xml:space="preserve">eaţă sau </w:t>
      </w:r>
      <w:r w:rsidRPr="00315335">
        <w:rPr>
          <w:rFonts w:ascii="Arial" w:eastAsia="Calibri" w:hAnsi="Arial" w:cs="Arial"/>
          <w:spacing w:val="-1"/>
          <w:sz w:val="24"/>
          <w:szCs w:val="24"/>
        </w:rPr>
        <w:t>p</w:t>
      </w:r>
      <w:r w:rsidRPr="00315335">
        <w:rPr>
          <w:rFonts w:ascii="Arial" w:eastAsia="Calibri" w:hAnsi="Arial" w:cs="Arial"/>
          <w:sz w:val="24"/>
          <w:szCs w:val="24"/>
        </w:rPr>
        <w:t>l</w:t>
      </w:r>
      <w:r w:rsidRPr="00315335">
        <w:rPr>
          <w:rFonts w:ascii="Arial" w:eastAsia="Calibri" w:hAnsi="Arial" w:cs="Arial"/>
          <w:spacing w:val="-1"/>
          <w:sz w:val="24"/>
          <w:szCs w:val="24"/>
        </w:rPr>
        <w:t>u</w:t>
      </w:r>
      <w:r w:rsidRPr="00315335">
        <w:rPr>
          <w:rFonts w:ascii="Arial" w:eastAsia="Calibri" w:hAnsi="Arial" w:cs="Arial"/>
          <w:sz w:val="24"/>
          <w:szCs w:val="24"/>
        </w:rPr>
        <w:t>ti</w:t>
      </w:r>
      <w:r w:rsidRPr="00315335">
        <w:rPr>
          <w:rFonts w:ascii="Arial" w:eastAsia="Calibri" w:hAnsi="Arial" w:cs="Arial"/>
          <w:spacing w:val="-2"/>
          <w:sz w:val="24"/>
          <w:szCs w:val="24"/>
        </w:rPr>
        <w:t>t</w:t>
      </w:r>
      <w:r w:rsidRPr="00315335">
        <w:rPr>
          <w:rFonts w:ascii="Arial" w:eastAsia="Calibri" w:hAnsi="Arial" w:cs="Arial"/>
          <w:spacing w:val="1"/>
          <w:sz w:val="24"/>
          <w:szCs w:val="24"/>
        </w:rPr>
        <w:t>o</w:t>
      </w:r>
      <w:r w:rsidRPr="00315335">
        <w:rPr>
          <w:rFonts w:ascii="Arial" w:eastAsia="Calibri" w:hAnsi="Arial" w:cs="Arial"/>
          <w:sz w:val="24"/>
          <w:szCs w:val="24"/>
        </w:rPr>
        <w:t>r</w:t>
      </w:r>
      <w:r w:rsidRPr="00315335">
        <w:rPr>
          <w:rFonts w:ascii="Arial" w:eastAsia="Calibri" w:hAnsi="Arial" w:cs="Arial"/>
          <w:spacing w:val="1"/>
          <w:sz w:val="24"/>
          <w:szCs w:val="24"/>
        </w:rPr>
        <w:t>i</w:t>
      </w:r>
      <w:r w:rsidRPr="00315335">
        <w:rPr>
          <w:rFonts w:ascii="Arial" w:eastAsia="Calibri" w:hAnsi="Arial" w:cs="Arial"/>
          <w:spacing w:val="-3"/>
          <w:sz w:val="24"/>
          <w:szCs w:val="24"/>
        </w:rPr>
        <w:t>l</w:t>
      </w:r>
      <w:r w:rsidRPr="00315335">
        <w:rPr>
          <w:rFonts w:ascii="Arial" w:eastAsia="Calibri" w:hAnsi="Arial" w:cs="Arial"/>
          <w:spacing w:val="1"/>
          <w:sz w:val="24"/>
          <w:szCs w:val="24"/>
        </w:rPr>
        <w:t>o</w:t>
      </w:r>
      <w:r w:rsidRPr="00315335">
        <w:rPr>
          <w:rFonts w:ascii="Arial" w:eastAsia="Calibri" w:hAnsi="Arial" w:cs="Arial"/>
          <w:sz w:val="24"/>
          <w:szCs w:val="24"/>
        </w:rPr>
        <w:t>r, etc</w:t>
      </w:r>
      <w:r w:rsidRPr="00315335">
        <w:rPr>
          <w:rFonts w:ascii="Calibri" w:eastAsia="Calibri" w:hAnsi="Calibri" w:cs="Calibri"/>
        </w:rPr>
        <w:t>.</w:t>
      </w:r>
    </w:p>
    <w:p w:rsidR="00643CB5" w:rsidRPr="00315335" w:rsidRDefault="00643CB5" w:rsidP="00643CB5">
      <w:pPr>
        <w:spacing w:after="0" w:line="240" w:lineRule="auto"/>
        <w:ind w:firstLine="708"/>
        <w:jc w:val="both"/>
        <w:rPr>
          <w:rFonts w:ascii="Arial" w:eastAsia="Calibri" w:hAnsi="Arial" w:cs="Arial"/>
          <w:sz w:val="24"/>
          <w:szCs w:val="24"/>
        </w:rPr>
      </w:pPr>
      <w:r w:rsidRPr="00315335">
        <w:rPr>
          <w:rFonts w:ascii="Arial" w:eastAsia="Calibri" w:hAnsi="Arial" w:cs="Arial"/>
          <w:sz w:val="24"/>
          <w:szCs w:val="24"/>
        </w:rPr>
        <w:t>În urma anal</w:t>
      </w:r>
      <w:r w:rsidRPr="00315335">
        <w:rPr>
          <w:rFonts w:ascii="Arial" w:eastAsia="Calibri" w:hAnsi="Arial" w:cs="Arial"/>
          <w:spacing w:val="-1"/>
          <w:sz w:val="24"/>
          <w:szCs w:val="24"/>
        </w:rPr>
        <w:t>iz</w:t>
      </w:r>
      <w:r w:rsidRPr="00315335">
        <w:rPr>
          <w:rFonts w:ascii="Arial" w:eastAsia="Calibri" w:hAnsi="Arial" w:cs="Arial"/>
          <w:sz w:val="24"/>
          <w:szCs w:val="24"/>
        </w:rPr>
        <w:t>ăr</w:t>
      </w:r>
      <w:r w:rsidRPr="00315335">
        <w:rPr>
          <w:rFonts w:ascii="Arial" w:eastAsia="Calibri" w:hAnsi="Arial" w:cs="Arial"/>
          <w:spacing w:val="-1"/>
          <w:sz w:val="24"/>
          <w:szCs w:val="24"/>
        </w:rPr>
        <w:t>i</w:t>
      </w:r>
      <w:r w:rsidRPr="00315335">
        <w:rPr>
          <w:rFonts w:ascii="Arial" w:eastAsia="Calibri" w:hAnsi="Arial" w:cs="Arial"/>
          <w:sz w:val="24"/>
          <w:szCs w:val="24"/>
        </w:rPr>
        <w:t xml:space="preserve">i și </w:t>
      </w:r>
      <w:r w:rsidRPr="00315335">
        <w:rPr>
          <w:rFonts w:ascii="Arial" w:eastAsia="Calibri" w:hAnsi="Arial" w:cs="Arial"/>
          <w:spacing w:val="-1"/>
          <w:sz w:val="24"/>
          <w:szCs w:val="24"/>
        </w:rPr>
        <w:t>p</w:t>
      </w:r>
      <w:r w:rsidRPr="00315335">
        <w:rPr>
          <w:rFonts w:ascii="Arial" w:eastAsia="Calibri" w:hAnsi="Arial" w:cs="Arial"/>
          <w:sz w:val="24"/>
          <w:szCs w:val="24"/>
        </w:rPr>
        <w:t>rel</w:t>
      </w:r>
      <w:r w:rsidRPr="00315335">
        <w:rPr>
          <w:rFonts w:ascii="Arial" w:eastAsia="Calibri" w:hAnsi="Arial" w:cs="Arial"/>
          <w:spacing w:val="-1"/>
          <w:sz w:val="24"/>
          <w:szCs w:val="24"/>
        </w:rPr>
        <w:t>u</w:t>
      </w:r>
      <w:r w:rsidRPr="00315335">
        <w:rPr>
          <w:rFonts w:ascii="Arial" w:eastAsia="Calibri" w:hAnsi="Arial" w:cs="Arial"/>
          <w:sz w:val="24"/>
          <w:szCs w:val="24"/>
        </w:rPr>
        <w:t>crăr</w:t>
      </w:r>
      <w:r w:rsidRPr="00315335">
        <w:rPr>
          <w:rFonts w:ascii="Arial" w:eastAsia="Calibri" w:hAnsi="Arial" w:cs="Arial"/>
          <w:spacing w:val="-1"/>
          <w:sz w:val="24"/>
          <w:szCs w:val="24"/>
        </w:rPr>
        <w:t>i</w:t>
      </w:r>
      <w:r w:rsidRPr="00315335">
        <w:rPr>
          <w:rFonts w:ascii="Arial" w:eastAsia="Calibri" w:hAnsi="Arial" w:cs="Arial"/>
          <w:sz w:val="24"/>
          <w:szCs w:val="24"/>
        </w:rPr>
        <w:t xml:space="preserve">i </w:t>
      </w:r>
      <w:r w:rsidRPr="00315335">
        <w:rPr>
          <w:rFonts w:ascii="Arial" w:eastAsia="Calibri" w:hAnsi="Arial" w:cs="Arial"/>
          <w:spacing w:val="-1"/>
          <w:sz w:val="24"/>
          <w:szCs w:val="24"/>
        </w:rPr>
        <w:t>h</w:t>
      </w:r>
      <w:r w:rsidRPr="00315335">
        <w:rPr>
          <w:rFonts w:ascii="Arial" w:eastAsia="Calibri" w:hAnsi="Arial" w:cs="Arial"/>
          <w:sz w:val="24"/>
          <w:szCs w:val="24"/>
        </w:rPr>
        <w:t>ărți</w:t>
      </w:r>
      <w:r w:rsidRPr="00315335">
        <w:rPr>
          <w:rFonts w:ascii="Arial" w:eastAsia="Calibri" w:hAnsi="Arial" w:cs="Arial"/>
          <w:spacing w:val="-1"/>
          <w:sz w:val="24"/>
          <w:szCs w:val="24"/>
        </w:rPr>
        <w:t>l</w:t>
      </w:r>
      <w:r w:rsidRPr="00315335">
        <w:rPr>
          <w:rFonts w:ascii="Arial" w:eastAsia="Calibri" w:hAnsi="Arial" w:cs="Arial"/>
          <w:spacing w:val="1"/>
          <w:sz w:val="24"/>
          <w:szCs w:val="24"/>
        </w:rPr>
        <w:t>o</w:t>
      </w:r>
      <w:r w:rsidRPr="00315335">
        <w:rPr>
          <w:rFonts w:ascii="Arial" w:eastAsia="Calibri" w:hAnsi="Arial" w:cs="Arial"/>
          <w:sz w:val="24"/>
          <w:szCs w:val="24"/>
        </w:rPr>
        <w:t xml:space="preserve">r </w:t>
      </w:r>
      <w:r w:rsidRPr="00315335">
        <w:rPr>
          <w:rFonts w:ascii="Arial" w:eastAsia="Calibri" w:hAnsi="Arial" w:cs="Arial"/>
          <w:spacing w:val="-1"/>
          <w:sz w:val="24"/>
          <w:szCs w:val="24"/>
        </w:rPr>
        <w:t>d</w:t>
      </w:r>
      <w:r w:rsidRPr="00315335">
        <w:rPr>
          <w:rFonts w:ascii="Arial" w:eastAsia="Calibri" w:hAnsi="Arial" w:cs="Arial"/>
          <w:sz w:val="24"/>
          <w:szCs w:val="24"/>
        </w:rPr>
        <w:t xml:space="preserve">e </w:t>
      </w:r>
      <w:r w:rsidRPr="00315335">
        <w:rPr>
          <w:rFonts w:ascii="Arial" w:eastAsia="Calibri" w:hAnsi="Arial" w:cs="Arial"/>
          <w:spacing w:val="-1"/>
          <w:sz w:val="24"/>
          <w:szCs w:val="24"/>
        </w:rPr>
        <w:t>h</w:t>
      </w:r>
      <w:r w:rsidRPr="00315335">
        <w:rPr>
          <w:rFonts w:ascii="Arial" w:eastAsia="Calibri" w:hAnsi="Arial" w:cs="Arial"/>
          <w:sz w:val="24"/>
          <w:szCs w:val="24"/>
        </w:rPr>
        <w:t>a</w:t>
      </w:r>
      <w:r w:rsidRPr="00315335">
        <w:rPr>
          <w:rFonts w:ascii="Arial" w:eastAsia="Calibri" w:hAnsi="Arial" w:cs="Arial"/>
          <w:spacing w:val="-1"/>
          <w:sz w:val="24"/>
          <w:szCs w:val="24"/>
        </w:rPr>
        <w:t>z</w:t>
      </w:r>
      <w:r w:rsidRPr="00315335">
        <w:rPr>
          <w:rFonts w:ascii="Arial" w:eastAsia="Calibri" w:hAnsi="Arial" w:cs="Arial"/>
          <w:sz w:val="24"/>
          <w:szCs w:val="24"/>
        </w:rPr>
        <w:t xml:space="preserve">ard și </w:t>
      </w:r>
      <w:r w:rsidRPr="00315335">
        <w:rPr>
          <w:rFonts w:ascii="Arial" w:eastAsia="Calibri" w:hAnsi="Arial" w:cs="Arial"/>
          <w:spacing w:val="-1"/>
          <w:sz w:val="24"/>
          <w:szCs w:val="24"/>
        </w:rPr>
        <w:t>d</w:t>
      </w:r>
      <w:r w:rsidRPr="00315335">
        <w:rPr>
          <w:rFonts w:ascii="Arial" w:eastAsia="Calibri" w:hAnsi="Arial" w:cs="Arial"/>
          <w:sz w:val="24"/>
          <w:szCs w:val="24"/>
        </w:rPr>
        <w:t>e risc la i</w:t>
      </w:r>
      <w:r w:rsidRPr="00315335">
        <w:rPr>
          <w:rFonts w:ascii="Arial" w:eastAsia="Calibri" w:hAnsi="Arial" w:cs="Arial"/>
          <w:spacing w:val="-1"/>
          <w:sz w:val="24"/>
          <w:szCs w:val="24"/>
        </w:rPr>
        <w:t>nund</w:t>
      </w:r>
      <w:r w:rsidRPr="00315335">
        <w:rPr>
          <w:rFonts w:ascii="Arial" w:eastAsia="Calibri" w:hAnsi="Arial" w:cs="Arial"/>
          <w:sz w:val="24"/>
          <w:szCs w:val="24"/>
        </w:rPr>
        <w:t>ații</w:t>
      </w:r>
      <w:r w:rsidRPr="00315335">
        <w:rPr>
          <w:rFonts w:ascii="Arial" w:eastAsia="Calibri" w:hAnsi="Arial" w:cs="Arial"/>
          <w:spacing w:val="1"/>
          <w:sz w:val="24"/>
          <w:szCs w:val="24"/>
        </w:rPr>
        <w:t xml:space="preserve"> elaborate la nivelul fiecărui bazin/spaţiu hidrorafic din Români</w:t>
      </w:r>
      <w:r w:rsidRPr="00315335">
        <w:rPr>
          <w:rFonts w:ascii="Arial" w:eastAsia="Calibri" w:hAnsi="Arial" w:cs="Arial"/>
          <w:sz w:val="24"/>
          <w:szCs w:val="24"/>
        </w:rPr>
        <w:t>a, aferente  sc</w:t>
      </w:r>
      <w:r w:rsidRPr="00315335">
        <w:rPr>
          <w:rFonts w:ascii="Arial" w:eastAsia="Calibri" w:hAnsi="Arial" w:cs="Arial"/>
          <w:spacing w:val="1"/>
          <w:sz w:val="24"/>
          <w:szCs w:val="24"/>
        </w:rPr>
        <w:t>e</w:t>
      </w:r>
      <w:r w:rsidRPr="00315335">
        <w:rPr>
          <w:rFonts w:ascii="Arial" w:eastAsia="Calibri" w:hAnsi="Arial" w:cs="Arial"/>
          <w:spacing w:val="-1"/>
          <w:sz w:val="24"/>
          <w:szCs w:val="24"/>
        </w:rPr>
        <w:t>n</w:t>
      </w:r>
      <w:r w:rsidRPr="00315335">
        <w:rPr>
          <w:rFonts w:ascii="Arial" w:eastAsia="Calibri" w:hAnsi="Arial" w:cs="Arial"/>
          <w:sz w:val="24"/>
          <w:szCs w:val="24"/>
        </w:rPr>
        <w:t>ar</w:t>
      </w:r>
      <w:r w:rsidRPr="00315335">
        <w:rPr>
          <w:rFonts w:ascii="Arial" w:eastAsia="Calibri" w:hAnsi="Arial" w:cs="Arial"/>
          <w:spacing w:val="-1"/>
          <w:sz w:val="24"/>
          <w:szCs w:val="24"/>
        </w:rPr>
        <w:t>iu</w:t>
      </w:r>
      <w:r w:rsidRPr="00315335">
        <w:rPr>
          <w:rFonts w:ascii="Arial" w:eastAsia="Calibri" w:hAnsi="Arial" w:cs="Arial"/>
          <w:sz w:val="24"/>
          <w:szCs w:val="24"/>
        </w:rPr>
        <w:t>l</w:t>
      </w:r>
      <w:r w:rsidRPr="00315335">
        <w:rPr>
          <w:rFonts w:ascii="Arial" w:eastAsia="Calibri" w:hAnsi="Arial" w:cs="Arial"/>
          <w:spacing w:val="-1"/>
          <w:sz w:val="24"/>
          <w:szCs w:val="24"/>
        </w:rPr>
        <w:t>u</w:t>
      </w:r>
      <w:r w:rsidRPr="00315335">
        <w:rPr>
          <w:rFonts w:ascii="Arial" w:eastAsia="Calibri" w:hAnsi="Arial" w:cs="Arial"/>
          <w:sz w:val="24"/>
          <w:szCs w:val="24"/>
        </w:rPr>
        <w:t>i</w:t>
      </w:r>
      <w:r w:rsidRPr="00315335">
        <w:rPr>
          <w:rFonts w:ascii="Arial" w:eastAsia="Calibri" w:hAnsi="Arial" w:cs="Arial"/>
          <w:spacing w:val="1"/>
          <w:sz w:val="24"/>
          <w:szCs w:val="24"/>
        </w:rPr>
        <w:t xml:space="preserve"> m</w:t>
      </w:r>
      <w:r w:rsidRPr="00315335">
        <w:rPr>
          <w:rFonts w:ascii="Arial" w:eastAsia="Calibri" w:hAnsi="Arial" w:cs="Arial"/>
          <w:sz w:val="24"/>
          <w:szCs w:val="24"/>
        </w:rPr>
        <w:t>ed</w:t>
      </w:r>
      <w:r w:rsidRPr="00315335">
        <w:rPr>
          <w:rFonts w:ascii="Arial" w:eastAsia="Calibri" w:hAnsi="Arial" w:cs="Arial"/>
          <w:spacing w:val="-1"/>
          <w:sz w:val="24"/>
          <w:szCs w:val="24"/>
        </w:rPr>
        <w:t>i</w:t>
      </w:r>
      <w:r w:rsidRPr="00315335">
        <w:rPr>
          <w:rFonts w:ascii="Arial" w:eastAsia="Calibri" w:hAnsi="Arial" w:cs="Arial"/>
          <w:spacing w:val="1"/>
          <w:sz w:val="24"/>
          <w:szCs w:val="24"/>
        </w:rPr>
        <w:t>u</w:t>
      </w:r>
      <w:r w:rsidRPr="00315335">
        <w:rPr>
          <w:rFonts w:ascii="Arial" w:eastAsia="Calibri" w:hAnsi="Arial" w:cs="Arial"/>
          <w:sz w:val="24"/>
          <w:szCs w:val="24"/>
        </w:rPr>
        <w:t>,</w:t>
      </w:r>
      <w:r w:rsidRPr="00315335">
        <w:rPr>
          <w:rFonts w:ascii="Arial" w:eastAsia="Calibri" w:hAnsi="Arial" w:cs="Arial"/>
          <w:spacing w:val="-2"/>
          <w:sz w:val="24"/>
          <w:szCs w:val="24"/>
        </w:rPr>
        <w:t>c</w:t>
      </w:r>
      <w:r w:rsidRPr="00315335">
        <w:rPr>
          <w:rFonts w:ascii="Arial" w:eastAsia="Calibri" w:hAnsi="Arial" w:cs="Arial"/>
          <w:spacing w:val="1"/>
          <w:sz w:val="24"/>
          <w:szCs w:val="24"/>
        </w:rPr>
        <w:t>o</w:t>
      </w:r>
      <w:r w:rsidRPr="00315335">
        <w:rPr>
          <w:rFonts w:ascii="Arial" w:eastAsia="Calibri" w:hAnsi="Arial" w:cs="Arial"/>
          <w:sz w:val="24"/>
          <w:szCs w:val="24"/>
        </w:rPr>
        <w:t>r</w:t>
      </w:r>
      <w:r w:rsidRPr="00315335">
        <w:rPr>
          <w:rFonts w:ascii="Arial" w:eastAsia="Calibri" w:hAnsi="Arial" w:cs="Arial"/>
          <w:spacing w:val="-2"/>
          <w:sz w:val="24"/>
          <w:szCs w:val="24"/>
        </w:rPr>
        <w:t>e</w:t>
      </w:r>
      <w:r w:rsidRPr="00315335">
        <w:rPr>
          <w:rFonts w:ascii="Arial" w:eastAsia="Calibri" w:hAnsi="Arial" w:cs="Arial"/>
          <w:sz w:val="24"/>
          <w:szCs w:val="24"/>
        </w:rPr>
        <w:t>sp</w:t>
      </w:r>
      <w:r w:rsidRPr="00315335">
        <w:rPr>
          <w:rFonts w:ascii="Arial" w:eastAsia="Calibri" w:hAnsi="Arial" w:cs="Arial"/>
          <w:spacing w:val="-1"/>
          <w:sz w:val="24"/>
          <w:szCs w:val="24"/>
        </w:rPr>
        <w:t>unz</w:t>
      </w:r>
      <w:r w:rsidRPr="00315335">
        <w:rPr>
          <w:rFonts w:ascii="Arial" w:eastAsia="Calibri" w:hAnsi="Arial" w:cs="Arial"/>
          <w:sz w:val="24"/>
          <w:szCs w:val="24"/>
        </w:rPr>
        <w:t>ăt</w:t>
      </w:r>
      <w:r w:rsidRPr="00315335">
        <w:rPr>
          <w:rFonts w:ascii="Arial" w:eastAsia="Calibri" w:hAnsi="Arial" w:cs="Arial"/>
          <w:spacing w:val="1"/>
          <w:sz w:val="24"/>
          <w:szCs w:val="24"/>
        </w:rPr>
        <w:t xml:space="preserve">o </w:t>
      </w:r>
      <w:r w:rsidRPr="00315335">
        <w:rPr>
          <w:rFonts w:ascii="Arial" w:eastAsia="Calibri" w:hAnsi="Arial" w:cs="Arial"/>
          <w:sz w:val="24"/>
          <w:szCs w:val="24"/>
        </w:rPr>
        <w:t>r</w:t>
      </w:r>
      <w:r w:rsidRPr="00315335">
        <w:rPr>
          <w:rFonts w:ascii="Arial" w:eastAsia="Calibri" w:hAnsi="Arial" w:cs="Arial"/>
          <w:spacing w:val="-1"/>
          <w:sz w:val="24"/>
          <w:szCs w:val="24"/>
        </w:rPr>
        <w:t>d</w:t>
      </w:r>
      <w:r w:rsidRPr="00315335">
        <w:rPr>
          <w:rFonts w:ascii="Arial" w:eastAsia="Calibri" w:hAnsi="Arial" w:cs="Arial"/>
          <w:sz w:val="24"/>
          <w:szCs w:val="24"/>
        </w:rPr>
        <w:t>eb</w:t>
      </w:r>
      <w:r w:rsidRPr="00315335">
        <w:rPr>
          <w:rFonts w:ascii="Arial" w:eastAsia="Calibri" w:hAnsi="Arial" w:cs="Arial"/>
          <w:spacing w:val="-1"/>
          <w:sz w:val="24"/>
          <w:szCs w:val="24"/>
        </w:rPr>
        <w:t>i</w:t>
      </w:r>
      <w:r w:rsidRPr="00315335">
        <w:rPr>
          <w:rFonts w:ascii="Arial" w:eastAsia="Calibri" w:hAnsi="Arial" w:cs="Arial"/>
          <w:spacing w:val="1"/>
          <w:sz w:val="24"/>
          <w:szCs w:val="24"/>
        </w:rPr>
        <w:t>t</w:t>
      </w:r>
      <w:r w:rsidRPr="00315335">
        <w:rPr>
          <w:rFonts w:ascii="Arial" w:eastAsia="Calibri" w:hAnsi="Arial" w:cs="Arial"/>
          <w:spacing w:val="-1"/>
          <w:sz w:val="24"/>
          <w:szCs w:val="24"/>
        </w:rPr>
        <w:t>u</w:t>
      </w:r>
      <w:r w:rsidRPr="00315335">
        <w:rPr>
          <w:rFonts w:ascii="Arial" w:eastAsia="Calibri" w:hAnsi="Arial" w:cs="Arial"/>
          <w:sz w:val="24"/>
          <w:szCs w:val="24"/>
        </w:rPr>
        <w:t>l</w:t>
      </w:r>
      <w:r w:rsidRPr="00315335">
        <w:rPr>
          <w:rFonts w:ascii="Arial" w:eastAsia="Calibri" w:hAnsi="Arial" w:cs="Arial"/>
          <w:spacing w:val="-1"/>
          <w:sz w:val="24"/>
          <w:szCs w:val="24"/>
        </w:rPr>
        <w:t>u</w:t>
      </w:r>
      <w:r w:rsidRPr="00315335">
        <w:rPr>
          <w:rFonts w:ascii="Arial" w:eastAsia="Calibri" w:hAnsi="Arial" w:cs="Arial"/>
          <w:sz w:val="24"/>
          <w:szCs w:val="24"/>
        </w:rPr>
        <w:t xml:space="preserve">i </w:t>
      </w:r>
      <w:r w:rsidRPr="00315335">
        <w:rPr>
          <w:rFonts w:ascii="Arial" w:eastAsia="Calibri" w:hAnsi="Arial" w:cs="Arial"/>
          <w:spacing w:val="1"/>
          <w:sz w:val="24"/>
          <w:szCs w:val="24"/>
        </w:rPr>
        <w:t>m</w:t>
      </w:r>
      <w:r w:rsidRPr="00315335">
        <w:rPr>
          <w:rFonts w:ascii="Arial" w:eastAsia="Calibri" w:hAnsi="Arial" w:cs="Arial"/>
          <w:spacing w:val="-3"/>
          <w:sz w:val="24"/>
          <w:szCs w:val="24"/>
        </w:rPr>
        <w:t>a</w:t>
      </w:r>
      <w:r w:rsidRPr="00315335">
        <w:rPr>
          <w:rFonts w:ascii="Arial" w:eastAsia="Calibri" w:hAnsi="Arial" w:cs="Arial"/>
          <w:sz w:val="24"/>
          <w:szCs w:val="24"/>
        </w:rPr>
        <w:t xml:space="preserve">xim cu </w:t>
      </w:r>
      <w:r w:rsidRPr="00315335">
        <w:rPr>
          <w:rFonts w:ascii="Arial" w:eastAsia="Calibri" w:hAnsi="Arial" w:cs="Arial"/>
          <w:spacing w:val="-1"/>
          <w:sz w:val="24"/>
          <w:szCs w:val="24"/>
        </w:rPr>
        <w:t>p</w:t>
      </w:r>
      <w:r w:rsidRPr="00315335">
        <w:rPr>
          <w:rFonts w:ascii="Arial" w:eastAsia="Calibri" w:hAnsi="Arial" w:cs="Arial"/>
          <w:sz w:val="24"/>
          <w:szCs w:val="24"/>
        </w:rPr>
        <w:t>r</w:t>
      </w:r>
      <w:r w:rsidRPr="00315335">
        <w:rPr>
          <w:rFonts w:ascii="Arial" w:eastAsia="Calibri" w:hAnsi="Arial" w:cs="Arial"/>
          <w:spacing w:val="1"/>
          <w:sz w:val="24"/>
          <w:szCs w:val="24"/>
        </w:rPr>
        <w:t>o</w:t>
      </w:r>
      <w:r w:rsidRPr="00315335">
        <w:rPr>
          <w:rFonts w:ascii="Arial" w:eastAsia="Calibri" w:hAnsi="Arial" w:cs="Arial"/>
          <w:spacing w:val="-1"/>
          <w:sz w:val="24"/>
          <w:szCs w:val="24"/>
        </w:rPr>
        <w:t>b</w:t>
      </w:r>
      <w:r w:rsidRPr="00315335">
        <w:rPr>
          <w:rFonts w:ascii="Arial" w:eastAsia="Calibri" w:hAnsi="Arial" w:cs="Arial"/>
          <w:sz w:val="24"/>
          <w:szCs w:val="24"/>
        </w:rPr>
        <w:t>a</w:t>
      </w:r>
      <w:r w:rsidRPr="00315335">
        <w:rPr>
          <w:rFonts w:ascii="Arial" w:eastAsia="Calibri" w:hAnsi="Arial" w:cs="Arial"/>
          <w:spacing w:val="-1"/>
          <w:sz w:val="24"/>
          <w:szCs w:val="24"/>
        </w:rPr>
        <w:t>b</w:t>
      </w:r>
      <w:r w:rsidRPr="00315335">
        <w:rPr>
          <w:rFonts w:ascii="Arial" w:eastAsia="Calibri" w:hAnsi="Arial" w:cs="Arial"/>
          <w:sz w:val="24"/>
          <w:szCs w:val="24"/>
        </w:rPr>
        <w:t>ilita</w:t>
      </w:r>
      <w:r w:rsidRPr="00315335">
        <w:rPr>
          <w:rFonts w:ascii="Arial" w:eastAsia="Calibri" w:hAnsi="Arial" w:cs="Arial"/>
          <w:spacing w:val="-2"/>
          <w:sz w:val="24"/>
          <w:szCs w:val="24"/>
        </w:rPr>
        <w:t>t</w:t>
      </w:r>
      <w:r w:rsidRPr="00315335">
        <w:rPr>
          <w:rFonts w:ascii="Arial" w:eastAsia="Calibri" w:hAnsi="Arial" w:cs="Arial"/>
          <w:sz w:val="24"/>
          <w:szCs w:val="24"/>
        </w:rPr>
        <w:t xml:space="preserve">ea </w:t>
      </w:r>
      <w:r w:rsidRPr="00315335">
        <w:rPr>
          <w:rFonts w:ascii="Arial" w:eastAsia="Calibri" w:hAnsi="Arial" w:cs="Arial"/>
          <w:spacing w:val="-3"/>
          <w:sz w:val="24"/>
          <w:szCs w:val="24"/>
        </w:rPr>
        <w:t>d</w:t>
      </w:r>
      <w:r w:rsidRPr="00315335">
        <w:rPr>
          <w:rFonts w:ascii="Arial" w:eastAsia="Calibri" w:hAnsi="Arial" w:cs="Arial"/>
          <w:sz w:val="24"/>
          <w:szCs w:val="24"/>
        </w:rPr>
        <w:t xml:space="preserve">e </w:t>
      </w:r>
      <w:r w:rsidRPr="00315335">
        <w:rPr>
          <w:rFonts w:ascii="Arial" w:eastAsia="Calibri" w:hAnsi="Arial" w:cs="Arial"/>
          <w:spacing w:val="-1"/>
          <w:sz w:val="24"/>
          <w:szCs w:val="24"/>
        </w:rPr>
        <w:t>d</w:t>
      </w:r>
      <w:r w:rsidRPr="00315335">
        <w:rPr>
          <w:rFonts w:ascii="Arial" w:eastAsia="Calibri" w:hAnsi="Arial" w:cs="Arial"/>
          <w:sz w:val="24"/>
          <w:szCs w:val="24"/>
        </w:rPr>
        <w:t>epăș</w:t>
      </w:r>
      <w:r w:rsidRPr="00315335">
        <w:rPr>
          <w:rFonts w:ascii="Arial" w:eastAsia="Calibri" w:hAnsi="Arial" w:cs="Arial"/>
          <w:spacing w:val="-1"/>
          <w:sz w:val="24"/>
          <w:szCs w:val="24"/>
        </w:rPr>
        <w:t>i</w:t>
      </w:r>
      <w:r w:rsidRPr="00315335">
        <w:rPr>
          <w:rFonts w:ascii="Arial" w:eastAsia="Calibri" w:hAnsi="Arial" w:cs="Arial"/>
          <w:sz w:val="24"/>
          <w:szCs w:val="24"/>
        </w:rPr>
        <w:t>re</w:t>
      </w:r>
      <w:r w:rsidRPr="00315335">
        <w:rPr>
          <w:rFonts w:ascii="Arial" w:eastAsia="Calibri" w:hAnsi="Arial" w:cs="Arial"/>
          <w:spacing w:val="1"/>
          <w:sz w:val="24"/>
          <w:szCs w:val="24"/>
        </w:rPr>
        <w:t>1</w:t>
      </w:r>
      <w:r w:rsidRPr="00315335">
        <w:rPr>
          <w:rFonts w:ascii="Arial" w:eastAsia="Calibri" w:hAnsi="Arial" w:cs="Arial"/>
          <w:sz w:val="24"/>
          <w:szCs w:val="24"/>
        </w:rPr>
        <w:t>%,res</w:t>
      </w:r>
      <w:r w:rsidRPr="00315335">
        <w:rPr>
          <w:rFonts w:ascii="Arial" w:eastAsia="Calibri" w:hAnsi="Arial" w:cs="Arial"/>
          <w:spacing w:val="-3"/>
          <w:sz w:val="24"/>
          <w:szCs w:val="24"/>
        </w:rPr>
        <w:t>p</w:t>
      </w:r>
      <w:r w:rsidRPr="00315335">
        <w:rPr>
          <w:rFonts w:ascii="Arial" w:eastAsia="Calibri" w:hAnsi="Arial" w:cs="Arial"/>
          <w:sz w:val="24"/>
          <w:szCs w:val="24"/>
        </w:rPr>
        <w:t>ec</w:t>
      </w:r>
      <w:r w:rsidRPr="00315335">
        <w:rPr>
          <w:rFonts w:ascii="Arial" w:eastAsia="Calibri" w:hAnsi="Arial" w:cs="Arial"/>
          <w:spacing w:val="1"/>
          <w:sz w:val="24"/>
          <w:szCs w:val="24"/>
        </w:rPr>
        <w:t>t</w:t>
      </w:r>
      <w:r w:rsidRPr="00315335">
        <w:rPr>
          <w:rFonts w:ascii="Arial" w:eastAsia="Calibri" w:hAnsi="Arial" w:cs="Arial"/>
          <w:spacing w:val="-3"/>
          <w:sz w:val="24"/>
          <w:szCs w:val="24"/>
        </w:rPr>
        <w:t>i</w:t>
      </w:r>
      <w:r w:rsidRPr="00315335">
        <w:rPr>
          <w:rFonts w:ascii="Arial" w:eastAsia="Calibri" w:hAnsi="Arial" w:cs="Arial"/>
          <w:sz w:val="24"/>
          <w:szCs w:val="24"/>
        </w:rPr>
        <w:t>v i</w:t>
      </w:r>
      <w:r w:rsidRPr="00315335">
        <w:rPr>
          <w:rFonts w:ascii="Arial" w:eastAsia="Calibri" w:hAnsi="Arial" w:cs="Arial"/>
          <w:spacing w:val="-1"/>
          <w:sz w:val="24"/>
          <w:szCs w:val="24"/>
        </w:rPr>
        <w:t>nu</w:t>
      </w:r>
      <w:r w:rsidRPr="00315335">
        <w:rPr>
          <w:rFonts w:ascii="Arial" w:eastAsia="Calibri" w:hAnsi="Arial" w:cs="Arial"/>
          <w:spacing w:val="-3"/>
          <w:sz w:val="24"/>
          <w:szCs w:val="24"/>
        </w:rPr>
        <w:t>n</w:t>
      </w:r>
      <w:r w:rsidRPr="00315335">
        <w:rPr>
          <w:rFonts w:ascii="Arial" w:eastAsia="Calibri" w:hAnsi="Arial" w:cs="Arial"/>
          <w:spacing w:val="-1"/>
          <w:sz w:val="24"/>
          <w:szCs w:val="24"/>
        </w:rPr>
        <w:t>d</w:t>
      </w:r>
      <w:r w:rsidRPr="00315335">
        <w:rPr>
          <w:rFonts w:ascii="Arial" w:eastAsia="Calibri" w:hAnsi="Arial" w:cs="Arial"/>
          <w:sz w:val="24"/>
          <w:szCs w:val="24"/>
        </w:rPr>
        <w:t xml:space="preserve">ații care se </w:t>
      </w:r>
      <w:r w:rsidRPr="00315335">
        <w:rPr>
          <w:rFonts w:ascii="Arial" w:eastAsia="Calibri" w:hAnsi="Arial" w:cs="Arial"/>
          <w:spacing w:val="-1"/>
          <w:sz w:val="24"/>
          <w:szCs w:val="24"/>
        </w:rPr>
        <w:t>po</w:t>
      </w:r>
      <w:r w:rsidRPr="00315335">
        <w:rPr>
          <w:rFonts w:ascii="Arial" w:eastAsia="Calibri" w:hAnsi="Arial" w:cs="Arial"/>
          <w:sz w:val="24"/>
          <w:szCs w:val="24"/>
        </w:rPr>
        <w:t>t</w:t>
      </w:r>
      <w:r w:rsidRPr="00315335">
        <w:rPr>
          <w:rFonts w:ascii="Arial" w:eastAsia="Calibri" w:hAnsi="Arial" w:cs="Arial"/>
          <w:spacing w:val="-1"/>
          <w:sz w:val="24"/>
          <w:szCs w:val="24"/>
        </w:rPr>
        <w:t xml:space="preserve"> p</w:t>
      </w:r>
      <w:r w:rsidRPr="00315335">
        <w:rPr>
          <w:rFonts w:ascii="Arial" w:eastAsia="Calibri" w:hAnsi="Arial" w:cs="Arial"/>
          <w:spacing w:val="-3"/>
          <w:sz w:val="24"/>
          <w:szCs w:val="24"/>
        </w:rPr>
        <w:t>r</w:t>
      </w:r>
      <w:r w:rsidRPr="00315335">
        <w:rPr>
          <w:rFonts w:ascii="Arial" w:eastAsia="Calibri" w:hAnsi="Arial" w:cs="Arial"/>
          <w:spacing w:val="1"/>
          <w:sz w:val="24"/>
          <w:szCs w:val="24"/>
        </w:rPr>
        <w:t>o</w:t>
      </w:r>
      <w:r w:rsidRPr="00315335">
        <w:rPr>
          <w:rFonts w:ascii="Arial" w:eastAsia="Calibri" w:hAnsi="Arial" w:cs="Arial"/>
          <w:spacing w:val="-1"/>
          <w:sz w:val="24"/>
          <w:szCs w:val="24"/>
        </w:rPr>
        <w:t>du</w:t>
      </w:r>
      <w:r w:rsidRPr="00315335">
        <w:rPr>
          <w:rFonts w:ascii="Arial" w:eastAsia="Calibri" w:hAnsi="Arial" w:cs="Arial"/>
          <w:sz w:val="24"/>
          <w:szCs w:val="24"/>
        </w:rPr>
        <w:t xml:space="preserve">ce în </w:t>
      </w:r>
      <w:r w:rsidRPr="00315335">
        <w:rPr>
          <w:rFonts w:ascii="Arial" w:eastAsia="Calibri" w:hAnsi="Arial" w:cs="Arial"/>
          <w:spacing w:val="-1"/>
          <w:sz w:val="24"/>
          <w:szCs w:val="24"/>
        </w:rPr>
        <w:t>m</w:t>
      </w:r>
      <w:r w:rsidRPr="00315335">
        <w:rPr>
          <w:rFonts w:ascii="Arial" w:eastAsia="Calibri" w:hAnsi="Arial" w:cs="Arial"/>
          <w:sz w:val="24"/>
          <w:szCs w:val="24"/>
        </w:rPr>
        <w:t>ed</w:t>
      </w:r>
      <w:r w:rsidRPr="00315335">
        <w:rPr>
          <w:rFonts w:ascii="Arial" w:eastAsia="Calibri" w:hAnsi="Arial" w:cs="Arial"/>
          <w:spacing w:val="-1"/>
          <w:sz w:val="24"/>
          <w:szCs w:val="24"/>
        </w:rPr>
        <w:t>i</w:t>
      </w:r>
      <w:r w:rsidRPr="00315335">
        <w:rPr>
          <w:rFonts w:ascii="Arial" w:eastAsia="Calibri" w:hAnsi="Arial" w:cs="Arial"/>
          <w:sz w:val="24"/>
          <w:szCs w:val="24"/>
        </w:rPr>
        <w:t xml:space="preserve">e </w:t>
      </w:r>
      <w:r w:rsidRPr="00315335">
        <w:rPr>
          <w:rFonts w:ascii="Arial" w:eastAsia="Calibri" w:hAnsi="Arial" w:cs="Arial"/>
          <w:b/>
          <w:sz w:val="24"/>
          <w:szCs w:val="24"/>
        </w:rPr>
        <w:t>o</w:t>
      </w:r>
      <w:r w:rsidRPr="00315335">
        <w:rPr>
          <w:rFonts w:ascii="Arial" w:eastAsia="Calibri" w:hAnsi="Arial" w:cs="Arial"/>
          <w:b/>
          <w:spacing w:val="-1"/>
          <w:sz w:val="24"/>
          <w:szCs w:val="24"/>
        </w:rPr>
        <w:t>da</w:t>
      </w:r>
      <w:r w:rsidRPr="00315335">
        <w:rPr>
          <w:rFonts w:ascii="Arial" w:eastAsia="Calibri" w:hAnsi="Arial" w:cs="Arial"/>
          <w:b/>
          <w:sz w:val="24"/>
          <w:szCs w:val="24"/>
        </w:rPr>
        <w:t xml:space="preserve">tă </w:t>
      </w:r>
      <w:r w:rsidRPr="00315335">
        <w:rPr>
          <w:rFonts w:ascii="Arial" w:eastAsia="Calibri" w:hAnsi="Arial" w:cs="Arial"/>
          <w:b/>
          <w:spacing w:val="1"/>
          <w:sz w:val="24"/>
          <w:szCs w:val="24"/>
        </w:rPr>
        <w:t>l</w:t>
      </w:r>
      <w:r w:rsidRPr="00315335">
        <w:rPr>
          <w:rFonts w:ascii="Arial" w:eastAsia="Calibri" w:hAnsi="Arial" w:cs="Arial"/>
          <w:b/>
          <w:sz w:val="24"/>
          <w:szCs w:val="24"/>
        </w:rPr>
        <w:t>a</w:t>
      </w:r>
      <w:r w:rsidRPr="00315335">
        <w:rPr>
          <w:rFonts w:ascii="Arial" w:eastAsia="Calibri" w:hAnsi="Arial" w:cs="Arial"/>
          <w:b/>
          <w:spacing w:val="1"/>
          <w:sz w:val="24"/>
          <w:szCs w:val="24"/>
        </w:rPr>
        <w:t>1</w:t>
      </w:r>
      <w:r w:rsidRPr="00315335">
        <w:rPr>
          <w:rFonts w:ascii="Arial" w:eastAsia="Calibri" w:hAnsi="Arial" w:cs="Arial"/>
          <w:b/>
          <w:spacing w:val="-2"/>
          <w:sz w:val="24"/>
          <w:szCs w:val="24"/>
        </w:rPr>
        <w:t>0</w:t>
      </w:r>
      <w:r w:rsidRPr="00315335">
        <w:rPr>
          <w:rFonts w:ascii="Arial" w:eastAsia="Calibri" w:hAnsi="Arial" w:cs="Arial"/>
          <w:b/>
          <w:sz w:val="24"/>
          <w:szCs w:val="24"/>
        </w:rPr>
        <w:t xml:space="preserve">0 </w:t>
      </w:r>
      <w:r w:rsidRPr="00315335">
        <w:rPr>
          <w:rFonts w:ascii="Arial" w:eastAsia="Calibri" w:hAnsi="Arial" w:cs="Arial"/>
          <w:b/>
          <w:spacing w:val="-1"/>
          <w:sz w:val="24"/>
          <w:szCs w:val="24"/>
        </w:rPr>
        <w:t>d</w:t>
      </w:r>
      <w:r w:rsidRPr="00315335">
        <w:rPr>
          <w:rFonts w:ascii="Arial" w:eastAsia="Calibri" w:hAnsi="Arial" w:cs="Arial"/>
          <w:b/>
          <w:sz w:val="24"/>
          <w:szCs w:val="24"/>
        </w:rPr>
        <w:t>e a</w:t>
      </w:r>
      <w:r w:rsidRPr="00315335">
        <w:rPr>
          <w:rFonts w:ascii="Arial" w:eastAsia="Calibri" w:hAnsi="Arial" w:cs="Arial"/>
          <w:b/>
          <w:spacing w:val="-1"/>
          <w:sz w:val="24"/>
          <w:szCs w:val="24"/>
        </w:rPr>
        <w:t>n</w:t>
      </w:r>
      <w:r w:rsidRPr="00315335">
        <w:rPr>
          <w:rFonts w:ascii="Arial" w:eastAsia="Calibri" w:hAnsi="Arial" w:cs="Arial"/>
          <w:b/>
          <w:spacing w:val="1"/>
          <w:sz w:val="24"/>
          <w:szCs w:val="24"/>
        </w:rPr>
        <w:t>i</w:t>
      </w:r>
      <w:r w:rsidRPr="00315335">
        <w:rPr>
          <w:rFonts w:ascii="Arial" w:eastAsia="Calibri" w:hAnsi="Arial" w:cs="Arial"/>
          <w:sz w:val="24"/>
          <w:szCs w:val="24"/>
        </w:rPr>
        <w:t xml:space="preserve"> a rezultat, pentru teritoriul ţării, o serie de date şi informaţii care constituie o serie  indicatori care descriu consecinţele pe care inundaţiile le pot avea asupra populaţiei şi mediului înconjurător:</w:t>
      </w:r>
    </w:p>
    <w:p w:rsidR="00643CB5" w:rsidRPr="00315335" w:rsidRDefault="00643CB5" w:rsidP="00E14739">
      <w:pPr>
        <w:pStyle w:val="Listparagraf"/>
        <w:numPr>
          <w:ilvl w:val="0"/>
          <w:numId w:val="10"/>
        </w:numPr>
        <w:jc w:val="both"/>
        <w:rPr>
          <w:rFonts w:ascii="Arial" w:eastAsia="Calibri" w:hAnsi="Arial" w:cs="Arial"/>
        </w:rPr>
      </w:pPr>
      <w:r w:rsidRPr="00315335">
        <w:rPr>
          <w:rFonts w:ascii="Arial" w:hAnsi="Arial" w:cs="Arial"/>
        </w:rPr>
        <w:t>Populaţia potențial afectată în acest scenariu se regăsește repartizată în aproximativ 3.547 de localități răspândite pe întreg teritoriul țării noastre si reprezintă cca. 4% (aproximativ 830.000 loc. din totalul populaţiei României); cele  mai  afectate  județe  din  punct  de  vedere  al  populației  situate  în interiorul zonelor inundabile sunt: Bihor, Mureș, Brașov și Cluj;</w:t>
      </w:r>
    </w:p>
    <w:p w:rsidR="00643CB5" w:rsidRPr="00315335" w:rsidRDefault="00643CB5" w:rsidP="00E14739">
      <w:pPr>
        <w:pStyle w:val="Listparagraf"/>
        <w:widowControl w:val="0"/>
        <w:numPr>
          <w:ilvl w:val="0"/>
          <w:numId w:val="10"/>
        </w:numPr>
        <w:tabs>
          <w:tab w:val="left" w:pos="1021"/>
        </w:tabs>
        <w:jc w:val="both"/>
        <w:rPr>
          <w:rFonts w:ascii="Arial" w:hAnsi="Arial" w:cs="Arial"/>
        </w:rPr>
      </w:pPr>
      <w:r w:rsidRPr="00315335">
        <w:rPr>
          <w:rFonts w:ascii="Arial" w:hAnsi="Arial" w:cs="Arial"/>
        </w:rPr>
        <w:t>32 de instalaţii I.E.D (instalaţii privind emisiile industriale – desemnate prin Directiva „Industrial Emissions Directive”) sunt supuse riscului de a fi inundate pe teritoriul României;</w:t>
      </w:r>
    </w:p>
    <w:p w:rsidR="00643CB5" w:rsidRPr="00315335" w:rsidRDefault="00643CB5" w:rsidP="00E14739">
      <w:pPr>
        <w:pStyle w:val="Listparagraf"/>
        <w:widowControl w:val="0"/>
        <w:numPr>
          <w:ilvl w:val="0"/>
          <w:numId w:val="10"/>
        </w:numPr>
        <w:tabs>
          <w:tab w:val="left" w:pos="1021"/>
        </w:tabs>
        <w:jc w:val="both"/>
        <w:rPr>
          <w:rFonts w:ascii="Arial" w:hAnsi="Arial" w:cs="Arial"/>
        </w:rPr>
      </w:pPr>
      <w:r w:rsidRPr="00315335">
        <w:rPr>
          <w:rFonts w:ascii="Arial" w:hAnsi="Arial" w:cs="Arial"/>
        </w:rPr>
        <w:t>Siturile de importanţă comunitară SCI, ariile de protecţie specială avifaunistică SPA, habitate, zone vulnerabile; la nivelul ţării  469  de zone protejate se regăsesc în zone inundabile, detaliate astfel: 204 zone protejate pentru captarea apei  în scopul consumului uman; 79 de arii de protecţie specială avifaunistică (SPA), 86 de situri de importanta comunitară (SCI), şi 100 de arii naturale protejate  de interes national;</w:t>
      </w:r>
    </w:p>
    <w:p w:rsidR="00643CB5" w:rsidRPr="00315335" w:rsidRDefault="00643CB5" w:rsidP="00E14739">
      <w:pPr>
        <w:pStyle w:val="Listparagraf"/>
        <w:widowControl w:val="0"/>
        <w:numPr>
          <w:ilvl w:val="0"/>
          <w:numId w:val="10"/>
        </w:numPr>
        <w:tabs>
          <w:tab w:val="left" w:pos="1021"/>
        </w:tabs>
        <w:jc w:val="both"/>
        <w:rPr>
          <w:rFonts w:ascii="Arial" w:hAnsi="Arial" w:cs="Arial"/>
        </w:rPr>
      </w:pPr>
      <w:r w:rsidRPr="00315335">
        <w:rPr>
          <w:rFonts w:ascii="Arial" w:hAnsi="Arial" w:cs="Arial"/>
        </w:rPr>
        <w:t>Infrastructura afectată: aproximativ 700 km de cale ferată ar putea fi  afectată de inundaţii, 700 km de drum national/european; 1300 km de drum judeţean şi 1000 km de drum comunal;</w:t>
      </w:r>
    </w:p>
    <w:p w:rsidR="00643CB5" w:rsidRPr="00315335" w:rsidRDefault="00643CB5" w:rsidP="00E14739">
      <w:pPr>
        <w:pStyle w:val="Listparagraf"/>
        <w:widowControl w:val="0"/>
        <w:numPr>
          <w:ilvl w:val="0"/>
          <w:numId w:val="10"/>
        </w:numPr>
        <w:tabs>
          <w:tab w:val="left" w:pos="1021"/>
        </w:tabs>
        <w:jc w:val="both"/>
        <w:rPr>
          <w:rFonts w:ascii="Arial" w:hAnsi="Arial" w:cs="Arial"/>
          <w:highlight w:val="yellow"/>
        </w:rPr>
      </w:pPr>
      <w:r w:rsidRPr="00315335">
        <w:rPr>
          <w:rFonts w:ascii="Arial" w:hAnsi="Arial" w:cs="Arial"/>
        </w:rPr>
        <w:t xml:space="preserve">Patrimoniului cultural poate fi afectat de efectele negative ale inundaţiilor. În acest sens pentru România au fost luate în considerare bisericile, monumentele şi muzeele aflate în interiorul zonelor inundabile, rezultând astfel cca. 293 de biserici, 13 muzee şi 15 </w:t>
      </w:r>
      <w:r w:rsidRPr="00315335">
        <w:rPr>
          <w:rFonts w:ascii="Arial" w:hAnsi="Arial" w:cs="Arial"/>
        </w:rPr>
        <w:lastRenderedPageBreak/>
        <w:t>monumente culturale.</w:t>
      </w:r>
    </w:p>
    <w:p w:rsidR="00643CB5" w:rsidRPr="00315335" w:rsidRDefault="00643CB5" w:rsidP="00643CB5">
      <w:pPr>
        <w:pStyle w:val="Subsol"/>
        <w:jc w:val="both"/>
        <w:rPr>
          <w:rFonts w:ascii="Arial" w:hAnsi="Arial" w:cs="Arial"/>
          <w:sz w:val="24"/>
          <w:szCs w:val="24"/>
          <w:highlight w:val="yellow"/>
        </w:rPr>
      </w:pPr>
    </w:p>
    <w:p w:rsidR="00643CB5" w:rsidRPr="00315335" w:rsidRDefault="00643CB5" w:rsidP="00643CB5">
      <w:pPr>
        <w:pStyle w:val="Subsol"/>
        <w:jc w:val="both"/>
        <w:rPr>
          <w:rFonts w:ascii="Arial" w:hAnsi="Arial" w:cs="Arial"/>
          <w:b/>
          <w:sz w:val="24"/>
          <w:szCs w:val="24"/>
        </w:rPr>
      </w:pPr>
      <w:r w:rsidRPr="00315335">
        <w:rPr>
          <w:rFonts w:ascii="Arial" w:hAnsi="Arial" w:cs="Arial"/>
          <w:b/>
          <w:sz w:val="24"/>
          <w:szCs w:val="24"/>
        </w:rPr>
        <w:t>Managementul integrat al riscului de expunere  la inundaţii</w:t>
      </w:r>
    </w:p>
    <w:p w:rsidR="00643CB5" w:rsidRPr="00315335" w:rsidRDefault="00643CB5" w:rsidP="00643CB5">
      <w:pPr>
        <w:spacing w:after="0" w:line="240" w:lineRule="auto"/>
        <w:ind w:firstLine="708"/>
        <w:jc w:val="both"/>
        <w:rPr>
          <w:rFonts w:ascii="Arial" w:hAnsi="Arial" w:cs="Arial"/>
          <w:spacing w:val="-4"/>
          <w:sz w:val="24"/>
          <w:szCs w:val="24"/>
        </w:rPr>
      </w:pPr>
      <w:r w:rsidRPr="00315335">
        <w:rPr>
          <w:rFonts w:ascii="Arial" w:hAnsi="Arial" w:cs="Arial"/>
          <w:sz w:val="24"/>
          <w:szCs w:val="24"/>
        </w:rPr>
        <w:t xml:space="preserve">Managementul situaţiilor de urgenţă generate de inundaţii, fenomene meteorologice periculoase, accidente la construcţii hidrotehnice şi poluări accidentale s-a realizat prin măsuri preventive, operative de intervenţie şi de reabilitare, care au constat în identificarea, înregistrarea şi evaluarea tipurilor de risc şi a factorilor determinanţi ai acestora, înştiinţarea factorilor interesaţi, avertizarea, alarmarea, evacuarea şi adăpostirea populaţiei şi animalelor, limitarea, înlăturarea sau contracararea efectelor negative produse ca urmare a manifestării factorilor de risc. </w:t>
      </w:r>
      <w:r w:rsidRPr="00315335">
        <w:rPr>
          <w:rFonts w:ascii="Arial" w:hAnsi="Arial" w:cs="Arial"/>
          <w:spacing w:val="-4"/>
          <w:sz w:val="24"/>
          <w:szCs w:val="24"/>
        </w:rPr>
        <w:t>Măsurile întreprinse la nivel local, precum şi coordonarea eficientă a intervenţiilor au făcut posibilă reducerea consecinţelor situaţiilor de urgenţă înregistrate, iar acolo unde situaţia a permis, reluarea parţială sau totală a activităţii sociale în zonele afectate.</w:t>
      </w:r>
    </w:p>
    <w:p w:rsidR="00643CB5" w:rsidRPr="00315335" w:rsidRDefault="00643CB5" w:rsidP="00643CB5">
      <w:pPr>
        <w:spacing w:after="0" w:line="240" w:lineRule="auto"/>
        <w:ind w:firstLine="708"/>
        <w:jc w:val="both"/>
        <w:rPr>
          <w:rFonts w:ascii="Arial" w:hAnsi="Arial" w:cs="Arial"/>
          <w:b/>
          <w:sz w:val="24"/>
          <w:szCs w:val="24"/>
        </w:rPr>
      </w:pPr>
    </w:p>
    <w:p w:rsidR="00643CB5" w:rsidRPr="00315335" w:rsidRDefault="00643CB5" w:rsidP="00643CB5">
      <w:pPr>
        <w:pStyle w:val="Default"/>
        <w:jc w:val="both"/>
        <w:rPr>
          <w:rFonts w:ascii="Arial" w:hAnsi="Arial" w:cs="Arial"/>
          <w:b/>
          <w:bCs/>
          <w:i/>
          <w:iCs/>
          <w:color w:val="auto"/>
        </w:rPr>
      </w:pPr>
      <w:r w:rsidRPr="00315335">
        <w:rPr>
          <w:rFonts w:ascii="Arial" w:hAnsi="Arial" w:cs="Arial"/>
          <w:b/>
          <w:bCs/>
          <w:i/>
          <w:iCs/>
          <w:color w:val="auto"/>
        </w:rPr>
        <w:t xml:space="preserve">II.1.3. Utilizarea şi gestionarea eficientă a resurselor de apă </w:t>
      </w:r>
    </w:p>
    <w:p w:rsidR="00643CB5" w:rsidRPr="00315335" w:rsidRDefault="00643CB5" w:rsidP="00643CB5">
      <w:pPr>
        <w:pStyle w:val="1bullet"/>
        <w:numPr>
          <w:ilvl w:val="0"/>
          <w:numId w:val="0"/>
        </w:numPr>
        <w:spacing w:before="120" w:after="120" w:line="240" w:lineRule="auto"/>
        <w:ind w:firstLine="720"/>
        <w:rPr>
          <w:rFonts w:ascii="Arial" w:eastAsiaTheme="minorHAnsi" w:hAnsi="Arial" w:cs="Arial"/>
        </w:rPr>
      </w:pPr>
      <w:r w:rsidRPr="00315335">
        <w:rPr>
          <w:rFonts w:ascii="Arial" w:eastAsiaTheme="minorHAnsi" w:hAnsi="Arial" w:cs="Arial"/>
        </w:rPr>
        <w:t>Regimul hidrologic al râurilor României este direct influențat de precipitații, relief, soluri, vegetație și structura geologică, adică de mediul în care se formează, fapt deosebit de bine conturat în cadrul țării noastre. În afară de zonalitatea verticală a climei, o mare influență asupra regimului hidrologic o are zonalitatea climatică orizontală, în special regimul precipitațiilor și temperaturii aerului.</w:t>
      </w:r>
    </w:p>
    <w:p w:rsidR="00643CB5" w:rsidRPr="00315335" w:rsidRDefault="00643CB5" w:rsidP="00643CB5">
      <w:pPr>
        <w:pStyle w:val="1bullet"/>
        <w:numPr>
          <w:ilvl w:val="0"/>
          <w:numId w:val="0"/>
        </w:numPr>
        <w:spacing w:before="120" w:after="120" w:line="240" w:lineRule="auto"/>
        <w:ind w:firstLine="720"/>
        <w:rPr>
          <w:rFonts w:ascii="Arial" w:eastAsiaTheme="minorHAnsi" w:hAnsi="Arial" w:cs="Arial"/>
        </w:rPr>
      </w:pPr>
      <w:r w:rsidRPr="00315335">
        <w:rPr>
          <w:rFonts w:ascii="Arial" w:eastAsiaTheme="minorHAnsi" w:hAnsi="Arial" w:cs="Arial"/>
        </w:rPr>
        <w:t>Până în prezent studiile au arătat, de exemplu, că frecvența inundațiilor este mai mare în lunile de primăvară, martie-aprilie, și în cele de vară, iulie-august. Resursa de apă este mai redusă în lunile aprilie și septembrie și în acest caz eforturile de gestionare a acesteia trebuie orientate către asigurarea disponibilului de apă la sursă. O problemă actuală o reprezintă precipitațiile scurte de mare intensitate care conduc la creșterea numărului de hazarde de inundații de tip viituri rapide (flash flood).</w:t>
      </w:r>
    </w:p>
    <w:p w:rsidR="00643CB5" w:rsidRPr="00315335" w:rsidRDefault="00643CB5" w:rsidP="00643CB5">
      <w:pPr>
        <w:pStyle w:val="1text"/>
        <w:ind w:firstLine="720"/>
        <w:rPr>
          <w:rFonts w:ascii="Arial" w:eastAsiaTheme="minorHAnsi" w:hAnsi="Arial" w:cs="Arial"/>
        </w:rPr>
      </w:pPr>
      <w:r w:rsidRPr="00315335">
        <w:rPr>
          <w:rFonts w:ascii="Arial" w:eastAsiaTheme="minorHAnsi" w:hAnsi="Arial" w:cs="Arial"/>
        </w:rPr>
        <w:t>În ceea ce privește resursa de apă subterană acviferele capabile să asigure debite importante pentru alimentarea cu apă a populației sunt cele acumulate în formațiunile cuaternare din luncile inundabile, terasele și conurile aluviale ale râurilor.</w:t>
      </w:r>
    </w:p>
    <w:p w:rsidR="00643CB5" w:rsidRPr="00315335" w:rsidRDefault="00643CB5" w:rsidP="00643CB5">
      <w:pPr>
        <w:pStyle w:val="1bullet"/>
        <w:numPr>
          <w:ilvl w:val="0"/>
          <w:numId w:val="0"/>
        </w:numPr>
        <w:spacing w:before="120" w:after="120" w:line="240" w:lineRule="auto"/>
        <w:ind w:firstLine="720"/>
        <w:rPr>
          <w:rFonts w:ascii="Arial" w:eastAsiaTheme="minorHAnsi" w:hAnsi="Arial" w:cs="Arial"/>
        </w:rPr>
      </w:pPr>
      <w:r w:rsidRPr="00315335">
        <w:rPr>
          <w:rFonts w:ascii="Arial" w:hAnsi="Arial" w:cs="Arial"/>
        </w:rPr>
        <w:t>Având în vedere caracterul limitat al resursei de apă subterană, direct dependentă de precipitații și de volumele exploatate, în general, apa freatică este utilizată pentru irigații și industrie iar pentru alimentarea populației sunt utilizate izvoare și apa subterană din acviferul de adâncime. Există zone unde acviferul freatic este folosit pentru alimentarea populației dar în procent scăzut. În situația în care resursa disponibilă este depășită de debitul anual captat pe termen lung, nivelul apelor subterane este supus modificărilor antropogenice care ar putea conduce la supraexploatare.</w:t>
      </w:r>
    </w:p>
    <w:p w:rsidR="00643CB5" w:rsidRPr="00315335" w:rsidRDefault="00643CB5" w:rsidP="00643CB5">
      <w:pPr>
        <w:pStyle w:val="1bullet"/>
        <w:numPr>
          <w:ilvl w:val="0"/>
          <w:numId w:val="0"/>
        </w:numPr>
        <w:spacing w:before="120" w:after="120" w:line="240" w:lineRule="auto"/>
        <w:ind w:firstLine="720"/>
        <w:rPr>
          <w:rFonts w:ascii="Arial" w:eastAsiaTheme="minorHAnsi" w:hAnsi="Arial" w:cs="Arial"/>
        </w:rPr>
      </w:pPr>
      <w:r w:rsidRPr="00315335">
        <w:rPr>
          <w:rFonts w:ascii="Arial" w:hAnsi="Arial" w:cs="Arial"/>
        </w:rPr>
        <w:t>Caracterul limitat al resurselor de apă precum și indispensabilitatea resurselor de apă subliniază necesitatea valorificării și protecției acestora împotriva epuizării și degradării.</w:t>
      </w:r>
    </w:p>
    <w:p w:rsidR="00643CB5" w:rsidRPr="00315335" w:rsidRDefault="00643CB5" w:rsidP="00643CB5">
      <w:pPr>
        <w:pStyle w:val="1text"/>
        <w:ind w:firstLine="450"/>
        <w:rPr>
          <w:rFonts w:ascii="Arial" w:eastAsiaTheme="minorHAnsi" w:hAnsi="Arial" w:cs="Arial"/>
        </w:rPr>
      </w:pPr>
      <w:r w:rsidRPr="00315335">
        <w:rPr>
          <w:rFonts w:ascii="Arial" w:eastAsiaTheme="minorHAnsi" w:hAnsi="Arial" w:cs="Arial"/>
        </w:rPr>
        <w:t>Pentru a asigura disponibilul de apă la sursă în România ținând cont de distribuția (variabilitatea) în spațiu și timp a resurselor de apă, caracterul limitat al resurselor de apă, variația regimului de curgere, caracterul torențial al bazinelor hidrografice, variația spațio-temporală a calității apelor și schimbările climatice trebuie întreprinse următoarele măsuri:</w:t>
      </w:r>
    </w:p>
    <w:p w:rsidR="00643CB5" w:rsidRPr="00315335" w:rsidRDefault="00643CB5" w:rsidP="00643CB5">
      <w:pPr>
        <w:pStyle w:val="1bullet"/>
        <w:ind w:left="450" w:hanging="450"/>
        <w:rPr>
          <w:rFonts w:ascii="Arial" w:eastAsiaTheme="minorHAnsi" w:hAnsi="Arial" w:cs="Arial"/>
        </w:rPr>
      </w:pPr>
      <w:r w:rsidRPr="00315335">
        <w:rPr>
          <w:rFonts w:ascii="Arial" w:hAnsi="Arial" w:cs="Arial"/>
          <w:b/>
        </w:rPr>
        <w:t>Măsuri de adaptare pentru asigurarea disponibilului de apă la sursă</w:t>
      </w:r>
      <w:r w:rsidRPr="00315335">
        <w:rPr>
          <w:rFonts w:ascii="Arial" w:hAnsi="Arial" w:cs="Arial"/>
        </w:rPr>
        <w:t>:</w:t>
      </w:r>
    </w:p>
    <w:p w:rsidR="00643CB5" w:rsidRPr="00315335" w:rsidRDefault="00643CB5" w:rsidP="00E14739">
      <w:pPr>
        <w:pStyle w:val="1bullet"/>
        <w:numPr>
          <w:ilvl w:val="0"/>
          <w:numId w:val="52"/>
        </w:numPr>
        <w:ind w:left="900" w:hanging="450"/>
        <w:rPr>
          <w:rFonts w:ascii="Arial" w:eastAsiaTheme="minorHAnsi" w:hAnsi="Arial" w:cs="Arial"/>
        </w:rPr>
      </w:pPr>
      <w:r w:rsidRPr="00315335">
        <w:rPr>
          <w:rFonts w:ascii="Arial" w:hAnsi="Arial" w:cs="Arial"/>
        </w:rPr>
        <w:t>realizarea de noi infrastructuri de transformare a resurselor hidrologice în resurse socioeconomice: noi lacuri de acumulare, noi derivații interbazinale și altele asemenea;</w:t>
      </w:r>
    </w:p>
    <w:p w:rsidR="00643CB5" w:rsidRPr="00315335" w:rsidRDefault="00643CB5" w:rsidP="00E14739">
      <w:pPr>
        <w:pStyle w:val="1bullet"/>
        <w:numPr>
          <w:ilvl w:val="0"/>
          <w:numId w:val="52"/>
        </w:numPr>
        <w:ind w:left="900" w:hanging="450"/>
        <w:rPr>
          <w:rFonts w:ascii="Arial" w:eastAsiaTheme="minorHAnsi" w:hAnsi="Arial" w:cs="Arial"/>
        </w:rPr>
      </w:pPr>
      <w:r w:rsidRPr="00315335">
        <w:rPr>
          <w:rFonts w:ascii="Arial" w:hAnsi="Arial" w:cs="Arial"/>
        </w:rPr>
        <w:t>modificarea infrastructurilor existente pentru a putea regulariza debitele a căror distribuție în timp se modifică ca urmare a schimbărilor climatice: supraînălțarea unor baraje, reechiparea cu noi uvraje și altele asemenea;</w:t>
      </w:r>
    </w:p>
    <w:p w:rsidR="00643CB5" w:rsidRPr="00315335" w:rsidRDefault="00643CB5" w:rsidP="00E14739">
      <w:pPr>
        <w:pStyle w:val="1bullet"/>
        <w:numPr>
          <w:ilvl w:val="0"/>
          <w:numId w:val="52"/>
        </w:numPr>
        <w:ind w:left="900" w:hanging="450"/>
        <w:rPr>
          <w:rFonts w:ascii="Arial" w:eastAsiaTheme="minorHAnsi" w:hAnsi="Arial" w:cs="Arial"/>
        </w:rPr>
      </w:pPr>
      <w:r w:rsidRPr="00315335">
        <w:rPr>
          <w:rFonts w:ascii="Arial" w:hAnsi="Arial" w:cs="Arial"/>
        </w:rPr>
        <w:t>proiectarea și implementarea unor soluții pentru colectarea și utilizarea apei din precipitații;</w:t>
      </w:r>
    </w:p>
    <w:p w:rsidR="00643CB5" w:rsidRPr="00315335" w:rsidRDefault="00643CB5" w:rsidP="00E14739">
      <w:pPr>
        <w:pStyle w:val="1bullet"/>
        <w:numPr>
          <w:ilvl w:val="0"/>
          <w:numId w:val="52"/>
        </w:numPr>
        <w:ind w:left="900" w:hanging="450"/>
        <w:rPr>
          <w:rFonts w:ascii="Arial" w:eastAsiaTheme="minorHAnsi" w:hAnsi="Arial" w:cs="Arial"/>
        </w:rPr>
      </w:pPr>
      <w:r w:rsidRPr="00315335">
        <w:rPr>
          <w:rFonts w:ascii="Arial" w:hAnsi="Arial" w:cs="Arial"/>
        </w:rPr>
        <w:t>extinderea soluțiilor de reîncărcare cu apă a straturilor freatice;</w:t>
      </w:r>
    </w:p>
    <w:p w:rsidR="00643CB5" w:rsidRPr="00315335" w:rsidRDefault="00643CB5" w:rsidP="00E14739">
      <w:pPr>
        <w:pStyle w:val="1bullet"/>
        <w:numPr>
          <w:ilvl w:val="0"/>
          <w:numId w:val="52"/>
        </w:numPr>
        <w:ind w:left="900" w:hanging="450"/>
        <w:rPr>
          <w:rFonts w:ascii="Arial" w:eastAsiaTheme="minorHAnsi" w:hAnsi="Arial" w:cs="Arial"/>
        </w:rPr>
      </w:pPr>
      <w:r w:rsidRPr="00315335">
        <w:rPr>
          <w:rFonts w:ascii="Arial" w:hAnsi="Arial" w:cs="Arial"/>
        </w:rPr>
        <w:lastRenderedPageBreak/>
        <w:t xml:space="preserve">realizarea de poldere pentru atenuarea viiturilor: acumulări nepermanente laterale cursurilor de apă. </w:t>
      </w:r>
    </w:p>
    <w:p w:rsidR="00643CB5" w:rsidRPr="00315335" w:rsidRDefault="00643CB5" w:rsidP="00643CB5">
      <w:pPr>
        <w:pStyle w:val="1bullet"/>
        <w:ind w:left="450" w:hanging="450"/>
        <w:rPr>
          <w:rFonts w:ascii="Arial" w:hAnsi="Arial" w:cs="Arial"/>
          <w:b/>
        </w:rPr>
      </w:pPr>
      <w:r w:rsidRPr="00315335">
        <w:rPr>
          <w:rFonts w:ascii="Arial" w:hAnsi="Arial" w:cs="Arial"/>
          <w:b/>
        </w:rPr>
        <w:t xml:space="preserve">Măsuri de adaptare la folosințele de apă/utilizatori: </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utilizarea eficientă și conservarea apei prin reabilitarea instalațiilor de transport și de distribuție a apei și prin modificări tehnologice: promovarea de tehnologii cu consumuri reduse de apă;</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modificări în stilul de viață al oamenilor: reducerea cerințelor de apă, utilizarea pentru anumite activități a apei recirculate și altele asemenea;</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creșterea gradului de recirculare a apei pentru nevoi industriale;</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 xml:space="preserve">modificarea tipurilor de culturi agricole prin utilizarea acelora adaptate la cerințe reduse de apă; </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elaborarea și implementarea unor sisteme de prețuri și tarife pentru apă în funcție de folosința de sezon și de resursa disponibilă</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 xml:space="preserve">utilizarea pentru anumite destinații/folosințe a apelor de calitate inferioară; </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 xml:space="preserve">îmbunătățirea legislației de mediu. </w:t>
      </w:r>
    </w:p>
    <w:p w:rsidR="00643CB5" w:rsidRPr="00315335" w:rsidRDefault="00643CB5" w:rsidP="00643CB5">
      <w:pPr>
        <w:pStyle w:val="1bullet"/>
        <w:ind w:left="450" w:hanging="450"/>
        <w:rPr>
          <w:rFonts w:ascii="Arial" w:hAnsi="Arial" w:cs="Arial"/>
          <w:b/>
        </w:rPr>
      </w:pPr>
      <w:r w:rsidRPr="00315335">
        <w:rPr>
          <w:rFonts w:ascii="Arial" w:hAnsi="Arial" w:cs="Arial"/>
          <w:b/>
        </w:rPr>
        <w:t>Măsuri care trebuie întreprinse la nivelul bazinului hidrografic:</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actualizarea schemelor directoare de amenajare și de management, astfel încât să se ia în considerare atât scăderea disponibilului la sursă și creșterea cerinței de apă cât și efectele schimbărilor climatice;</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aplicarea principiilor de management integrat al apei pentru cantitate și calitate;</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introducerea chiar de la proiectare în lacurile de acumulare care se vor construi, a unor volume de rezervă care să se utilizeze doar în situații excepționale sau realizarea unor lacuri de acumulare cu regim special de exploatare pentru a suplimenta resursele de apă disponibile în situații critice;</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transferuri interbazinale de apă pentru a compensa deficitele de apă în anumite bazine;</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stabilirea unor obiective privind calitatea apei și aplicarea unor criterii de calitate în scopul prevenirii, controlării și reducerii impactului transfrontalier, coordonarea reglementărilor și emiterii avizelor;</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îmbunătățirea tratării apei reziduale și menajere;</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armonizarea reglementărilor privind limitarea emisiilor de substanțe periculoase în apă;</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identificarea zonelor cu risc potențial la inundații, deficit de apă/secetă.</w:t>
      </w:r>
    </w:p>
    <w:p w:rsidR="00643CB5" w:rsidRPr="00315335" w:rsidRDefault="00643CB5" w:rsidP="00643CB5">
      <w:pPr>
        <w:pStyle w:val="1bullet"/>
        <w:ind w:left="450" w:hanging="450"/>
        <w:rPr>
          <w:rFonts w:ascii="Arial" w:eastAsiaTheme="minorHAnsi" w:hAnsi="Arial" w:cs="Arial"/>
          <w:b/>
        </w:rPr>
      </w:pPr>
      <w:r w:rsidRPr="00315335">
        <w:rPr>
          <w:rFonts w:ascii="Arial" w:hAnsi="Arial" w:cs="Arial"/>
          <w:b/>
        </w:rPr>
        <w:t xml:space="preserve"> Măsuri care trebuie întreprinse pentru managementul riscului la inundații: </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alegerea unor lucrări de protecție împotriva inundațiilor la nivel local destinate unor localități și structuri socio-economice în locul lucrărilor de protecție împotriva inundațiilor ample, de mari dimensiuni;</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alegerea unor soluții tehnice care să conducă la încetinirea și diminuarea inundațiilor pe măsură ce se produc, în locul supraînălțării digurilor existente sau construirii de noi diguri;</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folosirea celor mai noi metode și tehnologii pentru reabilitarea/construirea digurilor și efectuarea lucrărilor de protecție în corelare cu planurile teritoriale de amenajare urbanistică;</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revizuirea periodică a unor elemente ale planurilor de gestionare a riscurilor de inundații și actualizarea acestora dacă este cazul, luând în considerare efectele posibile ale schimbărilor climatice asupra apariției inundațiilor;</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creșterea gradului de conștientizare privind riscul de inundații în rândul populației expuse, măsuri adecvate înainte și după producerea acestora, încheierea de contracte de asigurare și altele asemenea;</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lastRenderedPageBreak/>
        <w:t xml:space="preserve">îmbunătățirea capacității de răspuns a autorităților administrației publice locale cu atribuții în managementul situațiilor de urgență generate de inundații, accidente la construcții hidrotehnice și poluări accidentale. </w:t>
      </w:r>
    </w:p>
    <w:p w:rsidR="00643CB5" w:rsidRPr="00315335" w:rsidRDefault="00643CB5" w:rsidP="00643CB5">
      <w:pPr>
        <w:pStyle w:val="1bullet"/>
        <w:ind w:left="450" w:hanging="450"/>
        <w:rPr>
          <w:rFonts w:ascii="Arial" w:hAnsi="Arial" w:cs="Arial"/>
          <w:b/>
        </w:rPr>
      </w:pPr>
      <w:r w:rsidRPr="00315335">
        <w:rPr>
          <w:rFonts w:ascii="Arial" w:hAnsi="Arial" w:cs="Arial"/>
          <w:b/>
        </w:rPr>
        <w:t>Măsurile care trebuie întreprinse pentru a combate seceta/deficitul de apă se vor lua în funcție de fazele de apariție a acesteia/acestuia:</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servicii de monitorizare și avertizare privind scăderea debitelor la nivel național;</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diminuarea scurgerilor în rețelele de distribuție a apei;</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 xml:space="preserve">măsuri de economisire și folosire eficientă a apei: irigații, industrie; </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cooperarea cu alte țări vizând schimbul de experiență în combaterea secetei;</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planuri de aprovizionare prioritară cu apă a populației și animalelor/ierarhizarea restricțiilor de folosire a apei în perioade deficitare;</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stabilirea de metodologii pentru pragurile de secetă și cartografierea secetei;</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mărirea capacității de depozitare a apei;</w:t>
      </w:r>
    </w:p>
    <w:p w:rsidR="00643CB5" w:rsidRPr="00315335" w:rsidRDefault="00643CB5" w:rsidP="00E14739">
      <w:pPr>
        <w:pStyle w:val="1bullet"/>
        <w:numPr>
          <w:ilvl w:val="0"/>
          <w:numId w:val="52"/>
        </w:numPr>
        <w:ind w:left="900" w:hanging="450"/>
        <w:rPr>
          <w:rFonts w:ascii="Arial" w:hAnsi="Arial" w:cs="Arial"/>
        </w:rPr>
      </w:pPr>
      <w:r w:rsidRPr="00315335">
        <w:rPr>
          <w:rFonts w:ascii="Arial" w:hAnsi="Arial" w:cs="Arial"/>
        </w:rPr>
        <w:t>asigurarea calității apei pe timp de secetă.</w:t>
      </w:r>
    </w:p>
    <w:p w:rsidR="00643CB5" w:rsidRPr="00315335" w:rsidRDefault="00643CB5" w:rsidP="00643CB5">
      <w:pPr>
        <w:pStyle w:val="1bullet"/>
        <w:numPr>
          <w:ilvl w:val="0"/>
          <w:numId w:val="0"/>
        </w:numPr>
        <w:spacing w:before="120" w:after="120" w:line="240" w:lineRule="auto"/>
        <w:ind w:firstLine="450"/>
        <w:rPr>
          <w:rFonts w:ascii="Arial" w:eastAsiaTheme="minorHAnsi" w:hAnsi="Arial" w:cs="Arial"/>
        </w:rPr>
      </w:pPr>
      <w:r w:rsidRPr="00315335">
        <w:rPr>
          <w:rFonts w:ascii="Arial" w:eastAsiaTheme="minorHAnsi" w:hAnsi="Arial" w:cs="Arial"/>
        </w:rPr>
        <w:t>În ultima perioadă de timp se observă o variație descrescătoare a volumelor de apă prelevate. Această variație nu exprimă doar cerința efectivă de apă, ci poate exprima existența anumitor restricții în aprovizionarea cu apă, precum și efectele introducerii contorizării consumului de apă, reducerii pierderilor de apă pe rețelele de distribuție, etc.</w:t>
      </w:r>
    </w:p>
    <w:p w:rsidR="00643CB5" w:rsidRPr="00315335" w:rsidRDefault="00643CB5" w:rsidP="00643CB5">
      <w:pPr>
        <w:pStyle w:val="1bullet"/>
        <w:numPr>
          <w:ilvl w:val="0"/>
          <w:numId w:val="0"/>
        </w:numPr>
        <w:spacing w:before="120" w:after="120" w:line="240" w:lineRule="auto"/>
        <w:ind w:firstLine="450"/>
        <w:rPr>
          <w:rFonts w:ascii="Arial" w:eastAsiaTheme="minorHAnsi" w:hAnsi="Arial" w:cs="Arial"/>
        </w:rPr>
      </w:pPr>
      <w:r w:rsidRPr="00315335">
        <w:rPr>
          <w:rFonts w:ascii="Arial" w:eastAsiaTheme="minorHAnsi" w:hAnsi="Arial" w:cs="Arial"/>
        </w:rPr>
        <w:t>Utilizarea și gestionarea eficientă a resurselor de apă implică implementarea unor schimbări de comportament atât al producătorilor de bunuri și servicii de gospodărire a apelor, cât și al utilizatorilor, al populației față de resursele de apă și față de mediu.</w:t>
      </w:r>
    </w:p>
    <w:p w:rsidR="00643CB5" w:rsidRPr="00315335" w:rsidRDefault="00643CB5" w:rsidP="00643CB5">
      <w:pPr>
        <w:pStyle w:val="Default"/>
        <w:jc w:val="both"/>
        <w:rPr>
          <w:rFonts w:ascii="Arial" w:hAnsi="Arial" w:cs="Arial"/>
          <w:color w:val="auto"/>
        </w:rPr>
      </w:pPr>
    </w:p>
    <w:p w:rsidR="00643CB5" w:rsidRPr="00315335" w:rsidRDefault="00643CB5" w:rsidP="00643CB5">
      <w:pPr>
        <w:pStyle w:val="NormalWeb"/>
        <w:spacing w:before="0" w:beforeAutospacing="0"/>
        <w:rPr>
          <w:rFonts w:ascii="Arial" w:hAnsi="Arial" w:cs="Arial"/>
          <w:b/>
          <w:color w:val="auto"/>
        </w:rPr>
      </w:pPr>
      <w:r w:rsidRPr="00315335">
        <w:rPr>
          <w:rFonts w:ascii="Arial" w:hAnsi="Arial" w:cs="Arial"/>
          <w:bCs/>
          <w:iCs/>
          <w:color w:val="auto"/>
        </w:rPr>
        <w:tab/>
        <w:t xml:space="preserve">În vederea utilizării şi gestionării eficiente și durabile a resurselor de apă în județul Brăila a fost  implementat </w:t>
      </w:r>
      <w:r w:rsidRPr="00315335">
        <w:rPr>
          <w:rFonts w:ascii="Arial" w:hAnsi="Arial" w:cs="Arial"/>
          <w:color w:val="auto"/>
        </w:rPr>
        <w:t xml:space="preserve">Proiectul: </w:t>
      </w:r>
      <w:r w:rsidRPr="00315335">
        <w:rPr>
          <w:rFonts w:ascii="Arial" w:hAnsi="Arial" w:cs="Arial"/>
          <w:b/>
          <w:color w:val="auto"/>
        </w:rPr>
        <w:t>"Reabilitarea și modernizarea sistemelor de apă și apă uzată în judetul Brăila".</w:t>
      </w:r>
    </w:p>
    <w:p w:rsidR="00643CB5" w:rsidRPr="00315335" w:rsidRDefault="00643CB5" w:rsidP="00643CB5">
      <w:pPr>
        <w:pStyle w:val="NormalWeb"/>
        <w:spacing w:before="0" w:beforeAutospacing="0"/>
        <w:rPr>
          <w:rFonts w:ascii="Arial" w:hAnsi="Arial" w:cs="Arial"/>
          <w:color w:val="auto"/>
        </w:rPr>
      </w:pPr>
      <w:r w:rsidRPr="00315335">
        <w:rPr>
          <w:rFonts w:ascii="Arial" w:hAnsi="Arial" w:cs="Arial"/>
          <w:color w:val="auto"/>
        </w:rPr>
        <w:t>       Beneficiarul Proiectului: S.C.Compania de Utilitați Publice Dunarea Brăila S.A.</w:t>
      </w:r>
    </w:p>
    <w:p w:rsidR="00643CB5" w:rsidRPr="00315335" w:rsidRDefault="00643CB5" w:rsidP="00643CB5">
      <w:pPr>
        <w:pStyle w:val="NormalWeb"/>
        <w:spacing w:before="0" w:beforeAutospacing="0"/>
        <w:rPr>
          <w:rFonts w:ascii="Arial" w:hAnsi="Arial" w:cs="Arial"/>
          <w:color w:val="auto"/>
        </w:rPr>
      </w:pPr>
      <w:r w:rsidRPr="00315335">
        <w:rPr>
          <w:rFonts w:ascii="Arial" w:hAnsi="Arial" w:cs="Arial"/>
          <w:color w:val="auto"/>
        </w:rPr>
        <w:t>       Valoarea totală a Proiectului (fără TVA): 408.828.226 lei</w:t>
      </w:r>
    </w:p>
    <w:p w:rsidR="00643CB5" w:rsidRPr="00315335" w:rsidRDefault="00643CB5" w:rsidP="00643CB5">
      <w:pPr>
        <w:pStyle w:val="NormalWeb"/>
        <w:spacing w:before="0" w:beforeAutospacing="0"/>
        <w:rPr>
          <w:rFonts w:ascii="Arial" w:hAnsi="Arial" w:cs="Arial"/>
          <w:color w:val="auto"/>
        </w:rPr>
      </w:pPr>
      <w:r w:rsidRPr="00315335">
        <w:rPr>
          <w:rFonts w:ascii="Arial" w:hAnsi="Arial" w:cs="Arial"/>
          <w:color w:val="auto"/>
        </w:rPr>
        <w:t>       Aria deservită de Proiect: Județul Brăila</w:t>
      </w:r>
    </w:p>
    <w:p w:rsidR="00643CB5" w:rsidRPr="00315335" w:rsidRDefault="00643CB5" w:rsidP="00643CB5">
      <w:pPr>
        <w:pStyle w:val="NormalWeb"/>
        <w:spacing w:before="0" w:beforeAutospacing="0"/>
        <w:rPr>
          <w:rFonts w:ascii="Arial" w:hAnsi="Arial" w:cs="Arial"/>
          <w:color w:val="auto"/>
        </w:rPr>
      </w:pPr>
      <w:r w:rsidRPr="00315335">
        <w:rPr>
          <w:rFonts w:ascii="Arial" w:hAnsi="Arial" w:cs="Arial"/>
          <w:b/>
          <w:color w:val="auto"/>
        </w:rPr>
        <w:t>Obiectivul general al Proiectului</w:t>
      </w:r>
      <w:r w:rsidRPr="00315335">
        <w:rPr>
          <w:rFonts w:ascii="Arial" w:hAnsi="Arial" w:cs="Arial"/>
          <w:color w:val="auto"/>
        </w:rPr>
        <w:t> este acela de a contribui la îndeplinirea obiectivelor Axei Prioritare nr.1 din POS Mediu, prin derularea unor investiții specifice domeniului apei potabile și apei uzate în județul Brăila, în vederea îndeplinirii obligațiilor de conformitate din POS Mediu, Tratatul de Aderare și mai ales din Directiva  Europeană 98/83/CE referitoare la calitatea apei potabile, transpusă în legislatia nationala prin Legea 311/2004 și Directiva 91/271/CE transpusă în legislația națională prin Hotărârea 352/2005, referitoare la tratarea apei uzate urbane.</w:t>
      </w:r>
    </w:p>
    <w:p w:rsidR="00643CB5" w:rsidRPr="00315335" w:rsidRDefault="00643CB5" w:rsidP="00643CB5">
      <w:pPr>
        <w:pStyle w:val="NormalWeb"/>
        <w:spacing w:before="0" w:beforeAutospacing="0"/>
        <w:rPr>
          <w:rFonts w:ascii="Arial" w:hAnsi="Arial" w:cs="Arial"/>
          <w:color w:val="auto"/>
        </w:rPr>
      </w:pPr>
      <w:r w:rsidRPr="00315335">
        <w:rPr>
          <w:rStyle w:val="Robust"/>
          <w:rFonts w:ascii="Arial" w:eastAsia="SimSun" w:hAnsi="Arial" w:cs="Arial"/>
          <w:color w:val="auto"/>
        </w:rPr>
        <w:t>Obiectivele specifice ale acestui Proiect</w:t>
      </w:r>
      <w:r w:rsidRPr="00315335">
        <w:rPr>
          <w:rFonts w:ascii="Arial" w:hAnsi="Arial" w:cs="Arial"/>
          <w:color w:val="auto"/>
        </w:rPr>
        <w:t xml:space="preserve"> sunt:</w:t>
      </w:r>
    </w:p>
    <w:p w:rsidR="00643CB5" w:rsidRPr="00315335" w:rsidRDefault="00643CB5" w:rsidP="00E14739">
      <w:pPr>
        <w:pStyle w:val="NormalWeb"/>
        <w:numPr>
          <w:ilvl w:val="0"/>
          <w:numId w:val="17"/>
        </w:numPr>
        <w:spacing w:before="0" w:beforeAutospacing="0"/>
        <w:rPr>
          <w:rFonts w:ascii="Arial" w:hAnsi="Arial" w:cs="Arial"/>
          <w:color w:val="auto"/>
        </w:rPr>
      </w:pPr>
      <w:r w:rsidRPr="00315335">
        <w:rPr>
          <w:rFonts w:ascii="Arial" w:hAnsi="Arial" w:cs="Arial"/>
          <w:color w:val="auto"/>
        </w:rPr>
        <w:t>Asigurarea serviciilor de alimentare cu apă și canalizare adecvate, la tarife accesibile pentru populație</w:t>
      </w:r>
    </w:p>
    <w:p w:rsidR="00643CB5" w:rsidRPr="00315335" w:rsidRDefault="00643CB5" w:rsidP="00E14739">
      <w:pPr>
        <w:pStyle w:val="NormalWeb"/>
        <w:numPr>
          <w:ilvl w:val="0"/>
          <w:numId w:val="17"/>
        </w:numPr>
        <w:spacing w:before="0" w:beforeAutospacing="0"/>
        <w:rPr>
          <w:rFonts w:ascii="Arial" w:hAnsi="Arial" w:cs="Arial"/>
          <w:color w:val="auto"/>
        </w:rPr>
      </w:pPr>
      <w:r w:rsidRPr="00315335">
        <w:rPr>
          <w:rFonts w:ascii="Arial" w:hAnsi="Arial" w:cs="Arial"/>
          <w:color w:val="auto"/>
        </w:rPr>
        <w:t>Asigurarea calității apei potabile în toate aglomerările urbane</w:t>
      </w:r>
    </w:p>
    <w:p w:rsidR="00643CB5" w:rsidRPr="00315335" w:rsidRDefault="00643CB5" w:rsidP="00E14739">
      <w:pPr>
        <w:pStyle w:val="NormalWeb"/>
        <w:numPr>
          <w:ilvl w:val="0"/>
          <w:numId w:val="17"/>
        </w:numPr>
        <w:spacing w:before="0" w:beforeAutospacing="0"/>
        <w:rPr>
          <w:rFonts w:ascii="Arial" w:hAnsi="Arial" w:cs="Arial"/>
          <w:color w:val="auto"/>
        </w:rPr>
      </w:pPr>
      <w:r w:rsidRPr="00315335">
        <w:rPr>
          <w:rFonts w:ascii="Arial" w:hAnsi="Arial" w:cs="Arial"/>
          <w:color w:val="auto"/>
        </w:rPr>
        <w:t>Îmbunătățirea calității apei râurilor în care sunt deversate apele uzate provenite din aglomerările umane</w:t>
      </w:r>
    </w:p>
    <w:p w:rsidR="00643CB5" w:rsidRPr="00315335" w:rsidRDefault="00643CB5" w:rsidP="00E14739">
      <w:pPr>
        <w:pStyle w:val="NormalWeb"/>
        <w:numPr>
          <w:ilvl w:val="0"/>
          <w:numId w:val="17"/>
        </w:numPr>
        <w:spacing w:before="0" w:beforeAutospacing="0"/>
        <w:rPr>
          <w:rFonts w:ascii="Arial" w:hAnsi="Arial" w:cs="Arial"/>
          <w:color w:val="auto"/>
        </w:rPr>
      </w:pPr>
      <w:r w:rsidRPr="00315335">
        <w:rPr>
          <w:rFonts w:ascii="Arial" w:hAnsi="Arial" w:cs="Arial"/>
          <w:color w:val="auto"/>
        </w:rPr>
        <w:t>Îmbunătățirea gestionării nămolului provenit din stațiile de epurare a apelor uzate</w:t>
      </w:r>
    </w:p>
    <w:p w:rsidR="00643CB5" w:rsidRPr="00315335" w:rsidRDefault="00643CB5" w:rsidP="00E14739">
      <w:pPr>
        <w:pStyle w:val="NormalWeb"/>
        <w:numPr>
          <w:ilvl w:val="0"/>
          <w:numId w:val="17"/>
        </w:numPr>
        <w:spacing w:before="0" w:beforeAutospacing="0"/>
        <w:rPr>
          <w:rFonts w:ascii="Arial" w:hAnsi="Arial" w:cs="Arial"/>
          <w:color w:val="auto"/>
        </w:rPr>
      </w:pPr>
      <w:r w:rsidRPr="00315335">
        <w:rPr>
          <w:rFonts w:ascii="Arial" w:hAnsi="Arial" w:cs="Arial"/>
          <w:color w:val="auto"/>
        </w:rPr>
        <w:t>Crearea unor structuri eficiente de management al serviciilor de apă - apă uzată.</w:t>
      </w:r>
    </w:p>
    <w:p w:rsidR="00643CB5" w:rsidRPr="00315335" w:rsidRDefault="00643CB5" w:rsidP="00643CB5">
      <w:pPr>
        <w:pStyle w:val="NormalWeb"/>
        <w:spacing w:before="0" w:beforeAutospacing="0"/>
        <w:rPr>
          <w:rFonts w:ascii="Arial" w:hAnsi="Arial" w:cs="Arial"/>
          <w:color w:val="auto"/>
        </w:rPr>
      </w:pPr>
      <w:r w:rsidRPr="00315335">
        <w:rPr>
          <w:rFonts w:ascii="Arial" w:hAnsi="Arial" w:cs="Arial"/>
          <w:b/>
          <w:color w:val="auto"/>
        </w:rPr>
        <w:t xml:space="preserve">Proiectul </w:t>
      </w:r>
      <w:r w:rsidRPr="00315335">
        <w:rPr>
          <w:rFonts w:ascii="Arial" w:hAnsi="Arial" w:cs="Arial"/>
          <w:color w:val="auto"/>
        </w:rPr>
        <w:t>constă în măsuri de extindere și reabilitare a surselor de apă, a conductelor de transport și stațiilor de tratare a apei, extinderea și reabilitarea rezervoarelor de apă, a stațiilor de pompare, rețelelor de distribuție și contoare de apă, precum și extinderea și reabilitarea sistemelor de colectare a apei uzate și reabilitarea a doua stații de epurare pentru 22.500 și respectiv 20.000 locuitori populație echivalentă.</w:t>
      </w:r>
    </w:p>
    <w:p w:rsidR="00643CB5" w:rsidRPr="00315335" w:rsidRDefault="00643CB5" w:rsidP="00643CB5">
      <w:pPr>
        <w:pStyle w:val="NormalWeb"/>
        <w:spacing w:before="0" w:beforeAutospacing="0"/>
        <w:rPr>
          <w:rFonts w:ascii="Arial" w:hAnsi="Arial" w:cs="Arial"/>
          <w:color w:val="auto"/>
        </w:rPr>
      </w:pPr>
      <w:r w:rsidRPr="00315335">
        <w:rPr>
          <w:rFonts w:ascii="Arial" w:hAnsi="Arial" w:cs="Arial"/>
          <w:color w:val="auto"/>
        </w:rPr>
        <w:t>Prin Proiect 17.138 locuitori din judetul Brăila vor fi conectatați suplimentar la rețeaua de apă potabilă in cele 5 sisteme zonale de apă, astfel 99% din populația din aria Proiectului având acces la surse de apă în condiții de siguranță.</w:t>
      </w:r>
    </w:p>
    <w:p w:rsidR="00643CB5" w:rsidRPr="00315335" w:rsidRDefault="00643CB5" w:rsidP="00643CB5">
      <w:pPr>
        <w:pStyle w:val="NormalWeb"/>
        <w:spacing w:before="0" w:beforeAutospacing="0"/>
        <w:rPr>
          <w:rFonts w:ascii="Arial" w:hAnsi="Arial" w:cs="Arial"/>
          <w:color w:val="auto"/>
        </w:rPr>
      </w:pPr>
      <w:r w:rsidRPr="00315335">
        <w:rPr>
          <w:rFonts w:ascii="Arial" w:hAnsi="Arial" w:cs="Arial"/>
          <w:color w:val="auto"/>
        </w:rPr>
        <w:t>Rata de conectare la sistemul de canalizare va atinge o medie de 99%, un număr de 55.651 locuitori conectându-se suplimentar la sistemul de apă uzată, în cele 6 aglomerări.</w:t>
      </w:r>
    </w:p>
    <w:p w:rsidR="00643CB5" w:rsidRPr="00315335" w:rsidRDefault="00643CB5" w:rsidP="00643CB5">
      <w:pPr>
        <w:pStyle w:val="NormalWeb"/>
        <w:spacing w:before="0" w:beforeAutospacing="0"/>
        <w:rPr>
          <w:rFonts w:ascii="Arial" w:hAnsi="Arial" w:cs="Arial"/>
          <w:b/>
          <w:bCs/>
          <w:color w:val="auto"/>
        </w:rPr>
      </w:pPr>
    </w:p>
    <w:p w:rsidR="003E6633" w:rsidRDefault="003E6633" w:rsidP="00643CB5">
      <w:pPr>
        <w:spacing w:after="0" w:line="240" w:lineRule="auto"/>
        <w:jc w:val="both"/>
        <w:rPr>
          <w:rFonts w:ascii="Arial" w:hAnsi="Arial" w:cs="Arial"/>
          <w:b/>
          <w:bCs/>
          <w:sz w:val="24"/>
          <w:szCs w:val="24"/>
        </w:rPr>
      </w:pPr>
    </w:p>
    <w:p w:rsidR="00643CB5" w:rsidRPr="00315335" w:rsidRDefault="00643CB5" w:rsidP="00643CB5">
      <w:pPr>
        <w:spacing w:after="0" w:line="240" w:lineRule="auto"/>
        <w:jc w:val="both"/>
        <w:rPr>
          <w:rFonts w:ascii="Arial" w:hAnsi="Arial" w:cs="Arial"/>
          <w:b/>
          <w:bCs/>
          <w:sz w:val="24"/>
          <w:szCs w:val="24"/>
        </w:rPr>
      </w:pPr>
      <w:r w:rsidRPr="00315335">
        <w:rPr>
          <w:rFonts w:ascii="Arial" w:hAnsi="Arial" w:cs="Arial"/>
          <w:b/>
          <w:bCs/>
          <w:sz w:val="24"/>
          <w:szCs w:val="24"/>
        </w:rPr>
        <w:t>II.2. Calitatea apei</w:t>
      </w:r>
    </w:p>
    <w:p w:rsidR="00643CB5" w:rsidRPr="00315335" w:rsidRDefault="00643CB5" w:rsidP="00643CB5">
      <w:pPr>
        <w:spacing w:after="0" w:line="240" w:lineRule="auto"/>
        <w:jc w:val="both"/>
        <w:rPr>
          <w:rFonts w:ascii="Arial" w:hAnsi="Arial" w:cs="Arial"/>
          <w:b/>
          <w:bCs/>
          <w:sz w:val="24"/>
          <w:szCs w:val="24"/>
        </w:rPr>
      </w:pPr>
    </w:p>
    <w:p w:rsidR="00643CB5" w:rsidRPr="00315335" w:rsidRDefault="00643CB5" w:rsidP="00643CB5">
      <w:pPr>
        <w:pStyle w:val="Default"/>
        <w:jc w:val="both"/>
        <w:rPr>
          <w:rFonts w:ascii="Arial" w:hAnsi="Arial" w:cs="Arial"/>
          <w:b/>
          <w:bCs/>
          <w:i/>
          <w:iCs/>
          <w:color w:val="auto"/>
        </w:rPr>
      </w:pPr>
      <w:r w:rsidRPr="00315335">
        <w:rPr>
          <w:rFonts w:ascii="Arial" w:hAnsi="Arial" w:cs="Arial"/>
          <w:b/>
          <w:bCs/>
          <w:color w:val="auto"/>
        </w:rPr>
        <w:t xml:space="preserve">    II.2.1. </w:t>
      </w:r>
      <w:r w:rsidRPr="00315335">
        <w:rPr>
          <w:rFonts w:ascii="Arial" w:hAnsi="Arial" w:cs="Arial"/>
          <w:b/>
          <w:bCs/>
          <w:i/>
          <w:iCs/>
          <w:color w:val="auto"/>
        </w:rPr>
        <w:t>Calitatea apei: stare şi consecinţe</w:t>
      </w:r>
    </w:p>
    <w:p w:rsidR="00643CB5" w:rsidRPr="00315335" w:rsidRDefault="00643CB5" w:rsidP="00643CB5">
      <w:pPr>
        <w:pStyle w:val="Default"/>
        <w:jc w:val="both"/>
        <w:rPr>
          <w:rFonts w:ascii="Arial" w:hAnsi="Arial" w:cs="Arial"/>
          <w:b/>
          <w:bCs/>
          <w:iCs/>
          <w:color w:val="auto"/>
          <w:sz w:val="20"/>
          <w:szCs w:val="20"/>
        </w:rPr>
      </w:pPr>
      <w:r w:rsidRPr="00315335">
        <w:rPr>
          <w:rFonts w:ascii="Arial" w:hAnsi="Arial" w:cs="Arial"/>
          <w:b/>
          <w:bCs/>
          <w:i/>
          <w:iCs/>
          <w:color w:val="auto"/>
        </w:rPr>
        <w:t>(</w:t>
      </w:r>
      <w:r w:rsidRPr="00315335">
        <w:rPr>
          <w:rFonts w:ascii="Arial" w:hAnsi="Arial" w:cs="Arial"/>
          <w:b/>
          <w:bCs/>
          <w:iCs/>
          <w:color w:val="auto"/>
          <w:sz w:val="20"/>
          <w:szCs w:val="20"/>
        </w:rPr>
        <w:t>date neactualizate la nivelul anului 2018, conf. adresei ANAR nr. 8108/ssc/26.06.2019)</w:t>
      </w:r>
    </w:p>
    <w:p w:rsidR="00643CB5" w:rsidRPr="00315335" w:rsidRDefault="00643CB5" w:rsidP="00643CB5">
      <w:pPr>
        <w:pStyle w:val="Default"/>
        <w:jc w:val="both"/>
        <w:rPr>
          <w:rFonts w:ascii="Arial" w:hAnsi="Arial" w:cs="Arial"/>
          <w:color w:val="auto"/>
          <w:sz w:val="20"/>
          <w:szCs w:val="20"/>
        </w:rPr>
      </w:pPr>
    </w:p>
    <w:p w:rsidR="00643CB5" w:rsidRPr="00315335" w:rsidRDefault="00643CB5" w:rsidP="00643CB5">
      <w:pPr>
        <w:pStyle w:val="Default"/>
        <w:jc w:val="both"/>
        <w:rPr>
          <w:rFonts w:ascii="Arial" w:hAnsi="Arial" w:cs="Arial"/>
          <w:color w:val="auto"/>
        </w:rPr>
      </w:pPr>
      <w:r w:rsidRPr="00315335">
        <w:rPr>
          <w:rFonts w:ascii="Arial" w:hAnsi="Arial" w:cs="Arial"/>
          <w:color w:val="auto"/>
        </w:rPr>
        <w:t xml:space="preserve">Stabilirea stării ecologice a corpurilor de apă (apă de suprafaţă, apă subterană şi apă de îmbăiere) se realizează pe baza următorilor </w:t>
      </w:r>
      <w:r w:rsidRPr="00315335">
        <w:rPr>
          <w:rFonts w:ascii="Arial" w:hAnsi="Arial" w:cs="Arial"/>
          <w:i/>
          <w:iCs/>
          <w:color w:val="auto"/>
        </w:rPr>
        <w:t xml:space="preserve">indicatori specifici </w:t>
      </w:r>
      <w:r w:rsidRPr="00315335">
        <w:rPr>
          <w:rFonts w:ascii="Arial" w:hAnsi="Arial" w:cs="Arial"/>
          <w:color w:val="auto"/>
        </w:rPr>
        <w:t xml:space="preserve">ai Agenţiei Europene de Mediu: </w:t>
      </w:r>
    </w:p>
    <w:p w:rsidR="00643CB5" w:rsidRPr="00315335" w:rsidRDefault="00643CB5" w:rsidP="00643CB5">
      <w:pPr>
        <w:pStyle w:val="Default"/>
        <w:jc w:val="both"/>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4678"/>
        <w:gridCol w:w="1510"/>
        <w:gridCol w:w="1444"/>
      </w:tblGrid>
      <w:tr w:rsidR="00315335" w:rsidRPr="00315335" w:rsidTr="00916B06">
        <w:trPr>
          <w:trHeight w:val="361"/>
          <w:jc w:val="center"/>
        </w:trPr>
        <w:tc>
          <w:tcPr>
            <w:tcW w:w="1141" w:type="dxa"/>
            <w:shd w:val="clear" w:color="auto" w:fill="FBD4B4" w:themeFill="accent6" w:themeFillTint="66"/>
          </w:tcPr>
          <w:p w:rsidR="00643CB5" w:rsidRPr="00315335" w:rsidRDefault="00643CB5" w:rsidP="00916B06">
            <w:pPr>
              <w:pStyle w:val="Default"/>
              <w:jc w:val="both"/>
              <w:rPr>
                <w:rFonts w:ascii="Arial" w:hAnsi="Arial" w:cs="Arial"/>
                <w:color w:val="auto"/>
              </w:rPr>
            </w:pPr>
            <w:r w:rsidRPr="00315335">
              <w:rPr>
                <w:rFonts w:ascii="Arial" w:hAnsi="Arial" w:cs="Arial"/>
                <w:b/>
                <w:bCs/>
                <w:i/>
                <w:iCs/>
                <w:color w:val="auto"/>
              </w:rPr>
              <w:t xml:space="preserve">Cod </w:t>
            </w:r>
          </w:p>
        </w:tc>
        <w:tc>
          <w:tcPr>
            <w:tcW w:w="4678" w:type="dxa"/>
            <w:shd w:val="clear" w:color="auto" w:fill="FBD4B4" w:themeFill="accent6" w:themeFillTint="66"/>
          </w:tcPr>
          <w:p w:rsidR="00643CB5" w:rsidRPr="00315335" w:rsidRDefault="00643CB5" w:rsidP="00916B06">
            <w:pPr>
              <w:pStyle w:val="Default"/>
              <w:jc w:val="both"/>
              <w:rPr>
                <w:rFonts w:ascii="Arial" w:hAnsi="Arial" w:cs="Arial"/>
                <w:color w:val="auto"/>
              </w:rPr>
            </w:pPr>
            <w:r w:rsidRPr="00315335">
              <w:rPr>
                <w:rFonts w:ascii="Arial" w:hAnsi="Arial" w:cs="Arial"/>
                <w:b/>
                <w:bCs/>
                <w:i/>
                <w:iCs/>
                <w:color w:val="auto"/>
              </w:rPr>
              <w:t xml:space="preserve">Denumire </w:t>
            </w:r>
          </w:p>
        </w:tc>
        <w:tc>
          <w:tcPr>
            <w:tcW w:w="1397" w:type="dxa"/>
            <w:shd w:val="clear" w:color="auto" w:fill="FBD4B4" w:themeFill="accent6" w:themeFillTint="66"/>
          </w:tcPr>
          <w:p w:rsidR="00643CB5" w:rsidRPr="00315335" w:rsidRDefault="00643CB5" w:rsidP="00916B06">
            <w:pPr>
              <w:pStyle w:val="Default"/>
              <w:jc w:val="both"/>
              <w:rPr>
                <w:rFonts w:ascii="Arial" w:hAnsi="Arial" w:cs="Arial"/>
                <w:color w:val="auto"/>
              </w:rPr>
            </w:pPr>
            <w:r w:rsidRPr="00315335">
              <w:rPr>
                <w:rFonts w:ascii="Arial" w:hAnsi="Arial" w:cs="Arial"/>
                <w:b/>
                <w:bCs/>
                <w:color w:val="auto"/>
              </w:rPr>
              <w:t xml:space="preserve">Tip </w:t>
            </w:r>
          </w:p>
        </w:tc>
        <w:tc>
          <w:tcPr>
            <w:tcW w:w="1444" w:type="dxa"/>
            <w:shd w:val="clear" w:color="auto" w:fill="FBD4B4" w:themeFill="accent6" w:themeFillTint="66"/>
          </w:tcPr>
          <w:p w:rsidR="00643CB5" w:rsidRPr="00315335" w:rsidRDefault="00643CB5" w:rsidP="00916B06">
            <w:pPr>
              <w:pStyle w:val="Default"/>
              <w:jc w:val="both"/>
              <w:rPr>
                <w:rFonts w:ascii="Arial" w:hAnsi="Arial" w:cs="Arial"/>
                <w:color w:val="auto"/>
              </w:rPr>
            </w:pPr>
            <w:r w:rsidRPr="00315335">
              <w:rPr>
                <w:rFonts w:ascii="Arial" w:hAnsi="Arial" w:cs="Arial"/>
                <w:b/>
                <w:bCs/>
                <w:color w:val="auto"/>
              </w:rPr>
              <w:t xml:space="preserve">Categorie </w:t>
            </w:r>
          </w:p>
        </w:tc>
      </w:tr>
      <w:tr w:rsidR="00315335" w:rsidRPr="00315335" w:rsidTr="00916B06">
        <w:trPr>
          <w:trHeight w:val="361"/>
          <w:jc w:val="center"/>
        </w:trPr>
        <w:tc>
          <w:tcPr>
            <w:tcW w:w="1141"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WEC 04 </w:t>
            </w:r>
          </w:p>
        </w:tc>
        <w:tc>
          <w:tcPr>
            <w:tcW w:w="4678"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Scheme de clasificare a cursurilor de apă </w:t>
            </w:r>
          </w:p>
        </w:tc>
        <w:tc>
          <w:tcPr>
            <w:tcW w:w="1397"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descriptiv </w:t>
            </w:r>
          </w:p>
        </w:tc>
        <w:tc>
          <w:tcPr>
            <w:tcW w:w="1444"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 impact </w:t>
            </w:r>
          </w:p>
        </w:tc>
      </w:tr>
      <w:tr w:rsidR="00315335" w:rsidRPr="00315335" w:rsidTr="00916B06">
        <w:trPr>
          <w:trHeight w:val="478"/>
          <w:jc w:val="center"/>
        </w:trPr>
        <w:tc>
          <w:tcPr>
            <w:tcW w:w="1141" w:type="dxa"/>
            <w:shd w:val="clear" w:color="auto" w:fill="FDE9D9" w:themeFill="accent6" w:themeFillTint="33"/>
          </w:tcPr>
          <w:p w:rsidR="00643CB5" w:rsidRPr="00315335" w:rsidRDefault="00643CB5" w:rsidP="00916B06">
            <w:pPr>
              <w:pStyle w:val="Default"/>
              <w:jc w:val="both"/>
              <w:rPr>
                <w:rFonts w:ascii="Arial" w:hAnsi="Arial" w:cs="Arial"/>
                <w:color w:val="auto"/>
              </w:rPr>
            </w:pPr>
          </w:p>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CSI 19 </w:t>
            </w:r>
          </w:p>
        </w:tc>
        <w:tc>
          <w:tcPr>
            <w:tcW w:w="4678"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Substanţele consumatoare de oxigen din cursurile de apă </w:t>
            </w:r>
          </w:p>
        </w:tc>
        <w:tc>
          <w:tcPr>
            <w:tcW w:w="1397"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descriptiv </w:t>
            </w:r>
          </w:p>
        </w:tc>
        <w:tc>
          <w:tcPr>
            <w:tcW w:w="1444"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 stare </w:t>
            </w:r>
          </w:p>
        </w:tc>
      </w:tr>
      <w:tr w:rsidR="00315335" w:rsidRPr="00315335" w:rsidTr="00916B06">
        <w:trPr>
          <w:trHeight w:val="361"/>
          <w:jc w:val="center"/>
        </w:trPr>
        <w:tc>
          <w:tcPr>
            <w:tcW w:w="1141"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CSI 20 </w:t>
            </w:r>
          </w:p>
        </w:tc>
        <w:tc>
          <w:tcPr>
            <w:tcW w:w="4678"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Nutrienţii din apa dulce </w:t>
            </w:r>
          </w:p>
        </w:tc>
        <w:tc>
          <w:tcPr>
            <w:tcW w:w="1397"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descriptiv </w:t>
            </w:r>
          </w:p>
        </w:tc>
        <w:tc>
          <w:tcPr>
            <w:tcW w:w="1444"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 stare </w:t>
            </w:r>
          </w:p>
        </w:tc>
      </w:tr>
      <w:tr w:rsidR="00315335" w:rsidRPr="00315335" w:rsidTr="00916B06">
        <w:trPr>
          <w:trHeight w:val="361"/>
          <w:jc w:val="center"/>
        </w:trPr>
        <w:tc>
          <w:tcPr>
            <w:tcW w:w="1141"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WHS 02 </w:t>
            </w:r>
          </w:p>
        </w:tc>
        <w:tc>
          <w:tcPr>
            <w:tcW w:w="4678"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Substanţele periculoase din cursurile de apă </w:t>
            </w:r>
          </w:p>
        </w:tc>
        <w:tc>
          <w:tcPr>
            <w:tcW w:w="1397"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descriptiv </w:t>
            </w:r>
          </w:p>
        </w:tc>
        <w:tc>
          <w:tcPr>
            <w:tcW w:w="1444"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 stare </w:t>
            </w:r>
          </w:p>
        </w:tc>
      </w:tr>
      <w:tr w:rsidR="00315335" w:rsidRPr="00315335" w:rsidTr="00916B06">
        <w:trPr>
          <w:trHeight w:val="361"/>
          <w:jc w:val="center"/>
        </w:trPr>
        <w:tc>
          <w:tcPr>
            <w:tcW w:w="1141"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WHS 03 </w:t>
            </w:r>
          </w:p>
        </w:tc>
        <w:tc>
          <w:tcPr>
            <w:tcW w:w="4678"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Substanţele periculoase din lacuri </w:t>
            </w:r>
          </w:p>
        </w:tc>
        <w:tc>
          <w:tcPr>
            <w:tcW w:w="1397"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descriptiv </w:t>
            </w:r>
          </w:p>
        </w:tc>
        <w:tc>
          <w:tcPr>
            <w:tcW w:w="1444"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 stare </w:t>
            </w:r>
          </w:p>
        </w:tc>
      </w:tr>
      <w:tr w:rsidR="00315335" w:rsidRPr="00315335" w:rsidTr="00916B06">
        <w:trPr>
          <w:trHeight w:val="361"/>
          <w:jc w:val="center"/>
        </w:trPr>
        <w:tc>
          <w:tcPr>
            <w:tcW w:w="1141"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WHS 01 </w:t>
            </w:r>
          </w:p>
        </w:tc>
        <w:tc>
          <w:tcPr>
            <w:tcW w:w="4678"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Pesticidele din apele subterane </w:t>
            </w:r>
          </w:p>
        </w:tc>
        <w:tc>
          <w:tcPr>
            <w:tcW w:w="1397"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descriptiv </w:t>
            </w:r>
          </w:p>
        </w:tc>
        <w:tc>
          <w:tcPr>
            <w:tcW w:w="1444"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 stare </w:t>
            </w:r>
          </w:p>
        </w:tc>
      </w:tr>
      <w:tr w:rsidR="00315335" w:rsidRPr="00315335" w:rsidTr="00916B06">
        <w:trPr>
          <w:trHeight w:val="370"/>
          <w:jc w:val="center"/>
        </w:trPr>
        <w:tc>
          <w:tcPr>
            <w:tcW w:w="1141"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CSI 22 </w:t>
            </w:r>
          </w:p>
        </w:tc>
        <w:tc>
          <w:tcPr>
            <w:tcW w:w="4678"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Calitatea apelor de îmbăiere </w:t>
            </w:r>
          </w:p>
        </w:tc>
        <w:tc>
          <w:tcPr>
            <w:tcW w:w="1397"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 performanţă </w:t>
            </w:r>
          </w:p>
        </w:tc>
        <w:tc>
          <w:tcPr>
            <w:tcW w:w="1444" w:type="dxa"/>
            <w:shd w:val="clear" w:color="auto" w:fill="FDE9D9" w:themeFill="accent6" w:themeFillTint="33"/>
          </w:tcPr>
          <w:p w:rsidR="00643CB5" w:rsidRPr="00315335" w:rsidRDefault="00643CB5" w:rsidP="00916B06">
            <w:pPr>
              <w:pStyle w:val="Default"/>
              <w:jc w:val="both"/>
              <w:rPr>
                <w:rFonts w:ascii="Arial" w:hAnsi="Arial" w:cs="Arial"/>
                <w:color w:val="auto"/>
              </w:rPr>
            </w:pPr>
            <w:r w:rsidRPr="00315335">
              <w:rPr>
                <w:rFonts w:ascii="Arial" w:hAnsi="Arial" w:cs="Arial"/>
                <w:color w:val="auto"/>
              </w:rPr>
              <w:t xml:space="preserve">Indicator de stare </w:t>
            </w:r>
          </w:p>
        </w:tc>
      </w:tr>
    </w:tbl>
    <w:p w:rsidR="00643CB5" w:rsidRPr="00315335" w:rsidRDefault="00643CB5" w:rsidP="00643CB5">
      <w:pPr>
        <w:pStyle w:val="Default"/>
        <w:jc w:val="both"/>
        <w:rPr>
          <w:rFonts w:ascii="Arial" w:hAnsi="Arial" w:cs="Arial"/>
          <w:b/>
          <w:bCs/>
          <w:color w:val="auto"/>
        </w:rPr>
      </w:pPr>
    </w:p>
    <w:p w:rsidR="00643CB5" w:rsidRPr="00315335" w:rsidRDefault="00643CB5" w:rsidP="00643CB5">
      <w:pPr>
        <w:pStyle w:val="Default"/>
        <w:jc w:val="both"/>
        <w:rPr>
          <w:rFonts w:ascii="Arial" w:hAnsi="Arial" w:cs="Arial"/>
          <w:b/>
          <w:bCs/>
          <w:color w:val="auto"/>
        </w:rPr>
      </w:pPr>
    </w:p>
    <w:p w:rsidR="00643CB5" w:rsidRPr="00315335" w:rsidRDefault="00643CB5" w:rsidP="00643CB5">
      <w:pPr>
        <w:pStyle w:val="Default"/>
        <w:jc w:val="both"/>
        <w:rPr>
          <w:rFonts w:ascii="Arial" w:hAnsi="Arial" w:cs="Arial"/>
          <w:b/>
          <w:bCs/>
          <w:color w:val="auto"/>
        </w:rPr>
      </w:pPr>
      <w:r w:rsidRPr="00315335">
        <w:rPr>
          <w:rFonts w:ascii="Arial" w:hAnsi="Arial" w:cs="Arial"/>
          <w:b/>
          <w:bCs/>
          <w:color w:val="auto"/>
        </w:rPr>
        <w:t xml:space="preserve">    II.2.1.1. Calitatea apei cursurilor de apă </w:t>
      </w:r>
    </w:p>
    <w:p w:rsidR="00643CB5" w:rsidRPr="00315335" w:rsidRDefault="00643CB5" w:rsidP="00643CB5">
      <w:pPr>
        <w:pStyle w:val="Default"/>
        <w:jc w:val="both"/>
        <w:rPr>
          <w:rFonts w:ascii="Arial" w:hAnsi="Arial" w:cs="Arial"/>
          <w:b/>
          <w:bCs/>
          <w:color w:val="auto"/>
        </w:rPr>
      </w:pPr>
    </w:p>
    <w:p w:rsidR="00643CB5" w:rsidRPr="00315335" w:rsidRDefault="00643CB5" w:rsidP="00643CB5">
      <w:pPr>
        <w:ind w:right="-285"/>
        <w:jc w:val="center"/>
        <w:rPr>
          <w:rFonts w:ascii="Arial" w:hAnsi="Arial" w:cs="Arial"/>
        </w:rPr>
      </w:pPr>
      <w:r w:rsidRPr="00315335">
        <w:rPr>
          <w:rFonts w:ascii="Arial" w:hAnsi="Arial" w:cs="Arial"/>
          <w:b/>
          <w:sz w:val="24"/>
          <w:szCs w:val="24"/>
          <w:highlight w:val="green"/>
        </w:rPr>
        <w:t>Indicator WEC 04. Scheme de clasificare a cursurilor de apă RO67</w:t>
      </w:r>
    </w:p>
    <w:p w:rsidR="00643CB5" w:rsidRPr="00315335" w:rsidRDefault="003E6633" w:rsidP="003E6633">
      <w:pPr>
        <w:spacing w:after="0" w:line="240" w:lineRule="auto"/>
        <w:jc w:val="both"/>
        <w:rPr>
          <w:rFonts w:ascii="Arial" w:hAnsi="Arial" w:cs="Arial"/>
          <w:b/>
          <w:sz w:val="24"/>
          <w:szCs w:val="24"/>
        </w:rPr>
      </w:pPr>
      <w:r>
        <w:rPr>
          <w:rFonts w:ascii="Arial" w:hAnsi="Arial" w:cs="Arial"/>
          <w:b/>
          <w:sz w:val="24"/>
          <w:szCs w:val="24"/>
        </w:rPr>
        <w:t xml:space="preserve">    </w:t>
      </w:r>
      <w:r w:rsidR="00643CB5" w:rsidRPr="00315335">
        <w:rPr>
          <w:rFonts w:ascii="Arial" w:hAnsi="Arial" w:cs="Arial"/>
          <w:b/>
          <w:sz w:val="24"/>
          <w:szCs w:val="24"/>
        </w:rPr>
        <w:t>II.2.1.1.1 Starea ecologică / potențialul ecologic al  cursurilor de apă monitorizate(corpuri de apă naturale, puternic modificate, artificiale - râuri) pe spații/bazine hidrografice și la nivel național</w:t>
      </w:r>
    </w:p>
    <w:p w:rsidR="00643CB5" w:rsidRPr="00315335" w:rsidRDefault="00643CB5" w:rsidP="00643CB5">
      <w:pPr>
        <w:spacing w:after="0" w:line="240" w:lineRule="auto"/>
        <w:rPr>
          <w:rFonts w:ascii="Arial" w:hAnsi="Arial" w:cs="Arial"/>
          <w:b/>
          <w:i/>
          <w:sz w:val="24"/>
          <w:szCs w:val="24"/>
        </w:rPr>
      </w:pPr>
      <w:r w:rsidRPr="00315335">
        <w:rPr>
          <w:rFonts w:ascii="Arial" w:hAnsi="Arial" w:cs="Arial"/>
          <w:sz w:val="24"/>
          <w:szCs w:val="24"/>
        </w:rPr>
        <w:t xml:space="preserve">Județul Brăila aparține din punct de vedere hidrografic de </w:t>
      </w:r>
      <w:r w:rsidRPr="00315335">
        <w:rPr>
          <w:rFonts w:ascii="Arial" w:hAnsi="Arial" w:cs="Arial"/>
          <w:i/>
          <w:sz w:val="24"/>
          <w:szCs w:val="24"/>
        </w:rPr>
        <w:t>Bazinul hidrografic Buzău – Ialomița</w:t>
      </w:r>
      <w:r w:rsidRPr="00315335">
        <w:rPr>
          <w:rFonts w:ascii="Arial" w:hAnsi="Arial" w:cs="Arial"/>
          <w:b/>
          <w:i/>
          <w:sz w:val="24"/>
          <w:szCs w:val="24"/>
        </w:rPr>
        <w:t>.</w:t>
      </w:r>
    </w:p>
    <w:p w:rsidR="00643CB5" w:rsidRPr="00315335" w:rsidRDefault="00643CB5" w:rsidP="00643CB5">
      <w:pPr>
        <w:spacing w:after="0" w:line="240" w:lineRule="auto"/>
        <w:rPr>
          <w:rFonts w:ascii="Arial" w:hAnsi="Arial" w:cs="Arial"/>
          <w:b/>
          <w:i/>
          <w:sz w:val="24"/>
          <w:szCs w:val="24"/>
        </w:rPr>
      </w:pP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i/>
          <w:sz w:val="24"/>
          <w:szCs w:val="24"/>
        </w:rPr>
        <w:t xml:space="preserve">Evaluarea stării ecologice/potențialul ecologic al cursurilor de apă monitorizate </w:t>
      </w:r>
      <w:r w:rsidRPr="00315335">
        <w:rPr>
          <w:rFonts w:ascii="Arial" w:hAnsi="Arial" w:cs="Arial"/>
          <w:sz w:val="24"/>
          <w:szCs w:val="24"/>
        </w:rPr>
        <w:t>(corpuri de apă naturale, puternic modificate, artificiale - râuri) pe spații/bazine hidrografice în anul 2017</w:t>
      </w:r>
      <w:r w:rsidR="003E6633">
        <w:rPr>
          <w:rFonts w:ascii="Arial" w:hAnsi="Arial" w:cs="Arial"/>
          <w:sz w:val="24"/>
          <w:szCs w:val="24"/>
        </w:rPr>
        <w:t xml:space="preserve"> </w:t>
      </w:r>
      <w:r w:rsidRPr="00315335">
        <w:rPr>
          <w:rFonts w:ascii="Arial" w:hAnsi="Arial" w:cs="Arial"/>
          <w:sz w:val="24"/>
          <w:szCs w:val="24"/>
        </w:rPr>
        <w:t>în</w:t>
      </w:r>
      <w:r w:rsidR="003E6633">
        <w:rPr>
          <w:rFonts w:ascii="Arial" w:hAnsi="Arial" w:cs="Arial"/>
          <w:sz w:val="24"/>
          <w:szCs w:val="24"/>
        </w:rPr>
        <w:t xml:space="preserve"> </w:t>
      </w:r>
      <w:r w:rsidRPr="00315335">
        <w:rPr>
          <w:rFonts w:ascii="Arial" w:hAnsi="Arial" w:cs="Arial"/>
          <w:b/>
          <w:sz w:val="24"/>
          <w:szCs w:val="24"/>
        </w:rPr>
        <w:t>(km)</w:t>
      </w:r>
      <w:r w:rsidRPr="00315335">
        <w:rPr>
          <w:rFonts w:ascii="Arial" w:hAnsi="Arial" w:cs="Arial"/>
          <w:sz w:val="24"/>
          <w:szCs w:val="24"/>
        </w:rPr>
        <w:t xml:space="preserve"> și </w:t>
      </w:r>
      <w:r w:rsidRPr="00315335">
        <w:rPr>
          <w:rFonts w:ascii="Arial" w:hAnsi="Arial" w:cs="Arial"/>
          <w:b/>
          <w:i/>
          <w:sz w:val="24"/>
          <w:szCs w:val="24"/>
        </w:rPr>
        <w:t>(%)</w:t>
      </w:r>
      <w:r w:rsidR="003E6633">
        <w:rPr>
          <w:rFonts w:ascii="Arial" w:hAnsi="Arial" w:cs="Arial"/>
          <w:b/>
          <w:i/>
          <w:sz w:val="24"/>
          <w:szCs w:val="24"/>
        </w:rPr>
        <w:t xml:space="preserve"> </w:t>
      </w:r>
      <w:r w:rsidRPr="00315335">
        <w:rPr>
          <w:rFonts w:ascii="Arial" w:hAnsi="Arial" w:cs="Arial"/>
          <w:sz w:val="24"/>
          <w:szCs w:val="24"/>
        </w:rPr>
        <w:t>este prezentă în figurile de mai jos:</w:t>
      </w:r>
    </w:p>
    <w:p w:rsidR="00643CB5" w:rsidRPr="00315335" w:rsidRDefault="00643CB5" w:rsidP="00643CB5">
      <w:pPr>
        <w:spacing w:line="240" w:lineRule="auto"/>
        <w:jc w:val="center"/>
        <w:rPr>
          <w:rFonts w:ascii="Arial" w:hAnsi="Arial" w:cs="Arial"/>
          <w:b/>
          <w:i/>
          <w:sz w:val="36"/>
          <w:szCs w:val="24"/>
        </w:rPr>
      </w:pPr>
      <w:r w:rsidRPr="00315335">
        <w:rPr>
          <w:noProof/>
        </w:rPr>
        <w:drawing>
          <wp:inline distT="0" distB="0" distL="0" distR="0" wp14:anchorId="63F8BBB9" wp14:editId="58469E11">
            <wp:extent cx="6099175" cy="2638425"/>
            <wp:effectExtent l="0" t="0" r="0" b="0"/>
            <wp:docPr id="228"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43CB5" w:rsidRPr="00315335" w:rsidRDefault="00643CB5" w:rsidP="00643CB5">
      <w:pPr>
        <w:spacing w:after="0" w:line="240" w:lineRule="auto"/>
        <w:jc w:val="both"/>
        <w:rPr>
          <w:rFonts w:ascii="Arial" w:hAnsi="Arial" w:cs="Arial"/>
          <w:b/>
          <w:i/>
          <w:sz w:val="20"/>
          <w:szCs w:val="16"/>
        </w:rPr>
      </w:pPr>
      <w:r w:rsidRPr="00315335">
        <w:rPr>
          <w:rFonts w:ascii="Arial" w:hAnsi="Arial" w:cs="Arial"/>
          <w:b/>
          <w:i/>
          <w:sz w:val="20"/>
          <w:szCs w:val="16"/>
        </w:rPr>
        <w:t>Figura II.2.1.1.1 Starea ecologică/potențialul ecologic al cursurilor de apă monitorizate (corpuri de apă naturale, puternic modificate, artificiale - râuri) pe spații/bazine hidrografice în anul 2017 (km)</w:t>
      </w:r>
    </w:p>
    <w:p w:rsidR="00643CB5" w:rsidRPr="00315335" w:rsidRDefault="00643CB5" w:rsidP="00643CB5">
      <w:pPr>
        <w:spacing w:after="0" w:line="240" w:lineRule="auto"/>
        <w:jc w:val="both"/>
        <w:rPr>
          <w:rFonts w:ascii="Arial" w:hAnsi="Arial" w:cs="Arial"/>
          <w:b/>
          <w:i/>
          <w:sz w:val="24"/>
          <w:szCs w:val="24"/>
        </w:rPr>
      </w:pPr>
    </w:p>
    <w:p w:rsidR="00643CB5" w:rsidRPr="00315335" w:rsidRDefault="00643CB5" w:rsidP="00643CB5">
      <w:pPr>
        <w:spacing w:line="240" w:lineRule="auto"/>
        <w:jc w:val="center"/>
        <w:rPr>
          <w:rFonts w:ascii="Arial" w:hAnsi="Arial" w:cs="Arial"/>
          <w:b/>
          <w:i/>
          <w:sz w:val="24"/>
          <w:szCs w:val="24"/>
        </w:rPr>
      </w:pPr>
      <w:r w:rsidRPr="00315335">
        <w:rPr>
          <w:noProof/>
        </w:rPr>
        <w:lastRenderedPageBreak/>
        <w:drawing>
          <wp:inline distT="0" distB="0" distL="0" distR="0" wp14:anchorId="282AE7AA" wp14:editId="11063768">
            <wp:extent cx="6177064" cy="3215640"/>
            <wp:effectExtent l="0" t="0" r="14605" b="3810"/>
            <wp:docPr id="229" name="Diagramă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b/>
          <w:i/>
          <w:sz w:val="20"/>
          <w:szCs w:val="16"/>
        </w:rPr>
        <w:t>Figura II.2.1.1.2 Starea ecologică/potențialul ecologic al cursurilor de apă monitorizate (corpuri de apă naturale, puternic modificate, artificiale - râuri) pe spații/bazine hidrografice în anul 2017</w:t>
      </w:r>
    </w:p>
    <w:p w:rsidR="00643CB5" w:rsidRPr="00315335" w:rsidRDefault="00643CB5" w:rsidP="00643CB5">
      <w:pPr>
        <w:ind w:firstLine="708"/>
        <w:rPr>
          <w:rFonts w:ascii="Arial" w:hAnsi="Arial" w:cs="Arial"/>
          <w:b/>
          <w:sz w:val="24"/>
          <w:szCs w:val="24"/>
        </w:rPr>
      </w:pPr>
    </w:p>
    <w:p w:rsidR="00643CB5" w:rsidRPr="00315335" w:rsidRDefault="00643CB5" w:rsidP="00643CB5">
      <w:pPr>
        <w:ind w:firstLine="708"/>
        <w:rPr>
          <w:rFonts w:ascii="Arial" w:hAnsi="Arial" w:cs="Arial"/>
          <w:b/>
          <w:sz w:val="24"/>
          <w:szCs w:val="24"/>
        </w:rPr>
      </w:pPr>
      <w:r w:rsidRPr="00315335">
        <w:rPr>
          <w:rFonts w:ascii="Arial" w:hAnsi="Arial" w:cs="Arial"/>
          <w:b/>
          <w:sz w:val="24"/>
          <w:szCs w:val="24"/>
        </w:rPr>
        <w:t xml:space="preserve">II.2.1.1.2 SUBSTANȚELE PRIORITARE DIN CURSURILE DE APĂ </w:t>
      </w:r>
    </w:p>
    <w:p w:rsidR="00643CB5" w:rsidRPr="00315335" w:rsidRDefault="00643CB5" w:rsidP="00643CB5">
      <w:pPr>
        <w:pStyle w:val="Default"/>
        <w:jc w:val="both"/>
        <w:rPr>
          <w:rFonts w:ascii="Arial" w:hAnsi="Arial" w:cs="Arial"/>
          <w:b/>
          <w:bCs/>
          <w:iCs/>
          <w:color w:val="auto"/>
          <w:sz w:val="20"/>
          <w:szCs w:val="20"/>
        </w:rPr>
      </w:pPr>
      <w:r w:rsidRPr="00315335">
        <w:rPr>
          <w:rFonts w:ascii="Arial" w:hAnsi="Arial" w:cs="Arial"/>
          <w:b/>
          <w:bCs/>
          <w:i/>
          <w:iCs/>
          <w:color w:val="auto"/>
        </w:rPr>
        <w:t>(</w:t>
      </w:r>
      <w:r w:rsidRPr="00315335">
        <w:rPr>
          <w:rFonts w:ascii="Arial" w:hAnsi="Arial" w:cs="Arial"/>
          <w:b/>
          <w:bCs/>
          <w:iCs/>
          <w:color w:val="auto"/>
          <w:sz w:val="20"/>
          <w:szCs w:val="20"/>
        </w:rPr>
        <w:t>date neactualizate la nivelul anului 2018, conf. adresei ANAR nr. 8108/ssc/26.06.2019)</w:t>
      </w:r>
    </w:p>
    <w:p w:rsidR="00643CB5" w:rsidRPr="00315335" w:rsidRDefault="00643CB5" w:rsidP="00643CB5">
      <w:pPr>
        <w:pStyle w:val="Default"/>
        <w:jc w:val="both"/>
        <w:rPr>
          <w:rFonts w:ascii="Arial" w:hAnsi="Arial" w:cs="Arial"/>
          <w:b/>
          <w:color w:val="auto"/>
        </w:rPr>
      </w:pPr>
    </w:p>
    <w:p w:rsidR="00643CB5" w:rsidRPr="00315335" w:rsidRDefault="00643CB5" w:rsidP="00643CB5">
      <w:pPr>
        <w:ind w:right="-285"/>
        <w:jc w:val="center"/>
        <w:rPr>
          <w:rFonts w:ascii="Arial" w:hAnsi="Arial" w:cs="Arial"/>
          <w:b/>
          <w:sz w:val="24"/>
          <w:szCs w:val="24"/>
          <w:shd w:val="clear" w:color="auto" w:fill="A9EB3D"/>
        </w:rPr>
      </w:pPr>
      <w:r w:rsidRPr="00315335">
        <w:rPr>
          <w:rFonts w:ascii="Arial" w:hAnsi="Arial" w:cs="Arial"/>
          <w:b/>
          <w:sz w:val="24"/>
          <w:szCs w:val="24"/>
        </w:rPr>
        <w:t>Indicator VHS 02.</w:t>
      </w:r>
      <w:r w:rsidRPr="00315335">
        <w:rPr>
          <w:rFonts w:ascii="Arial" w:hAnsi="Arial" w:cs="Arial"/>
          <w:b/>
          <w:sz w:val="24"/>
          <w:szCs w:val="24"/>
          <w:shd w:val="clear" w:color="auto" w:fill="A9EB3D"/>
        </w:rPr>
        <w:t>Substanțele periculoase din cursurile de apă RO65</w:t>
      </w:r>
    </w:p>
    <w:p w:rsidR="00643CB5" w:rsidRPr="008716DB" w:rsidRDefault="00643CB5" w:rsidP="008716DB">
      <w:pPr>
        <w:shd w:val="clear" w:color="auto" w:fill="FFFFFF" w:themeFill="background1"/>
        <w:ind w:right="-285"/>
        <w:jc w:val="both"/>
        <w:rPr>
          <w:rFonts w:ascii="Arial" w:hAnsi="Arial" w:cs="Arial"/>
          <w:i/>
          <w:sz w:val="20"/>
          <w:szCs w:val="20"/>
        </w:rPr>
      </w:pPr>
      <w:r w:rsidRPr="008716DB">
        <w:rPr>
          <w:rFonts w:ascii="Arial" w:hAnsi="Arial" w:cs="Arial"/>
          <w:i/>
          <w:sz w:val="20"/>
          <w:szCs w:val="20"/>
        </w:rPr>
        <w:t xml:space="preserve">Pentru acest indicator s-au avut în vedere raportarea </w:t>
      </w:r>
      <w:r w:rsidRPr="008716DB">
        <w:rPr>
          <w:rFonts w:ascii="Arial" w:hAnsi="Arial" w:cs="Arial"/>
          <w:i/>
          <w:sz w:val="20"/>
          <w:szCs w:val="20"/>
          <w:u w:val="single"/>
        </w:rPr>
        <w:t>substanțelor prioritare</w:t>
      </w:r>
      <w:r w:rsidRPr="008716DB">
        <w:rPr>
          <w:rFonts w:ascii="Arial" w:hAnsi="Arial" w:cs="Arial"/>
          <w:i/>
          <w:sz w:val="20"/>
          <w:szCs w:val="20"/>
        </w:rPr>
        <w:t xml:space="preserve"> din HG 570/2016 care stau la baza evaluării stării chimice a apelor de suprafață (mediul de investigare APĂ). De asemenea, prin depășiri față de SCM se înțelege atât depășirile față de SCM-MA cât și față de SCM-MAC (conform H.G. 570/2016).</w:t>
      </w:r>
    </w:p>
    <w:p w:rsidR="00643CB5" w:rsidRPr="00315335" w:rsidRDefault="00643CB5" w:rsidP="00643CB5">
      <w:pPr>
        <w:spacing w:after="0" w:line="240" w:lineRule="auto"/>
        <w:jc w:val="both"/>
        <w:rPr>
          <w:rFonts w:ascii="Arial" w:hAnsi="Arial" w:cs="Arial"/>
          <w:b/>
          <w:i/>
          <w:sz w:val="24"/>
          <w:szCs w:val="24"/>
        </w:rPr>
      </w:pPr>
      <w:r w:rsidRPr="00315335">
        <w:rPr>
          <w:rFonts w:ascii="Arial" w:hAnsi="Arial" w:cs="Arial"/>
          <w:b/>
          <w:i/>
          <w:sz w:val="24"/>
          <w:szCs w:val="24"/>
        </w:rPr>
        <w:t xml:space="preserve">Distribuția numărului de substanțe prioritare monitorizate în cursurile de apă pe spații/bazine hidrografice în anul 2017 </w:t>
      </w:r>
    </w:p>
    <w:p w:rsidR="00643CB5" w:rsidRPr="00315335" w:rsidRDefault="00643CB5" w:rsidP="00643CB5">
      <w:pPr>
        <w:spacing w:after="0" w:line="240" w:lineRule="auto"/>
        <w:jc w:val="both"/>
        <w:rPr>
          <w:rFonts w:ascii="Arial" w:hAnsi="Arial" w:cs="Arial"/>
          <w:b/>
          <w:i/>
          <w:sz w:val="24"/>
          <w:szCs w:val="24"/>
        </w:rPr>
      </w:pPr>
    </w:p>
    <w:p w:rsidR="00643CB5" w:rsidRPr="00315335" w:rsidRDefault="00643CB5" w:rsidP="00643CB5">
      <w:pPr>
        <w:spacing w:after="0" w:line="240" w:lineRule="auto"/>
        <w:jc w:val="both"/>
        <w:rPr>
          <w:rFonts w:ascii="Arial" w:hAnsi="Arial" w:cs="Arial"/>
          <w:b/>
          <w:i/>
          <w:sz w:val="20"/>
          <w:szCs w:val="16"/>
          <w:u w:val="single"/>
        </w:rPr>
      </w:pPr>
      <w:r w:rsidRPr="00315335">
        <w:rPr>
          <w:rFonts w:ascii="Arial" w:hAnsi="Arial" w:cs="Arial"/>
          <w:b/>
          <w:i/>
          <w:sz w:val="20"/>
          <w:szCs w:val="16"/>
        </w:rPr>
        <w:t xml:space="preserve">Tabel II.2.1.1.2 Substanțe prioritare monitorizate în cursurile de apă pe spații /bazine hidrografice în anul 2017 (nr.)– </w:t>
      </w:r>
      <w:r w:rsidRPr="00315335">
        <w:rPr>
          <w:rFonts w:ascii="Arial" w:hAnsi="Arial" w:cs="Arial"/>
          <w:b/>
          <w:i/>
          <w:sz w:val="20"/>
          <w:szCs w:val="16"/>
          <w:u w:val="single"/>
        </w:rPr>
        <w:t>mediul de investigare APĂ</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740"/>
        <w:gridCol w:w="1720"/>
        <w:gridCol w:w="1780"/>
        <w:gridCol w:w="1860"/>
      </w:tblGrid>
      <w:tr w:rsidR="00315335" w:rsidRPr="00315335" w:rsidTr="00916B06">
        <w:trPr>
          <w:trHeight w:val="315"/>
          <w:jc w:val="center"/>
        </w:trPr>
        <w:tc>
          <w:tcPr>
            <w:tcW w:w="2240" w:type="dxa"/>
            <w:vMerge w:val="restart"/>
            <w:shd w:val="clear" w:color="auto" w:fill="B8CCE4" w:themeFill="accent1" w:themeFillTint="66"/>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Spaţiu / Bazin hidrografic</w:t>
            </w:r>
          </w:p>
        </w:tc>
        <w:tc>
          <w:tcPr>
            <w:tcW w:w="1740" w:type="dxa"/>
            <w:vMerge w:val="restart"/>
            <w:shd w:val="clear" w:color="auto" w:fill="B8CCE4" w:themeFill="accent1" w:themeFillTint="66"/>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Lungime monitorizată (Km)</w:t>
            </w:r>
          </w:p>
        </w:tc>
        <w:tc>
          <w:tcPr>
            <w:tcW w:w="1720" w:type="dxa"/>
            <w:vMerge w:val="restart"/>
            <w:shd w:val="clear" w:color="auto" w:fill="B8CCE4" w:themeFill="accent1" w:themeFillTint="66"/>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Secțiuni monitorizate (nr.)</w:t>
            </w:r>
          </w:p>
        </w:tc>
        <w:tc>
          <w:tcPr>
            <w:tcW w:w="3640" w:type="dxa"/>
            <w:gridSpan w:val="2"/>
            <w:shd w:val="clear" w:color="auto" w:fill="B8CCE4" w:themeFill="accent1" w:themeFillTint="66"/>
            <w:noWrap/>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Substanțe prioritare monitorizate</w:t>
            </w:r>
          </w:p>
        </w:tc>
      </w:tr>
      <w:tr w:rsidR="00315335" w:rsidRPr="00315335" w:rsidTr="00916B06">
        <w:trPr>
          <w:trHeight w:val="900"/>
          <w:jc w:val="center"/>
        </w:trPr>
        <w:tc>
          <w:tcPr>
            <w:tcW w:w="2240" w:type="dxa"/>
            <w:vMerge/>
            <w:shd w:val="clear" w:color="auto" w:fill="B8CCE4" w:themeFill="accent1" w:themeFillTint="66"/>
            <w:vAlign w:val="center"/>
            <w:hideMark/>
          </w:tcPr>
          <w:p w:rsidR="00643CB5" w:rsidRPr="00315335" w:rsidRDefault="00643CB5" w:rsidP="00916B06">
            <w:pPr>
              <w:spacing w:after="0" w:line="240" w:lineRule="auto"/>
              <w:rPr>
                <w:rFonts w:ascii="Arial" w:eastAsia="Times New Roman" w:hAnsi="Arial" w:cs="Arial"/>
                <w:b/>
              </w:rPr>
            </w:pPr>
          </w:p>
        </w:tc>
        <w:tc>
          <w:tcPr>
            <w:tcW w:w="1740" w:type="dxa"/>
            <w:vMerge/>
            <w:shd w:val="clear" w:color="auto" w:fill="B8CCE4" w:themeFill="accent1" w:themeFillTint="66"/>
            <w:vAlign w:val="center"/>
            <w:hideMark/>
          </w:tcPr>
          <w:p w:rsidR="00643CB5" w:rsidRPr="00315335" w:rsidRDefault="00643CB5" w:rsidP="00916B06">
            <w:pPr>
              <w:spacing w:after="0" w:line="240" w:lineRule="auto"/>
              <w:rPr>
                <w:rFonts w:ascii="Arial" w:eastAsia="Times New Roman" w:hAnsi="Arial" w:cs="Arial"/>
                <w:b/>
              </w:rPr>
            </w:pPr>
          </w:p>
        </w:tc>
        <w:tc>
          <w:tcPr>
            <w:tcW w:w="1720" w:type="dxa"/>
            <w:vMerge/>
            <w:shd w:val="clear" w:color="auto" w:fill="B8CCE4" w:themeFill="accent1" w:themeFillTint="66"/>
            <w:vAlign w:val="center"/>
            <w:hideMark/>
          </w:tcPr>
          <w:p w:rsidR="00643CB5" w:rsidRPr="00315335" w:rsidRDefault="00643CB5" w:rsidP="00916B06">
            <w:pPr>
              <w:spacing w:after="0" w:line="240" w:lineRule="auto"/>
              <w:rPr>
                <w:rFonts w:ascii="Arial" w:eastAsia="Times New Roman" w:hAnsi="Arial" w:cs="Arial"/>
                <w:b/>
              </w:rPr>
            </w:pPr>
          </w:p>
        </w:tc>
        <w:tc>
          <w:tcPr>
            <w:tcW w:w="1780" w:type="dxa"/>
            <w:shd w:val="clear" w:color="auto" w:fill="B8CCE4" w:themeFill="accent1" w:themeFillTint="66"/>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Metale prioritare (nr.)</w:t>
            </w:r>
          </w:p>
        </w:tc>
        <w:tc>
          <w:tcPr>
            <w:tcW w:w="1860" w:type="dxa"/>
            <w:shd w:val="clear" w:color="auto" w:fill="B8CCE4" w:themeFill="accent1" w:themeFillTint="66"/>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Micropoluanţi organici (nr.)</w:t>
            </w:r>
          </w:p>
        </w:tc>
      </w:tr>
      <w:tr w:rsidR="00315335" w:rsidRPr="00315335" w:rsidTr="00916B06">
        <w:trPr>
          <w:trHeight w:val="315"/>
          <w:jc w:val="center"/>
        </w:trPr>
        <w:tc>
          <w:tcPr>
            <w:tcW w:w="2240" w:type="dxa"/>
            <w:shd w:val="clear" w:color="auto" w:fill="DAEEF3" w:themeFill="accent5" w:themeFillTint="33"/>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Someș-Tisa</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3525,87</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61</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21</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Crișuri</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1088,02</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40</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28</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Mureș</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3066,68</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61</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17</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Banat</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1888,39</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35</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10</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Jiu</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1994</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32</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17</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Olt</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1496</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51</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25</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Argeș-Vedea</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502,46</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15</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29</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Buzău-Ialomița</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798</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18</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21</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Siret</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1861,22</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23</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23</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Prut- Bârlad</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2462,59</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38</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25</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Dobrogea-Litoral</w:t>
            </w:r>
          </w:p>
        </w:tc>
        <w:tc>
          <w:tcPr>
            <w:tcW w:w="174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742,31</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11</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Cs w:val="24"/>
              </w:rPr>
            </w:pPr>
            <w:r w:rsidRPr="00315335">
              <w:rPr>
                <w:rFonts w:ascii="Arial" w:eastAsia="Times New Roman" w:hAnsi="Arial" w:cs="Arial"/>
                <w:szCs w:val="24"/>
              </w:rPr>
              <w:t>23</w:t>
            </w:r>
          </w:p>
        </w:tc>
      </w:tr>
      <w:tr w:rsidR="00315335" w:rsidRPr="00315335" w:rsidTr="00916B06">
        <w:trPr>
          <w:trHeight w:val="315"/>
          <w:jc w:val="center"/>
        </w:trPr>
        <w:tc>
          <w:tcPr>
            <w:tcW w:w="22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Total</w:t>
            </w:r>
          </w:p>
        </w:tc>
        <w:tc>
          <w:tcPr>
            <w:tcW w:w="1740"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19425,54</w:t>
            </w:r>
          </w:p>
        </w:tc>
        <w:tc>
          <w:tcPr>
            <w:tcW w:w="172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385</w:t>
            </w:r>
          </w:p>
        </w:tc>
        <w:tc>
          <w:tcPr>
            <w:tcW w:w="178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4</w:t>
            </w:r>
          </w:p>
        </w:tc>
        <w:tc>
          <w:tcPr>
            <w:tcW w:w="1860"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szCs w:val="24"/>
              </w:rPr>
            </w:pPr>
            <w:r w:rsidRPr="00315335">
              <w:rPr>
                <w:rFonts w:ascii="Arial" w:eastAsia="Times New Roman" w:hAnsi="Arial" w:cs="Arial"/>
                <w:b/>
                <w:szCs w:val="24"/>
              </w:rPr>
              <w:t>29</w:t>
            </w:r>
          </w:p>
        </w:tc>
      </w:tr>
    </w:tbl>
    <w:p w:rsidR="00643CB5" w:rsidRPr="00315335" w:rsidRDefault="00643CB5" w:rsidP="00643CB5">
      <w:pPr>
        <w:spacing w:after="0" w:line="240" w:lineRule="auto"/>
        <w:jc w:val="both"/>
        <w:rPr>
          <w:rFonts w:ascii="Arial" w:hAnsi="Arial" w:cs="Arial"/>
          <w:b/>
          <w:i/>
          <w:sz w:val="24"/>
          <w:szCs w:val="24"/>
        </w:rPr>
      </w:pPr>
    </w:p>
    <w:p w:rsidR="00643CB5" w:rsidRPr="00315335" w:rsidRDefault="00643CB5" w:rsidP="00643CB5">
      <w:pPr>
        <w:spacing w:line="240" w:lineRule="auto"/>
        <w:jc w:val="center"/>
        <w:rPr>
          <w:rFonts w:ascii="Arial" w:hAnsi="Arial" w:cs="Arial"/>
          <w:b/>
          <w:i/>
          <w:sz w:val="20"/>
          <w:szCs w:val="20"/>
        </w:rPr>
      </w:pPr>
      <w:r w:rsidRPr="00315335">
        <w:rPr>
          <w:rFonts w:ascii="Arial" w:hAnsi="Arial" w:cs="Arial"/>
          <w:b/>
          <w:i/>
          <w:sz w:val="20"/>
          <w:szCs w:val="20"/>
        </w:rPr>
        <w:br w:type="textWrapping" w:clear="all"/>
      </w:r>
      <w:r w:rsidRPr="00315335">
        <w:rPr>
          <w:rFonts w:ascii="Arial" w:hAnsi="Arial" w:cs="Arial"/>
          <w:noProof/>
          <w:sz w:val="24"/>
        </w:rPr>
        <w:drawing>
          <wp:inline distT="0" distB="0" distL="0" distR="0" wp14:anchorId="368851AC" wp14:editId="26B1F280">
            <wp:extent cx="6106602" cy="2926080"/>
            <wp:effectExtent l="0" t="0" r="8890" b="7620"/>
            <wp:docPr id="230" name="Diagramă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43CB5" w:rsidRPr="00315335" w:rsidRDefault="00643CB5" w:rsidP="00643CB5">
      <w:pPr>
        <w:spacing w:after="0" w:line="240" w:lineRule="auto"/>
        <w:jc w:val="both"/>
        <w:rPr>
          <w:rFonts w:ascii="Arial" w:hAnsi="Arial" w:cs="Arial"/>
          <w:b/>
          <w:i/>
          <w:sz w:val="20"/>
          <w:szCs w:val="16"/>
          <w:u w:val="single"/>
        </w:rPr>
      </w:pPr>
      <w:r w:rsidRPr="00315335">
        <w:rPr>
          <w:rFonts w:ascii="Arial" w:hAnsi="Arial" w:cs="Arial"/>
          <w:b/>
          <w:i/>
          <w:sz w:val="20"/>
          <w:szCs w:val="16"/>
        </w:rPr>
        <w:t xml:space="preserve">Figura II.2.1.1.3 Substanțe prioritare monitorizate în cursurile de apă pe spații/bazine hidrografice în anul 2017 (nr.)– </w:t>
      </w:r>
      <w:r w:rsidRPr="00315335">
        <w:rPr>
          <w:rFonts w:ascii="Arial" w:hAnsi="Arial" w:cs="Arial"/>
          <w:b/>
          <w:i/>
          <w:sz w:val="20"/>
          <w:szCs w:val="16"/>
          <w:u w:val="single"/>
        </w:rPr>
        <w:t>mediul de investigare APĂ</w:t>
      </w:r>
    </w:p>
    <w:p w:rsidR="00643CB5" w:rsidRPr="00315335" w:rsidRDefault="00643CB5" w:rsidP="00643CB5">
      <w:pPr>
        <w:spacing w:line="240" w:lineRule="auto"/>
        <w:jc w:val="both"/>
        <w:rPr>
          <w:rFonts w:ascii="Arial" w:hAnsi="Arial" w:cs="Arial"/>
          <w:b/>
          <w:sz w:val="20"/>
          <w:szCs w:val="20"/>
        </w:rPr>
      </w:pPr>
    </w:p>
    <w:p w:rsidR="00643CB5" w:rsidRPr="00315335" w:rsidRDefault="00643CB5" w:rsidP="00643CB5">
      <w:pPr>
        <w:spacing w:after="0" w:line="240" w:lineRule="auto"/>
        <w:rPr>
          <w:rFonts w:ascii="Arial" w:hAnsi="Arial" w:cs="Arial"/>
          <w:b/>
          <w:i/>
          <w:sz w:val="20"/>
          <w:szCs w:val="16"/>
        </w:rPr>
      </w:pPr>
      <w:r w:rsidRPr="00315335">
        <w:rPr>
          <w:rFonts w:ascii="Arial" w:hAnsi="Arial" w:cs="Arial"/>
          <w:b/>
          <w:i/>
          <w:sz w:val="20"/>
          <w:szCs w:val="16"/>
        </w:rPr>
        <w:t>Tabel II.2.1.1.3 Ponderea secțiunilor de monitorizare cu  concentrație mai mare decât SCM (%) în perioada 2011 - 2017</w:t>
      </w:r>
    </w:p>
    <w:tbl>
      <w:tblPr>
        <w:tblW w:w="9990" w:type="dxa"/>
        <w:jc w:val="center"/>
        <w:tblLook w:val="04A0" w:firstRow="1" w:lastRow="0" w:firstColumn="1" w:lastColumn="0" w:noHBand="0" w:noVBand="1"/>
      </w:tblPr>
      <w:tblGrid>
        <w:gridCol w:w="2520"/>
        <w:gridCol w:w="1170"/>
        <w:gridCol w:w="1080"/>
        <w:gridCol w:w="1080"/>
        <w:gridCol w:w="990"/>
        <w:gridCol w:w="990"/>
        <w:gridCol w:w="1097"/>
        <w:gridCol w:w="1063"/>
      </w:tblGrid>
      <w:tr w:rsidR="00315335" w:rsidRPr="00315335" w:rsidTr="00916B06">
        <w:trPr>
          <w:trHeight w:val="315"/>
          <w:jc w:val="center"/>
        </w:trPr>
        <w:tc>
          <w:tcPr>
            <w:tcW w:w="252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Anul</w:t>
            </w:r>
          </w:p>
        </w:tc>
        <w:tc>
          <w:tcPr>
            <w:tcW w:w="117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2011</w:t>
            </w:r>
          </w:p>
        </w:tc>
        <w:tc>
          <w:tcPr>
            <w:tcW w:w="108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2012</w:t>
            </w:r>
          </w:p>
        </w:tc>
        <w:tc>
          <w:tcPr>
            <w:tcW w:w="108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2013</w:t>
            </w:r>
          </w:p>
        </w:tc>
        <w:tc>
          <w:tcPr>
            <w:tcW w:w="99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2014</w:t>
            </w:r>
          </w:p>
        </w:tc>
        <w:tc>
          <w:tcPr>
            <w:tcW w:w="990"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2015</w:t>
            </w:r>
          </w:p>
        </w:tc>
        <w:tc>
          <w:tcPr>
            <w:tcW w:w="1097"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2016</w:t>
            </w:r>
          </w:p>
        </w:tc>
        <w:tc>
          <w:tcPr>
            <w:tcW w:w="1063" w:type="dxa"/>
            <w:tcBorders>
              <w:top w:val="single" w:sz="8" w:space="0" w:color="auto"/>
              <w:left w:val="nil"/>
              <w:bottom w:val="nil"/>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2017</w:t>
            </w:r>
          </w:p>
        </w:tc>
      </w:tr>
      <w:tr w:rsidR="00315335" w:rsidRPr="00315335" w:rsidTr="00916B06">
        <w:trPr>
          <w:trHeight w:val="780"/>
          <w:jc w:val="center"/>
        </w:trPr>
        <w:tc>
          <w:tcPr>
            <w:tcW w:w="2520"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Substanțe prioritare monitorizate (nr.)</w:t>
            </w:r>
          </w:p>
        </w:tc>
        <w:tc>
          <w:tcPr>
            <w:tcW w:w="117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34</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37</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37</w:t>
            </w:r>
          </w:p>
        </w:tc>
        <w:tc>
          <w:tcPr>
            <w:tcW w:w="9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37</w:t>
            </w:r>
          </w:p>
        </w:tc>
        <w:tc>
          <w:tcPr>
            <w:tcW w:w="990" w:type="dxa"/>
            <w:tcBorders>
              <w:top w:val="nil"/>
              <w:left w:val="nil"/>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36</w:t>
            </w:r>
          </w:p>
        </w:tc>
        <w:tc>
          <w:tcPr>
            <w:tcW w:w="1097" w:type="dxa"/>
            <w:tcBorders>
              <w:top w:val="nil"/>
              <w:left w:val="nil"/>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42</w:t>
            </w:r>
          </w:p>
        </w:tc>
        <w:tc>
          <w:tcPr>
            <w:tcW w:w="1063"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33</w:t>
            </w:r>
          </w:p>
        </w:tc>
      </w:tr>
      <w:tr w:rsidR="00315335" w:rsidRPr="00315335" w:rsidTr="00916B06">
        <w:trPr>
          <w:trHeight w:val="525"/>
          <w:jc w:val="center"/>
        </w:trPr>
        <w:tc>
          <w:tcPr>
            <w:tcW w:w="2520" w:type="dxa"/>
            <w:tcBorders>
              <w:top w:val="nil"/>
              <w:left w:val="single" w:sz="8" w:space="0" w:color="auto"/>
              <w:bottom w:val="single" w:sz="8" w:space="0" w:color="auto"/>
              <w:right w:val="nil"/>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Secțiuni  de monitorizare (nr.)</w:t>
            </w:r>
          </w:p>
        </w:tc>
        <w:tc>
          <w:tcPr>
            <w:tcW w:w="11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430</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510</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498</w:t>
            </w:r>
          </w:p>
        </w:tc>
        <w:tc>
          <w:tcPr>
            <w:tcW w:w="9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418</w:t>
            </w:r>
          </w:p>
        </w:tc>
        <w:tc>
          <w:tcPr>
            <w:tcW w:w="990" w:type="dxa"/>
            <w:tcBorders>
              <w:top w:val="nil"/>
              <w:left w:val="nil"/>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435</w:t>
            </w:r>
          </w:p>
        </w:tc>
        <w:tc>
          <w:tcPr>
            <w:tcW w:w="1097" w:type="dxa"/>
            <w:tcBorders>
              <w:top w:val="nil"/>
              <w:left w:val="nil"/>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392</w:t>
            </w:r>
          </w:p>
        </w:tc>
        <w:tc>
          <w:tcPr>
            <w:tcW w:w="1063" w:type="dxa"/>
            <w:tcBorders>
              <w:top w:val="nil"/>
              <w:left w:val="nil"/>
              <w:bottom w:val="nil"/>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385</w:t>
            </w:r>
          </w:p>
        </w:tc>
      </w:tr>
      <w:tr w:rsidR="00315335" w:rsidRPr="00315335" w:rsidTr="00916B06">
        <w:trPr>
          <w:trHeight w:val="974"/>
          <w:jc w:val="center"/>
        </w:trPr>
        <w:tc>
          <w:tcPr>
            <w:tcW w:w="2520" w:type="dxa"/>
            <w:tcBorders>
              <w:top w:val="nil"/>
              <w:left w:val="single" w:sz="8" w:space="0" w:color="auto"/>
              <w:bottom w:val="single" w:sz="8" w:space="0" w:color="auto"/>
              <w:right w:val="nil"/>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rPr>
            </w:pPr>
            <w:r w:rsidRPr="00315335">
              <w:rPr>
                <w:rFonts w:ascii="Arial" w:eastAsia="Times New Roman" w:hAnsi="Arial" w:cs="Arial"/>
                <w:b/>
                <w:bCs/>
                <w:sz w:val="20"/>
              </w:rPr>
              <w:t>Ponderea secțiunilor  cu  concentrație mai mare decât SCM (%)</w:t>
            </w:r>
          </w:p>
        </w:tc>
        <w:tc>
          <w:tcPr>
            <w:tcW w:w="11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11,39</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20,19</w:t>
            </w:r>
          </w:p>
        </w:tc>
        <w:tc>
          <w:tcPr>
            <w:tcW w:w="108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37,95</w:t>
            </w:r>
          </w:p>
        </w:tc>
        <w:tc>
          <w:tcPr>
            <w:tcW w:w="9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5,49</w:t>
            </w:r>
          </w:p>
        </w:tc>
        <w:tc>
          <w:tcPr>
            <w:tcW w:w="990" w:type="dxa"/>
            <w:tcBorders>
              <w:top w:val="nil"/>
              <w:left w:val="nil"/>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3,44</w:t>
            </w:r>
          </w:p>
        </w:tc>
        <w:tc>
          <w:tcPr>
            <w:tcW w:w="1097" w:type="dxa"/>
            <w:tcBorders>
              <w:top w:val="nil"/>
              <w:left w:val="nil"/>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3,82</w:t>
            </w:r>
          </w:p>
        </w:tc>
        <w:tc>
          <w:tcPr>
            <w:tcW w:w="1063"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rPr>
            </w:pPr>
            <w:r w:rsidRPr="00315335">
              <w:rPr>
                <w:rFonts w:ascii="Arial" w:eastAsia="Times New Roman" w:hAnsi="Arial" w:cs="Arial"/>
                <w:sz w:val="20"/>
              </w:rPr>
              <w:t>5,71</w:t>
            </w:r>
          </w:p>
        </w:tc>
      </w:tr>
    </w:tbl>
    <w:p w:rsidR="00643CB5" w:rsidRPr="00315335" w:rsidRDefault="00643CB5" w:rsidP="00643CB5">
      <w:pPr>
        <w:spacing w:after="0" w:line="240" w:lineRule="auto"/>
        <w:rPr>
          <w:rFonts w:ascii="Arial" w:hAnsi="Arial" w:cs="Arial"/>
          <w:b/>
          <w:i/>
          <w:sz w:val="20"/>
          <w:szCs w:val="16"/>
        </w:rPr>
      </w:pPr>
    </w:p>
    <w:p w:rsidR="00643CB5" w:rsidRPr="00315335" w:rsidRDefault="00643CB5" w:rsidP="00643CB5">
      <w:pPr>
        <w:spacing w:after="0" w:line="240" w:lineRule="auto"/>
        <w:jc w:val="both"/>
        <w:rPr>
          <w:rFonts w:ascii="Arial" w:hAnsi="Arial" w:cs="Arial"/>
          <w:b/>
          <w:bCs/>
          <w:sz w:val="24"/>
          <w:szCs w:val="24"/>
        </w:rPr>
      </w:pPr>
    </w:p>
    <w:p w:rsidR="00643CB5" w:rsidRPr="00315335" w:rsidRDefault="00643CB5" w:rsidP="00643CB5">
      <w:pPr>
        <w:pStyle w:val="Default"/>
        <w:jc w:val="both"/>
        <w:rPr>
          <w:rFonts w:ascii="Arial" w:hAnsi="Arial" w:cs="Arial"/>
          <w:b/>
          <w:bCs/>
          <w:color w:val="auto"/>
        </w:rPr>
      </w:pPr>
      <w:r w:rsidRPr="00315335">
        <w:rPr>
          <w:rFonts w:ascii="Arial" w:hAnsi="Arial" w:cs="Arial"/>
          <w:b/>
          <w:bCs/>
          <w:color w:val="auto"/>
        </w:rPr>
        <w:t>II.2.1.2. Calitatea apei lacurilor</w:t>
      </w:r>
    </w:p>
    <w:p w:rsidR="00643CB5" w:rsidRPr="00315335" w:rsidRDefault="00643CB5" w:rsidP="00643CB5">
      <w:pPr>
        <w:pStyle w:val="Default"/>
        <w:jc w:val="both"/>
        <w:rPr>
          <w:rFonts w:ascii="Arial" w:hAnsi="Arial" w:cs="Arial"/>
          <w:b/>
          <w:bCs/>
          <w:iCs/>
          <w:color w:val="auto"/>
          <w:sz w:val="20"/>
          <w:szCs w:val="20"/>
        </w:rPr>
      </w:pPr>
      <w:r w:rsidRPr="00315335">
        <w:rPr>
          <w:rFonts w:ascii="Arial" w:hAnsi="Arial" w:cs="Arial"/>
          <w:b/>
          <w:bCs/>
          <w:color w:val="auto"/>
        </w:rPr>
        <w:t xml:space="preserve"> </w:t>
      </w:r>
      <w:r w:rsidRPr="00315335">
        <w:rPr>
          <w:rFonts w:ascii="Arial" w:hAnsi="Arial" w:cs="Arial"/>
          <w:b/>
          <w:bCs/>
          <w:i/>
          <w:iCs/>
          <w:color w:val="auto"/>
        </w:rPr>
        <w:t>(</w:t>
      </w:r>
      <w:r w:rsidRPr="00315335">
        <w:rPr>
          <w:rFonts w:ascii="Arial" w:hAnsi="Arial" w:cs="Arial"/>
          <w:b/>
          <w:bCs/>
          <w:iCs/>
          <w:color w:val="auto"/>
          <w:sz w:val="20"/>
          <w:szCs w:val="20"/>
        </w:rPr>
        <w:t>date neactualizate la nivelul anului 2018, conf. adresei ANAR nr. 8108/ssc/26.06.2019)</w:t>
      </w:r>
    </w:p>
    <w:p w:rsidR="00643CB5" w:rsidRPr="00315335" w:rsidRDefault="00643CB5" w:rsidP="00643CB5">
      <w:pPr>
        <w:spacing w:after="0" w:line="240" w:lineRule="auto"/>
        <w:jc w:val="both"/>
        <w:rPr>
          <w:rFonts w:ascii="Arial" w:hAnsi="Arial" w:cs="Arial"/>
          <w:b/>
          <w:bCs/>
          <w:sz w:val="24"/>
          <w:szCs w:val="24"/>
        </w:rPr>
      </w:pPr>
    </w:p>
    <w:p w:rsidR="00643CB5" w:rsidRPr="00315335" w:rsidRDefault="00643CB5" w:rsidP="00643CB5">
      <w:pPr>
        <w:pStyle w:val="Default"/>
        <w:ind w:firstLine="708"/>
        <w:jc w:val="both"/>
        <w:rPr>
          <w:rFonts w:ascii="Arial" w:hAnsi="Arial" w:cs="Arial"/>
          <w:iCs/>
          <w:color w:val="auto"/>
        </w:rPr>
      </w:pPr>
      <w:r w:rsidRPr="00315335">
        <w:rPr>
          <w:rFonts w:ascii="Arial" w:hAnsi="Arial" w:cs="Arial"/>
          <w:iCs/>
          <w:color w:val="auto"/>
        </w:rPr>
        <w:t>Lacuri de pe raza  județului  Brăila</w:t>
      </w:r>
    </w:p>
    <w:p w:rsidR="00643CB5" w:rsidRPr="00315335" w:rsidRDefault="00643CB5" w:rsidP="00643CB5">
      <w:pPr>
        <w:pStyle w:val="Default"/>
        <w:jc w:val="both"/>
        <w:rPr>
          <w:rFonts w:ascii="Arial" w:hAnsi="Arial" w:cs="Arial"/>
          <w:i/>
          <w:iCs/>
          <w:color w:val="auto"/>
        </w:rPr>
      </w:pPr>
      <w:r w:rsidRPr="00315335">
        <w:rPr>
          <w:rFonts w:ascii="Arial" w:hAnsi="Arial" w:cs="Arial"/>
          <w:i/>
          <w:iCs/>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3637"/>
      </w:tblGrid>
      <w:tr w:rsidR="00315335" w:rsidRPr="00315335" w:rsidTr="00916B06">
        <w:trPr>
          <w:trHeight w:val="572"/>
          <w:jc w:val="center"/>
        </w:trPr>
        <w:tc>
          <w:tcPr>
            <w:tcW w:w="1630" w:type="dxa"/>
            <w:shd w:val="clear" w:color="auto" w:fill="FBD4B4" w:themeFill="accent6" w:themeFillTint="66"/>
            <w:vAlign w:val="center"/>
          </w:tcPr>
          <w:p w:rsidR="00643CB5" w:rsidRPr="00315335" w:rsidRDefault="00643CB5" w:rsidP="00916B06">
            <w:pPr>
              <w:pStyle w:val="Default"/>
              <w:jc w:val="both"/>
              <w:rPr>
                <w:rFonts w:ascii="Arial" w:hAnsi="Arial" w:cs="Arial"/>
                <w:color w:val="auto"/>
              </w:rPr>
            </w:pPr>
            <w:r w:rsidRPr="00315335">
              <w:rPr>
                <w:rFonts w:ascii="Arial" w:hAnsi="Arial" w:cs="Arial"/>
                <w:b/>
                <w:bCs/>
                <w:color w:val="auto"/>
              </w:rPr>
              <w:t>Bazin/spațiu hidrografic</w:t>
            </w:r>
          </w:p>
        </w:tc>
        <w:tc>
          <w:tcPr>
            <w:tcW w:w="3637" w:type="dxa"/>
            <w:shd w:val="clear" w:color="auto" w:fill="FBD4B4" w:themeFill="accent6" w:themeFillTint="66"/>
            <w:vAlign w:val="center"/>
          </w:tcPr>
          <w:p w:rsidR="00643CB5" w:rsidRPr="00315335" w:rsidRDefault="00643CB5" w:rsidP="00916B06">
            <w:pPr>
              <w:pStyle w:val="Default"/>
              <w:jc w:val="both"/>
              <w:rPr>
                <w:rFonts w:ascii="Arial" w:hAnsi="Arial" w:cs="Arial"/>
                <w:color w:val="auto"/>
              </w:rPr>
            </w:pPr>
            <w:r w:rsidRPr="00315335">
              <w:rPr>
                <w:rFonts w:ascii="Arial" w:hAnsi="Arial" w:cs="Arial"/>
                <w:b/>
                <w:bCs/>
                <w:color w:val="auto"/>
              </w:rPr>
              <w:t>Secţiuni de control</w:t>
            </w:r>
          </w:p>
        </w:tc>
      </w:tr>
      <w:tr w:rsidR="00315335" w:rsidRPr="00315335" w:rsidTr="00916B06">
        <w:trPr>
          <w:trHeight w:val="305"/>
          <w:jc w:val="center"/>
        </w:trPr>
        <w:tc>
          <w:tcPr>
            <w:tcW w:w="1630" w:type="dxa"/>
            <w:shd w:val="clear" w:color="auto" w:fill="FDE9D9" w:themeFill="accent6" w:themeFillTint="33"/>
            <w:vAlign w:val="center"/>
          </w:tcPr>
          <w:p w:rsidR="00643CB5" w:rsidRPr="00315335" w:rsidRDefault="00643CB5" w:rsidP="00916B06">
            <w:pPr>
              <w:pStyle w:val="Default"/>
              <w:jc w:val="both"/>
              <w:rPr>
                <w:rFonts w:ascii="Arial" w:hAnsi="Arial" w:cs="Arial"/>
                <w:color w:val="auto"/>
              </w:rPr>
            </w:pPr>
            <w:r w:rsidRPr="00315335">
              <w:rPr>
                <w:rFonts w:ascii="Arial" w:hAnsi="Arial" w:cs="Arial"/>
                <w:color w:val="auto"/>
              </w:rPr>
              <w:t>BUZĂU</w:t>
            </w:r>
          </w:p>
        </w:tc>
        <w:tc>
          <w:tcPr>
            <w:tcW w:w="3637" w:type="dxa"/>
            <w:shd w:val="clear" w:color="auto" w:fill="FDE9D9" w:themeFill="accent6" w:themeFillTint="33"/>
            <w:vAlign w:val="center"/>
          </w:tcPr>
          <w:p w:rsidR="00643CB5" w:rsidRPr="00315335" w:rsidRDefault="00643CB5" w:rsidP="00916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4"/>
                <w:szCs w:val="24"/>
              </w:rPr>
            </w:pPr>
            <w:r w:rsidRPr="00315335">
              <w:rPr>
                <w:rFonts w:ascii="Arial" w:hAnsi="Arial" w:cs="Arial"/>
                <w:sz w:val="24"/>
                <w:szCs w:val="24"/>
              </w:rPr>
              <w:t>LAC JIRLĂU</w:t>
            </w:r>
          </w:p>
        </w:tc>
      </w:tr>
      <w:tr w:rsidR="00315335" w:rsidRPr="00315335" w:rsidTr="00916B06">
        <w:trPr>
          <w:trHeight w:val="303"/>
          <w:jc w:val="center"/>
        </w:trPr>
        <w:tc>
          <w:tcPr>
            <w:tcW w:w="1630" w:type="dxa"/>
            <w:shd w:val="clear" w:color="auto" w:fill="FDE9D9" w:themeFill="accent6" w:themeFillTint="33"/>
            <w:vAlign w:val="center"/>
          </w:tcPr>
          <w:p w:rsidR="00643CB5" w:rsidRPr="00315335" w:rsidRDefault="00643CB5" w:rsidP="00916B06">
            <w:pPr>
              <w:pStyle w:val="Default"/>
              <w:jc w:val="both"/>
              <w:rPr>
                <w:rFonts w:ascii="Arial" w:hAnsi="Arial" w:cs="Arial"/>
                <w:color w:val="auto"/>
              </w:rPr>
            </w:pPr>
            <w:r w:rsidRPr="00315335">
              <w:rPr>
                <w:rFonts w:ascii="Arial" w:hAnsi="Arial" w:cs="Arial"/>
                <w:color w:val="auto"/>
              </w:rPr>
              <w:t>DUNĂRE</w:t>
            </w:r>
          </w:p>
        </w:tc>
        <w:tc>
          <w:tcPr>
            <w:tcW w:w="3637" w:type="dxa"/>
            <w:shd w:val="clear" w:color="auto" w:fill="FDE9D9" w:themeFill="accent6" w:themeFillTint="33"/>
            <w:vAlign w:val="center"/>
          </w:tcPr>
          <w:p w:rsidR="00643CB5" w:rsidRPr="00315335" w:rsidRDefault="00643CB5" w:rsidP="00916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4"/>
                <w:szCs w:val="24"/>
              </w:rPr>
            </w:pPr>
            <w:r w:rsidRPr="00315335">
              <w:rPr>
                <w:rFonts w:ascii="Arial" w:hAnsi="Arial" w:cs="Arial"/>
                <w:sz w:val="24"/>
                <w:szCs w:val="24"/>
              </w:rPr>
              <w:t>LAC SĂRAT MOVILA MIRESII</w:t>
            </w:r>
          </w:p>
        </w:tc>
      </w:tr>
      <w:tr w:rsidR="00315335" w:rsidRPr="00315335" w:rsidTr="00916B06">
        <w:trPr>
          <w:trHeight w:val="305"/>
          <w:jc w:val="center"/>
        </w:trPr>
        <w:tc>
          <w:tcPr>
            <w:tcW w:w="1630" w:type="dxa"/>
            <w:shd w:val="clear" w:color="auto" w:fill="FDE9D9" w:themeFill="accent6" w:themeFillTint="33"/>
            <w:vAlign w:val="center"/>
          </w:tcPr>
          <w:p w:rsidR="00643CB5" w:rsidRPr="00315335" w:rsidRDefault="00643CB5" w:rsidP="00916B06">
            <w:pPr>
              <w:pStyle w:val="Default"/>
              <w:jc w:val="both"/>
              <w:rPr>
                <w:rFonts w:ascii="Arial" w:hAnsi="Arial" w:cs="Arial"/>
                <w:color w:val="auto"/>
              </w:rPr>
            </w:pPr>
            <w:r w:rsidRPr="00315335">
              <w:rPr>
                <w:rFonts w:ascii="Arial" w:hAnsi="Arial" w:cs="Arial"/>
                <w:color w:val="auto"/>
              </w:rPr>
              <w:t>DUNĂRE</w:t>
            </w:r>
          </w:p>
        </w:tc>
        <w:tc>
          <w:tcPr>
            <w:tcW w:w="3637" w:type="dxa"/>
            <w:shd w:val="clear" w:color="auto" w:fill="FDE9D9" w:themeFill="accent6" w:themeFillTint="33"/>
            <w:vAlign w:val="center"/>
          </w:tcPr>
          <w:p w:rsidR="00643CB5" w:rsidRPr="00315335" w:rsidRDefault="00643CB5" w:rsidP="00916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4"/>
                <w:szCs w:val="24"/>
              </w:rPr>
            </w:pPr>
            <w:r w:rsidRPr="00315335">
              <w:rPr>
                <w:rFonts w:ascii="Arial" w:hAnsi="Arial" w:cs="Arial"/>
                <w:sz w:val="24"/>
                <w:szCs w:val="24"/>
              </w:rPr>
              <w:t>LAC SĂRAT BRĂILA</w:t>
            </w:r>
          </w:p>
        </w:tc>
      </w:tr>
      <w:tr w:rsidR="00315335" w:rsidRPr="00315335" w:rsidTr="00916B06">
        <w:trPr>
          <w:trHeight w:val="315"/>
          <w:jc w:val="center"/>
        </w:trPr>
        <w:tc>
          <w:tcPr>
            <w:tcW w:w="1630" w:type="dxa"/>
            <w:shd w:val="clear" w:color="auto" w:fill="FDE9D9" w:themeFill="accent6" w:themeFillTint="33"/>
            <w:vAlign w:val="center"/>
          </w:tcPr>
          <w:p w:rsidR="00643CB5" w:rsidRPr="00315335" w:rsidRDefault="00643CB5" w:rsidP="00916B06">
            <w:pPr>
              <w:pStyle w:val="Default"/>
              <w:jc w:val="both"/>
              <w:rPr>
                <w:rFonts w:ascii="Arial" w:hAnsi="Arial" w:cs="Arial"/>
                <w:color w:val="auto"/>
              </w:rPr>
            </w:pPr>
            <w:r w:rsidRPr="00315335">
              <w:rPr>
                <w:rFonts w:ascii="Arial" w:hAnsi="Arial" w:cs="Arial"/>
                <w:color w:val="auto"/>
              </w:rPr>
              <w:t>DUNĂRE</w:t>
            </w:r>
          </w:p>
        </w:tc>
        <w:tc>
          <w:tcPr>
            <w:tcW w:w="3637" w:type="dxa"/>
            <w:shd w:val="clear" w:color="auto" w:fill="FDE9D9" w:themeFill="accent6" w:themeFillTint="33"/>
            <w:vAlign w:val="center"/>
          </w:tcPr>
          <w:p w:rsidR="00643CB5" w:rsidRPr="00315335" w:rsidRDefault="00643CB5" w:rsidP="00916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4"/>
                <w:szCs w:val="24"/>
              </w:rPr>
            </w:pPr>
            <w:r w:rsidRPr="00315335">
              <w:rPr>
                <w:rFonts w:ascii="Arial" w:hAnsi="Arial" w:cs="Arial"/>
                <w:sz w:val="24"/>
                <w:szCs w:val="24"/>
              </w:rPr>
              <w:t>LAC SEACA MOVILA MIRESII</w:t>
            </w:r>
          </w:p>
        </w:tc>
      </w:tr>
    </w:tbl>
    <w:p w:rsidR="00643CB5" w:rsidRPr="00315335" w:rsidRDefault="00643CB5" w:rsidP="00643CB5">
      <w:pPr>
        <w:spacing w:after="0" w:line="240" w:lineRule="auto"/>
        <w:jc w:val="both"/>
        <w:rPr>
          <w:rFonts w:ascii="Arial" w:hAnsi="Arial" w:cs="Arial"/>
          <w:b/>
          <w:bCs/>
          <w:sz w:val="24"/>
          <w:szCs w:val="24"/>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sz w:val="24"/>
          <w:szCs w:val="24"/>
        </w:rPr>
        <w:t>INDICATOR WHS 03.  SUBSTANȚELE PRIORITARE DIN LACURI (RO66)</w:t>
      </w:r>
    </w:p>
    <w:p w:rsidR="00643CB5" w:rsidRPr="00315335" w:rsidRDefault="00643CB5" w:rsidP="00643CB5">
      <w:pPr>
        <w:spacing w:after="0" w:line="240" w:lineRule="auto"/>
        <w:jc w:val="both"/>
        <w:rPr>
          <w:rFonts w:ascii="Arial" w:hAnsi="Arial" w:cs="Arial"/>
          <w:b/>
          <w:i/>
          <w:sz w:val="24"/>
          <w:szCs w:val="24"/>
        </w:rPr>
      </w:pPr>
    </w:p>
    <w:p w:rsidR="00643CB5" w:rsidRPr="00315335" w:rsidRDefault="00643CB5" w:rsidP="00643CB5">
      <w:pPr>
        <w:spacing w:line="240" w:lineRule="auto"/>
        <w:jc w:val="both"/>
        <w:rPr>
          <w:rFonts w:ascii="Arial" w:hAnsi="Arial" w:cs="Arial"/>
        </w:rPr>
      </w:pPr>
      <w:r w:rsidRPr="00315335">
        <w:rPr>
          <w:rFonts w:ascii="Arial" w:hAnsi="Arial" w:cs="Arial"/>
          <w:i/>
          <w:sz w:val="24"/>
          <w:szCs w:val="24"/>
        </w:rPr>
        <w:t>Pentru acest indicator s-au avut în vedere raportarea substanțelor prioritare din HG 570/2016 care stau la baza evaluării stării chimice a apelor de suprafață (mediul de investigare APĂ). De asemenea, prin depășiri față de SCM se înțelege atât depășirile față de SCM-MA cât și față de SCM-MAC (conform H.G. 570/2016).</w:t>
      </w:r>
    </w:p>
    <w:p w:rsidR="00643CB5" w:rsidRPr="00315335" w:rsidRDefault="00643CB5" w:rsidP="00643CB5">
      <w:pPr>
        <w:spacing w:after="0" w:line="240" w:lineRule="auto"/>
        <w:jc w:val="both"/>
        <w:rPr>
          <w:rFonts w:ascii="Arial" w:hAnsi="Arial" w:cs="Arial"/>
          <w:b/>
          <w:i/>
          <w:sz w:val="24"/>
          <w:szCs w:val="24"/>
        </w:rPr>
      </w:pPr>
      <w:r w:rsidRPr="00315335">
        <w:rPr>
          <w:rFonts w:ascii="Arial" w:hAnsi="Arial" w:cs="Arial"/>
          <w:b/>
          <w:i/>
          <w:sz w:val="24"/>
          <w:szCs w:val="24"/>
        </w:rPr>
        <w:lastRenderedPageBreak/>
        <w:t>Distribuția numărului de substanțe prioritare monitorizate în lacuri (lacuri naturale, puternic modificate și artificiale) pe spații/bazine hidrografice în anul 2017</w:t>
      </w:r>
    </w:p>
    <w:p w:rsidR="00643CB5" w:rsidRPr="00315335" w:rsidRDefault="00643CB5" w:rsidP="00643CB5">
      <w:pPr>
        <w:spacing w:after="0" w:line="240" w:lineRule="auto"/>
        <w:jc w:val="both"/>
        <w:rPr>
          <w:rFonts w:ascii="Arial" w:hAnsi="Arial" w:cs="Arial"/>
          <w:b/>
          <w:i/>
          <w:sz w:val="20"/>
          <w:szCs w:val="16"/>
        </w:rPr>
      </w:pPr>
    </w:p>
    <w:p w:rsidR="00643CB5" w:rsidRPr="00315335" w:rsidRDefault="00643CB5" w:rsidP="00643CB5">
      <w:pPr>
        <w:spacing w:after="0" w:line="240" w:lineRule="auto"/>
        <w:jc w:val="both"/>
        <w:rPr>
          <w:rFonts w:ascii="Arial" w:hAnsi="Arial" w:cs="Arial"/>
          <w:i/>
          <w:sz w:val="20"/>
          <w:szCs w:val="16"/>
          <w:u w:val="single"/>
        </w:rPr>
      </w:pPr>
      <w:r w:rsidRPr="00315335">
        <w:rPr>
          <w:rFonts w:ascii="Arial" w:hAnsi="Arial" w:cs="Arial"/>
          <w:b/>
          <w:i/>
          <w:sz w:val="20"/>
          <w:szCs w:val="16"/>
        </w:rPr>
        <w:t xml:space="preserve">Tabel II.2.1.2.1 </w:t>
      </w:r>
      <w:r w:rsidRPr="00315335">
        <w:rPr>
          <w:rFonts w:ascii="Arial" w:hAnsi="Arial" w:cs="Arial"/>
          <w:i/>
          <w:sz w:val="20"/>
          <w:szCs w:val="16"/>
        </w:rPr>
        <w:t xml:space="preserve">Distribuția substanțelor prioritare monitorizate în lacuri (lacuri naturale, puternic modificate și artificiale) pe spații/bazine hidrografice în anul 2017 – </w:t>
      </w:r>
      <w:r w:rsidRPr="00315335">
        <w:rPr>
          <w:rFonts w:ascii="Arial" w:hAnsi="Arial" w:cs="Arial"/>
          <w:i/>
          <w:sz w:val="20"/>
          <w:szCs w:val="16"/>
          <w:u w:val="single"/>
        </w:rPr>
        <w:t>mediul de investigare APĂ</w:t>
      </w:r>
    </w:p>
    <w:tbl>
      <w:tblPr>
        <w:tblW w:w="9018" w:type="dxa"/>
        <w:jc w:val="center"/>
        <w:tblLook w:val="04A0" w:firstRow="1" w:lastRow="0" w:firstColumn="1" w:lastColumn="0" w:noHBand="0" w:noVBand="1"/>
      </w:tblPr>
      <w:tblGrid>
        <w:gridCol w:w="2150"/>
        <w:gridCol w:w="1330"/>
        <w:gridCol w:w="1720"/>
        <w:gridCol w:w="2380"/>
        <w:gridCol w:w="1524"/>
      </w:tblGrid>
      <w:tr w:rsidR="00315335" w:rsidRPr="00315335" w:rsidTr="00916B06">
        <w:trPr>
          <w:trHeight w:val="315"/>
          <w:jc w:val="center"/>
        </w:trPr>
        <w:tc>
          <w:tcPr>
            <w:tcW w:w="2150" w:type="dxa"/>
            <w:vMerge w:val="restart"/>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Spațiu / Bazin hidrografic</w:t>
            </w:r>
          </w:p>
        </w:tc>
        <w:tc>
          <w:tcPr>
            <w:tcW w:w="1330"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Corpuri de apă (nr.)</w:t>
            </w:r>
          </w:p>
        </w:tc>
        <w:tc>
          <w:tcPr>
            <w:tcW w:w="4100" w:type="dxa"/>
            <w:gridSpan w:val="2"/>
            <w:tcBorders>
              <w:top w:val="single" w:sz="8" w:space="0" w:color="auto"/>
              <w:left w:val="nil"/>
              <w:bottom w:val="single" w:sz="8" w:space="0" w:color="auto"/>
              <w:right w:val="single" w:sz="8" w:space="0" w:color="000000"/>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Substanțe prioritare  monitorizate</w:t>
            </w:r>
          </w:p>
        </w:tc>
        <w:tc>
          <w:tcPr>
            <w:tcW w:w="1438" w:type="dxa"/>
            <w:vMerge w:val="restart"/>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Secțiuni monitorizate (nr.)</w:t>
            </w:r>
          </w:p>
        </w:tc>
      </w:tr>
      <w:tr w:rsidR="00315335" w:rsidRPr="00315335" w:rsidTr="00916B06">
        <w:trPr>
          <w:trHeight w:val="690"/>
          <w:jc w:val="center"/>
        </w:trPr>
        <w:tc>
          <w:tcPr>
            <w:tcW w:w="2150" w:type="dxa"/>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rPr>
                <w:rFonts w:ascii="Arial" w:eastAsia="Times New Roman" w:hAnsi="Arial" w:cs="Arial"/>
                <w:b/>
                <w:bCs/>
              </w:rPr>
            </w:pPr>
          </w:p>
        </w:tc>
        <w:tc>
          <w:tcPr>
            <w:tcW w:w="1330" w:type="dxa"/>
            <w:vMerge/>
            <w:tcBorders>
              <w:top w:val="single" w:sz="8" w:space="0" w:color="auto"/>
              <w:left w:val="single" w:sz="8" w:space="0" w:color="auto"/>
              <w:bottom w:val="single" w:sz="4"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rPr>
                <w:rFonts w:ascii="Arial" w:eastAsia="Times New Roman" w:hAnsi="Arial" w:cs="Arial"/>
                <w:b/>
                <w:bCs/>
              </w:rPr>
            </w:pPr>
          </w:p>
        </w:tc>
        <w:tc>
          <w:tcPr>
            <w:tcW w:w="1720" w:type="dxa"/>
            <w:tcBorders>
              <w:top w:val="nil"/>
              <w:left w:val="nil"/>
              <w:bottom w:val="nil"/>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Metale prioritare (nr.)</w:t>
            </w:r>
          </w:p>
        </w:tc>
        <w:tc>
          <w:tcPr>
            <w:tcW w:w="2380" w:type="dxa"/>
            <w:tcBorders>
              <w:top w:val="nil"/>
              <w:left w:val="nil"/>
              <w:bottom w:val="nil"/>
              <w:right w:val="nil"/>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Micropoluanți organici (nr.)</w:t>
            </w:r>
          </w:p>
        </w:tc>
        <w:tc>
          <w:tcPr>
            <w:tcW w:w="1438" w:type="dxa"/>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rPr>
                <w:rFonts w:ascii="Arial" w:eastAsia="Times New Roman" w:hAnsi="Arial" w:cs="Arial"/>
                <w:b/>
                <w:bCs/>
              </w:rPr>
            </w:pPr>
          </w:p>
        </w:tc>
      </w:tr>
      <w:tr w:rsidR="00315335" w:rsidRPr="00315335" w:rsidTr="00916B06">
        <w:trPr>
          <w:trHeight w:val="315"/>
          <w:jc w:val="center"/>
        </w:trPr>
        <w:tc>
          <w:tcPr>
            <w:tcW w:w="2150" w:type="dxa"/>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Someș-Tisa</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12</w:t>
            </w:r>
          </w:p>
        </w:tc>
        <w:tc>
          <w:tcPr>
            <w:tcW w:w="1720" w:type="dxa"/>
            <w:tcBorders>
              <w:top w:val="single" w:sz="8" w:space="0" w:color="auto"/>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4</w:t>
            </w:r>
          </w:p>
        </w:tc>
        <w:tc>
          <w:tcPr>
            <w:tcW w:w="238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9</w:t>
            </w:r>
          </w:p>
        </w:tc>
        <w:tc>
          <w:tcPr>
            <w:tcW w:w="1438"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10</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Crișuri</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8</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0</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0</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0</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Mureș</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8</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0</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2</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2</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Banat</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9</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4</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Jiu</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16</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3</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Olt</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11</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7</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Argeș - Vedea</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18</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0</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2</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Buzău - Ialomița</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29</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1</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9</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3</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Siret</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10</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8</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3</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Prut - Bârlad</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26</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22</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11</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Dobrogea - Litoral</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22</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3</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3</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rPr>
            </w:pPr>
            <w:r w:rsidRPr="00315335">
              <w:rPr>
                <w:rFonts w:ascii="Arial" w:eastAsia="Times New Roman" w:hAnsi="Arial" w:cs="Arial"/>
              </w:rPr>
              <w:t>10</w:t>
            </w:r>
          </w:p>
        </w:tc>
      </w:tr>
      <w:tr w:rsidR="00315335" w:rsidRPr="00315335" w:rsidTr="00916B06">
        <w:trPr>
          <w:trHeight w:val="315"/>
          <w:jc w:val="center"/>
        </w:trPr>
        <w:tc>
          <w:tcPr>
            <w:tcW w:w="2150" w:type="dxa"/>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Total</w:t>
            </w:r>
          </w:p>
        </w:tc>
        <w:tc>
          <w:tcPr>
            <w:tcW w:w="13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169</w:t>
            </w:r>
          </w:p>
        </w:tc>
        <w:tc>
          <w:tcPr>
            <w:tcW w:w="1720" w:type="dxa"/>
            <w:tcBorders>
              <w:top w:val="nil"/>
              <w:left w:val="single" w:sz="4"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4</w:t>
            </w:r>
          </w:p>
        </w:tc>
        <w:tc>
          <w:tcPr>
            <w:tcW w:w="238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22</w:t>
            </w:r>
          </w:p>
        </w:tc>
        <w:tc>
          <w:tcPr>
            <w:tcW w:w="1438"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rPr>
            </w:pPr>
            <w:r w:rsidRPr="00315335">
              <w:rPr>
                <w:rFonts w:ascii="Arial" w:eastAsia="Times New Roman" w:hAnsi="Arial" w:cs="Arial"/>
                <w:b/>
              </w:rPr>
              <w:t>55</w:t>
            </w:r>
          </w:p>
        </w:tc>
      </w:tr>
    </w:tbl>
    <w:p w:rsidR="00643CB5" w:rsidRPr="00315335" w:rsidRDefault="00643CB5" w:rsidP="00643CB5">
      <w:pPr>
        <w:spacing w:after="0" w:line="240" w:lineRule="auto"/>
        <w:rPr>
          <w:rFonts w:ascii="Arial" w:hAnsi="Arial" w:cs="Arial"/>
        </w:rPr>
      </w:pPr>
    </w:p>
    <w:p w:rsidR="00643CB5" w:rsidRPr="00315335" w:rsidRDefault="00643CB5" w:rsidP="00643CB5">
      <w:pPr>
        <w:spacing w:line="240" w:lineRule="auto"/>
        <w:jc w:val="both"/>
        <w:rPr>
          <w:rFonts w:ascii="Arial" w:hAnsi="Arial" w:cs="Arial"/>
          <w:b/>
          <w:i/>
          <w:sz w:val="20"/>
          <w:szCs w:val="20"/>
          <w:u w:val="single"/>
        </w:rPr>
      </w:pPr>
    </w:p>
    <w:p w:rsidR="00643CB5" w:rsidRPr="00315335" w:rsidRDefault="00643CB5" w:rsidP="00643CB5">
      <w:pPr>
        <w:spacing w:line="240" w:lineRule="auto"/>
        <w:jc w:val="center"/>
        <w:rPr>
          <w:rFonts w:ascii="Arial" w:hAnsi="Arial" w:cs="Arial"/>
          <w:b/>
          <w:i/>
          <w:sz w:val="20"/>
          <w:szCs w:val="20"/>
          <w:u w:val="single"/>
        </w:rPr>
      </w:pPr>
      <w:r w:rsidRPr="00315335">
        <w:rPr>
          <w:noProof/>
        </w:rPr>
        <w:drawing>
          <wp:inline distT="0" distB="0" distL="0" distR="0" wp14:anchorId="13B0E920" wp14:editId="04EC3530">
            <wp:extent cx="5843905" cy="2981740"/>
            <wp:effectExtent l="19050" t="0" r="23495" b="9110"/>
            <wp:docPr id="231"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43CB5" w:rsidRPr="00315335" w:rsidRDefault="00643CB5" w:rsidP="00643CB5">
      <w:pPr>
        <w:spacing w:after="0" w:line="240" w:lineRule="auto"/>
        <w:jc w:val="both"/>
        <w:rPr>
          <w:rFonts w:ascii="Arial" w:hAnsi="Arial" w:cs="Arial"/>
          <w:b/>
          <w:i/>
          <w:sz w:val="20"/>
          <w:szCs w:val="16"/>
          <w:u w:val="single"/>
        </w:rPr>
      </w:pPr>
      <w:r w:rsidRPr="00315335">
        <w:rPr>
          <w:rFonts w:ascii="Arial" w:hAnsi="Arial" w:cs="Arial"/>
          <w:b/>
          <w:i/>
          <w:sz w:val="20"/>
          <w:szCs w:val="16"/>
        </w:rPr>
        <w:t xml:space="preserve">Figura II.2.1.2.1 Distribuția substanțelor prioritare monitorizate în lacuri (lacuri naturale, puternic modificate și artificiale) pe spații/bazine hidrografice în anul 2017 – </w:t>
      </w:r>
      <w:r w:rsidRPr="00315335">
        <w:rPr>
          <w:rFonts w:ascii="Arial" w:hAnsi="Arial" w:cs="Arial"/>
          <w:b/>
          <w:i/>
          <w:sz w:val="20"/>
          <w:szCs w:val="16"/>
          <w:u w:val="single"/>
        </w:rPr>
        <w:t>mediul de investigare APĂ</w:t>
      </w:r>
    </w:p>
    <w:p w:rsidR="00643CB5" w:rsidRPr="00315335" w:rsidRDefault="00643CB5" w:rsidP="00643CB5">
      <w:pPr>
        <w:spacing w:after="0" w:line="240" w:lineRule="auto"/>
        <w:jc w:val="both"/>
        <w:rPr>
          <w:rFonts w:ascii="Arial" w:hAnsi="Arial" w:cs="Arial"/>
          <w:b/>
          <w:i/>
          <w:sz w:val="20"/>
          <w:szCs w:val="16"/>
          <w:u w:val="single"/>
        </w:rPr>
      </w:pPr>
    </w:p>
    <w:p w:rsidR="00643CB5" w:rsidRPr="00315335" w:rsidRDefault="00643CB5" w:rsidP="00643CB5">
      <w:pPr>
        <w:spacing w:after="0" w:line="240" w:lineRule="auto"/>
        <w:jc w:val="both"/>
        <w:rPr>
          <w:rFonts w:ascii="Arial" w:hAnsi="Arial" w:cs="Arial"/>
          <w:i/>
          <w:sz w:val="20"/>
          <w:szCs w:val="16"/>
        </w:rPr>
      </w:pPr>
      <w:r w:rsidRPr="00315335">
        <w:rPr>
          <w:rFonts w:ascii="Arial" w:hAnsi="Arial" w:cs="Arial"/>
          <w:b/>
          <w:i/>
          <w:sz w:val="20"/>
          <w:szCs w:val="16"/>
        </w:rPr>
        <w:t xml:space="preserve">Tabel II.2.1.2.2 Ponderea secțiunilor de monitorizare a substanțelor prioritare cu concentrații mai mari decât SCM (%) pentru anul 2017 pe spații/bazine hidrografice– </w:t>
      </w:r>
      <w:r w:rsidRPr="00315335">
        <w:rPr>
          <w:rFonts w:ascii="Arial" w:hAnsi="Arial" w:cs="Arial"/>
          <w:b/>
          <w:i/>
          <w:sz w:val="20"/>
          <w:szCs w:val="16"/>
          <w:u w:val="single"/>
        </w:rPr>
        <w:t>mediul de investigare APĂ</w:t>
      </w:r>
    </w:p>
    <w:p w:rsidR="00643CB5" w:rsidRPr="00315335" w:rsidRDefault="00643CB5" w:rsidP="00643CB5">
      <w:pPr>
        <w:spacing w:after="0" w:line="240" w:lineRule="auto"/>
        <w:jc w:val="both"/>
        <w:rPr>
          <w:rFonts w:ascii="Arial" w:hAnsi="Arial" w:cs="Arial"/>
          <w:b/>
          <w:i/>
          <w:sz w:val="20"/>
          <w:szCs w:val="16"/>
          <w:u w:val="single"/>
        </w:rPr>
      </w:pPr>
    </w:p>
    <w:tbl>
      <w:tblPr>
        <w:tblW w:w="7580" w:type="dxa"/>
        <w:jc w:val="center"/>
        <w:tblLook w:val="04A0" w:firstRow="1" w:lastRow="0" w:firstColumn="1" w:lastColumn="0" w:noHBand="0" w:noVBand="1"/>
      </w:tblPr>
      <w:tblGrid>
        <w:gridCol w:w="2060"/>
        <w:gridCol w:w="1420"/>
        <w:gridCol w:w="1910"/>
        <w:gridCol w:w="2190"/>
      </w:tblGrid>
      <w:tr w:rsidR="00315335" w:rsidRPr="00315335" w:rsidTr="00916B06">
        <w:trPr>
          <w:trHeight w:val="1440"/>
          <w:jc w:val="center"/>
        </w:trPr>
        <w:tc>
          <w:tcPr>
            <w:tcW w:w="2060" w:type="dxa"/>
            <w:tcBorders>
              <w:top w:val="single" w:sz="8" w:space="0" w:color="auto"/>
              <w:left w:val="single" w:sz="8" w:space="0" w:color="auto"/>
              <w:bottom w:val="nil"/>
              <w:right w:val="single" w:sz="8" w:space="0" w:color="auto"/>
            </w:tcBorders>
            <w:shd w:val="clear" w:color="auto" w:fill="92CDDC" w:themeFill="accent5" w:themeFillTint="99"/>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Spațiu / Bazin hidrografic</w:t>
            </w:r>
          </w:p>
        </w:tc>
        <w:tc>
          <w:tcPr>
            <w:tcW w:w="1420" w:type="dxa"/>
            <w:tcBorders>
              <w:top w:val="single" w:sz="8" w:space="0" w:color="auto"/>
              <w:left w:val="nil"/>
              <w:bottom w:val="nil"/>
              <w:right w:val="single" w:sz="8" w:space="0" w:color="auto"/>
            </w:tcBorders>
            <w:shd w:val="clear" w:color="auto" w:fill="92CDDC" w:themeFill="accent5" w:themeFillTint="99"/>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Secțiuni de monitorizare</w:t>
            </w:r>
            <w:r w:rsidRPr="00315335">
              <w:rPr>
                <w:rFonts w:ascii="Arial" w:eastAsia="Times New Roman" w:hAnsi="Arial" w:cs="Arial"/>
                <w:b/>
                <w:bCs/>
                <w:sz w:val="20"/>
                <w:szCs w:val="20"/>
              </w:rPr>
              <w:br/>
              <w:t>(nr.)</w:t>
            </w:r>
          </w:p>
        </w:tc>
        <w:tc>
          <w:tcPr>
            <w:tcW w:w="1910" w:type="dxa"/>
            <w:tcBorders>
              <w:top w:val="single" w:sz="8" w:space="0" w:color="auto"/>
              <w:left w:val="nil"/>
              <w:bottom w:val="nil"/>
              <w:right w:val="single" w:sz="8" w:space="0" w:color="auto"/>
            </w:tcBorders>
            <w:shd w:val="clear" w:color="auto" w:fill="92CDDC" w:themeFill="accent5" w:themeFillTint="99"/>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Secțiuni de monitorizare cu concentrații mai mari decât SCM (nr.)</w:t>
            </w:r>
          </w:p>
        </w:tc>
        <w:tc>
          <w:tcPr>
            <w:tcW w:w="2190" w:type="dxa"/>
            <w:tcBorders>
              <w:top w:val="single" w:sz="8" w:space="0" w:color="auto"/>
              <w:left w:val="nil"/>
              <w:bottom w:val="nil"/>
              <w:right w:val="single" w:sz="8" w:space="0" w:color="auto"/>
            </w:tcBorders>
            <w:shd w:val="clear" w:color="auto" w:fill="92CDDC" w:themeFill="accent5" w:themeFillTint="99"/>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Ponderea secțiunilor de monitorizare cu  concentrații mai mari decât SCM</w:t>
            </w:r>
            <w:r w:rsidRPr="00315335">
              <w:rPr>
                <w:rFonts w:ascii="Arial" w:eastAsia="Times New Roman" w:hAnsi="Arial" w:cs="Arial"/>
                <w:b/>
                <w:bCs/>
                <w:sz w:val="20"/>
                <w:szCs w:val="20"/>
              </w:rPr>
              <w:br/>
              <w:t xml:space="preserve"> (%)</w:t>
            </w:r>
          </w:p>
        </w:tc>
      </w:tr>
      <w:tr w:rsidR="00315335" w:rsidRPr="00315335" w:rsidTr="00916B06">
        <w:trPr>
          <w:trHeight w:val="315"/>
          <w:jc w:val="center"/>
        </w:trPr>
        <w:tc>
          <w:tcPr>
            <w:tcW w:w="206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Someș - Tisa</w:t>
            </w:r>
          </w:p>
        </w:tc>
        <w:tc>
          <w:tcPr>
            <w:tcW w:w="1420"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10</w:t>
            </w:r>
          </w:p>
        </w:tc>
        <w:tc>
          <w:tcPr>
            <w:tcW w:w="1910"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Crișuri</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lastRenderedPageBreak/>
              <w:t>Mureș</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Banat</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4</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Jiu</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Olt</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7</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Argeș - Vedea</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Buzău - Ialomița</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Siret</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Prut - Bârlad</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11</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443"/>
          <w:jc w:val="center"/>
        </w:trPr>
        <w:tc>
          <w:tcPr>
            <w:tcW w:w="206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Dobrogea - Litoral</w:t>
            </w:r>
          </w:p>
        </w:tc>
        <w:tc>
          <w:tcPr>
            <w:tcW w:w="142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10</w:t>
            </w:r>
          </w:p>
        </w:tc>
        <w:tc>
          <w:tcPr>
            <w:tcW w:w="19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w:t>
            </w:r>
          </w:p>
        </w:tc>
        <w:tc>
          <w:tcPr>
            <w:tcW w:w="219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10</w:t>
            </w:r>
          </w:p>
        </w:tc>
      </w:tr>
      <w:tr w:rsidR="00315335" w:rsidRPr="00315335" w:rsidTr="00916B06">
        <w:trPr>
          <w:trHeight w:val="315"/>
          <w:jc w:val="center"/>
        </w:trPr>
        <w:tc>
          <w:tcPr>
            <w:tcW w:w="2060"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Total</w:t>
            </w:r>
          </w:p>
        </w:tc>
        <w:tc>
          <w:tcPr>
            <w:tcW w:w="142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55</w:t>
            </w:r>
          </w:p>
        </w:tc>
        <w:tc>
          <w:tcPr>
            <w:tcW w:w="191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1</w:t>
            </w:r>
          </w:p>
        </w:tc>
        <w:tc>
          <w:tcPr>
            <w:tcW w:w="2190" w:type="dxa"/>
            <w:tcBorders>
              <w:top w:val="nil"/>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1,82</w:t>
            </w:r>
          </w:p>
        </w:tc>
      </w:tr>
    </w:tbl>
    <w:p w:rsidR="00643CB5" w:rsidRPr="00315335" w:rsidRDefault="00643CB5" w:rsidP="00643CB5">
      <w:pPr>
        <w:tabs>
          <w:tab w:val="left" w:pos="8880"/>
        </w:tabs>
        <w:spacing w:line="240" w:lineRule="auto"/>
        <w:ind w:firstLine="708"/>
        <w:rPr>
          <w:rFonts w:ascii="Arial" w:hAnsi="Arial" w:cs="Arial"/>
          <w:sz w:val="24"/>
          <w:szCs w:val="24"/>
        </w:rPr>
      </w:pPr>
    </w:p>
    <w:p w:rsidR="00643CB5" w:rsidRPr="00315335" w:rsidRDefault="00643CB5" w:rsidP="00643CB5">
      <w:pPr>
        <w:tabs>
          <w:tab w:val="left" w:pos="8880"/>
        </w:tabs>
        <w:spacing w:line="240" w:lineRule="auto"/>
        <w:ind w:firstLine="708"/>
        <w:rPr>
          <w:rFonts w:ascii="Arial" w:hAnsi="Arial" w:cs="Arial"/>
          <w:b/>
          <w:i/>
          <w:sz w:val="20"/>
          <w:szCs w:val="16"/>
        </w:rPr>
      </w:pPr>
      <w:r w:rsidRPr="00315335">
        <w:rPr>
          <w:rFonts w:ascii="Arial" w:hAnsi="Arial" w:cs="Arial"/>
          <w:sz w:val="24"/>
          <w:szCs w:val="24"/>
        </w:rPr>
        <w:t>Evoluția secțiunilor de monitorizare cu concentrație mai mare decât SCM</w:t>
      </w:r>
    </w:p>
    <w:p w:rsidR="00643CB5" w:rsidRPr="00315335" w:rsidRDefault="00643CB5" w:rsidP="00643CB5">
      <w:pPr>
        <w:spacing w:after="0" w:line="240" w:lineRule="auto"/>
        <w:jc w:val="both"/>
        <w:rPr>
          <w:rFonts w:ascii="Arial" w:hAnsi="Arial" w:cs="Arial"/>
          <w:b/>
          <w:i/>
          <w:sz w:val="20"/>
          <w:szCs w:val="16"/>
        </w:rPr>
      </w:pPr>
      <w:r w:rsidRPr="00315335">
        <w:rPr>
          <w:rFonts w:ascii="Arial" w:hAnsi="Arial" w:cs="Arial"/>
          <w:b/>
          <w:i/>
          <w:sz w:val="20"/>
          <w:szCs w:val="16"/>
        </w:rPr>
        <w:t>Tabel II.2.1.2.3 Ponderea secțiunilor de monitorizare cu  concentrație mai mare decât SCM (%) în perioada 2011 - 2017</w:t>
      </w:r>
    </w:p>
    <w:tbl>
      <w:tblPr>
        <w:tblW w:w="9923" w:type="dxa"/>
        <w:jc w:val="center"/>
        <w:tblLook w:val="04A0" w:firstRow="1" w:lastRow="0" w:firstColumn="1" w:lastColumn="0" w:noHBand="0" w:noVBand="1"/>
      </w:tblPr>
      <w:tblGrid>
        <w:gridCol w:w="3900"/>
        <w:gridCol w:w="870"/>
        <w:gridCol w:w="1014"/>
        <w:gridCol w:w="870"/>
        <w:gridCol w:w="1014"/>
        <w:gridCol w:w="719"/>
        <w:gridCol w:w="749"/>
        <w:gridCol w:w="787"/>
      </w:tblGrid>
      <w:tr w:rsidR="00315335" w:rsidRPr="00315335" w:rsidTr="00916B06">
        <w:trPr>
          <w:trHeight w:val="563"/>
          <w:jc w:val="center"/>
        </w:trPr>
        <w:tc>
          <w:tcPr>
            <w:tcW w:w="3900" w:type="dxa"/>
            <w:tcBorders>
              <w:top w:val="single" w:sz="8" w:space="0" w:color="auto"/>
              <w:left w:val="single" w:sz="8" w:space="0" w:color="auto"/>
              <w:bottom w:val="single" w:sz="8" w:space="0" w:color="auto"/>
              <w:right w:val="nil"/>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Anul</w:t>
            </w:r>
          </w:p>
        </w:tc>
        <w:tc>
          <w:tcPr>
            <w:tcW w:w="87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rPr>
                <w:rFonts w:ascii="Arial" w:eastAsia="Times New Roman" w:hAnsi="Arial" w:cs="Arial"/>
                <w:b/>
                <w:sz w:val="20"/>
                <w:szCs w:val="20"/>
              </w:rPr>
            </w:pPr>
            <w:r w:rsidRPr="00315335">
              <w:rPr>
                <w:rFonts w:ascii="Arial" w:eastAsia="Times New Roman" w:hAnsi="Arial" w:cs="Arial"/>
                <w:b/>
                <w:sz w:val="20"/>
                <w:szCs w:val="20"/>
              </w:rPr>
              <w:t xml:space="preserve">  2011</w:t>
            </w:r>
          </w:p>
        </w:tc>
        <w:tc>
          <w:tcPr>
            <w:tcW w:w="1014"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rPr>
                <w:rFonts w:ascii="Arial" w:eastAsia="Times New Roman" w:hAnsi="Arial" w:cs="Arial"/>
                <w:b/>
                <w:sz w:val="20"/>
                <w:szCs w:val="20"/>
              </w:rPr>
            </w:pPr>
            <w:r w:rsidRPr="00315335">
              <w:rPr>
                <w:rFonts w:ascii="Arial" w:eastAsia="Times New Roman" w:hAnsi="Arial" w:cs="Arial"/>
                <w:b/>
                <w:sz w:val="20"/>
                <w:szCs w:val="20"/>
              </w:rPr>
              <w:t xml:space="preserve">  2012</w:t>
            </w:r>
          </w:p>
        </w:tc>
        <w:tc>
          <w:tcPr>
            <w:tcW w:w="87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rPr>
                <w:rFonts w:ascii="Arial" w:eastAsia="Times New Roman" w:hAnsi="Arial" w:cs="Arial"/>
                <w:b/>
                <w:sz w:val="20"/>
                <w:szCs w:val="20"/>
              </w:rPr>
            </w:pPr>
            <w:r w:rsidRPr="00315335">
              <w:rPr>
                <w:rFonts w:ascii="Arial" w:eastAsia="Times New Roman" w:hAnsi="Arial" w:cs="Arial"/>
                <w:b/>
                <w:sz w:val="20"/>
                <w:szCs w:val="20"/>
              </w:rPr>
              <w:t xml:space="preserve"> 2013</w:t>
            </w:r>
          </w:p>
        </w:tc>
        <w:tc>
          <w:tcPr>
            <w:tcW w:w="1014"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rPr>
                <w:rFonts w:ascii="Arial" w:eastAsia="Times New Roman" w:hAnsi="Arial" w:cs="Arial"/>
                <w:b/>
                <w:sz w:val="20"/>
                <w:szCs w:val="20"/>
              </w:rPr>
            </w:pPr>
            <w:r w:rsidRPr="00315335">
              <w:rPr>
                <w:rFonts w:ascii="Arial" w:eastAsia="Times New Roman" w:hAnsi="Arial" w:cs="Arial"/>
                <w:b/>
                <w:sz w:val="20"/>
                <w:szCs w:val="20"/>
              </w:rPr>
              <w:t xml:space="preserve">  2014</w:t>
            </w:r>
          </w:p>
        </w:tc>
        <w:tc>
          <w:tcPr>
            <w:tcW w:w="719"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643CB5" w:rsidRPr="00315335" w:rsidRDefault="00643CB5" w:rsidP="00916B06">
            <w:pPr>
              <w:spacing w:after="0" w:line="240" w:lineRule="auto"/>
              <w:rPr>
                <w:rFonts w:ascii="Arial" w:eastAsia="Times New Roman" w:hAnsi="Arial" w:cs="Arial"/>
                <w:b/>
                <w:sz w:val="20"/>
                <w:szCs w:val="20"/>
              </w:rPr>
            </w:pPr>
            <w:r w:rsidRPr="00315335">
              <w:rPr>
                <w:rFonts w:ascii="Arial" w:eastAsia="Times New Roman" w:hAnsi="Arial" w:cs="Arial"/>
                <w:b/>
                <w:sz w:val="20"/>
                <w:szCs w:val="20"/>
              </w:rPr>
              <w:t>2015</w:t>
            </w:r>
          </w:p>
        </w:tc>
        <w:tc>
          <w:tcPr>
            <w:tcW w:w="749"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643CB5" w:rsidRPr="00315335" w:rsidRDefault="00643CB5" w:rsidP="00916B06">
            <w:pPr>
              <w:spacing w:after="0" w:line="240" w:lineRule="auto"/>
              <w:rPr>
                <w:rFonts w:ascii="Arial" w:eastAsia="Times New Roman" w:hAnsi="Arial" w:cs="Arial"/>
                <w:b/>
                <w:sz w:val="20"/>
                <w:szCs w:val="20"/>
              </w:rPr>
            </w:pPr>
            <w:r w:rsidRPr="00315335">
              <w:rPr>
                <w:rFonts w:ascii="Arial" w:eastAsia="Times New Roman" w:hAnsi="Arial" w:cs="Arial"/>
                <w:b/>
                <w:sz w:val="20"/>
                <w:szCs w:val="20"/>
              </w:rPr>
              <w:t xml:space="preserve"> 2016</w:t>
            </w:r>
          </w:p>
        </w:tc>
        <w:tc>
          <w:tcPr>
            <w:tcW w:w="787"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2017</w:t>
            </w:r>
          </w:p>
        </w:tc>
      </w:tr>
      <w:tr w:rsidR="00315335" w:rsidRPr="00315335" w:rsidTr="00916B06">
        <w:trPr>
          <w:trHeight w:val="520"/>
          <w:jc w:val="center"/>
        </w:trPr>
        <w:tc>
          <w:tcPr>
            <w:tcW w:w="3900" w:type="dxa"/>
            <w:tcBorders>
              <w:top w:val="single" w:sz="8" w:space="0" w:color="auto"/>
              <w:left w:val="single" w:sz="8" w:space="0" w:color="auto"/>
              <w:bottom w:val="single" w:sz="8" w:space="0" w:color="auto"/>
              <w:right w:val="nil"/>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Substanțe prioritare monitorizate (nr.)</w:t>
            </w:r>
          </w:p>
        </w:tc>
        <w:tc>
          <w:tcPr>
            <w:tcW w:w="8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34</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37</w:t>
            </w:r>
          </w:p>
        </w:tc>
        <w:tc>
          <w:tcPr>
            <w:tcW w:w="87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37</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37</w:t>
            </w:r>
          </w:p>
        </w:tc>
        <w:tc>
          <w:tcPr>
            <w:tcW w:w="719"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31</w:t>
            </w:r>
          </w:p>
        </w:tc>
        <w:tc>
          <w:tcPr>
            <w:tcW w:w="749"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37</w:t>
            </w:r>
          </w:p>
        </w:tc>
        <w:tc>
          <w:tcPr>
            <w:tcW w:w="787"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26</w:t>
            </w:r>
          </w:p>
        </w:tc>
      </w:tr>
      <w:tr w:rsidR="00315335" w:rsidRPr="00315335" w:rsidTr="00916B06">
        <w:trPr>
          <w:trHeight w:val="511"/>
          <w:jc w:val="center"/>
        </w:trPr>
        <w:tc>
          <w:tcPr>
            <w:tcW w:w="3900" w:type="dxa"/>
            <w:tcBorders>
              <w:top w:val="single" w:sz="8" w:space="0" w:color="auto"/>
              <w:left w:val="single" w:sz="8" w:space="0" w:color="auto"/>
              <w:bottom w:val="single" w:sz="8" w:space="0" w:color="auto"/>
              <w:right w:val="nil"/>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Secțiuni de monitorizare (nr.)</w:t>
            </w:r>
          </w:p>
        </w:tc>
        <w:tc>
          <w:tcPr>
            <w:tcW w:w="8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110</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109</w:t>
            </w:r>
          </w:p>
        </w:tc>
        <w:tc>
          <w:tcPr>
            <w:tcW w:w="87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98</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92</w:t>
            </w:r>
          </w:p>
        </w:tc>
        <w:tc>
          <w:tcPr>
            <w:tcW w:w="719"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71</w:t>
            </w:r>
          </w:p>
        </w:tc>
        <w:tc>
          <w:tcPr>
            <w:tcW w:w="749"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95</w:t>
            </w:r>
          </w:p>
        </w:tc>
        <w:tc>
          <w:tcPr>
            <w:tcW w:w="787"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hAnsi="Arial" w:cs="Arial"/>
                <w:sz w:val="20"/>
                <w:szCs w:val="20"/>
              </w:rPr>
            </w:pPr>
            <w:r w:rsidRPr="00315335">
              <w:rPr>
                <w:rFonts w:ascii="Arial" w:hAnsi="Arial" w:cs="Arial"/>
                <w:sz w:val="20"/>
                <w:szCs w:val="20"/>
              </w:rPr>
              <w:t>55</w:t>
            </w:r>
          </w:p>
        </w:tc>
      </w:tr>
      <w:tr w:rsidR="00315335" w:rsidRPr="00315335" w:rsidTr="00916B06">
        <w:trPr>
          <w:trHeight w:val="510"/>
          <w:jc w:val="center"/>
        </w:trPr>
        <w:tc>
          <w:tcPr>
            <w:tcW w:w="3900" w:type="dxa"/>
            <w:tcBorders>
              <w:top w:val="nil"/>
              <w:left w:val="single" w:sz="8" w:space="0" w:color="auto"/>
              <w:bottom w:val="single" w:sz="8" w:space="0" w:color="auto"/>
              <w:right w:val="nil"/>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Ponderea secțiunilor cu  concentrație mai mare decât SCM (%)</w:t>
            </w:r>
          </w:p>
        </w:tc>
        <w:tc>
          <w:tcPr>
            <w:tcW w:w="870" w:type="dxa"/>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rPr>
                <w:rFonts w:ascii="Arial" w:hAnsi="Arial" w:cs="Arial"/>
                <w:sz w:val="20"/>
                <w:szCs w:val="20"/>
              </w:rPr>
            </w:pPr>
            <w:r w:rsidRPr="00315335">
              <w:rPr>
                <w:rFonts w:ascii="Arial" w:hAnsi="Arial" w:cs="Arial"/>
                <w:sz w:val="20"/>
                <w:szCs w:val="20"/>
              </w:rPr>
              <w:t xml:space="preserve"> 13,64</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rPr>
                <w:rFonts w:ascii="Arial" w:hAnsi="Arial" w:cs="Arial"/>
                <w:sz w:val="20"/>
                <w:szCs w:val="20"/>
              </w:rPr>
            </w:pPr>
            <w:r w:rsidRPr="00315335">
              <w:rPr>
                <w:rFonts w:ascii="Arial" w:hAnsi="Arial" w:cs="Arial"/>
                <w:sz w:val="20"/>
                <w:szCs w:val="20"/>
              </w:rPr>
              <w:t xml:space="preserve">  24,77</w:t>
            </w:r>
          </w:p>
        </w:tc>
        <w:tc>
          <w:tcPr>
            <w:tcW w:w="87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rPr>
                <w:rFonts w:ascii="Arial" w:hAnsi="Arial" w:cs="Arial"/>
                <w:sz w:val="20"/>
                <w:szCs w:val="20"/>
              </w:rPr>
            </w:pPr>
            <w:r w:rsidRPr="00315335">
              <w:rPr>
                <w:rFonts w:ascii="Arial" w:hAnsi="Arial" w:cs="Arial"/>
                <w:sz w:val="20"/>
                <w:szCs w:val="20"/>
              </w:rPr>
              <w:t xml:space="preserve"> 53,06</w:t>
            </w:r>
          </w:p>
        </w:tc>
        <w:tc>
          <w:tcPr>
            <w:tcW w:w="1014"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rPr>
                <w:rFonts w:ascii="Arial" w:hAnsi="Arial" w:cs="Arial"/>
                <w:sz w:val="20"/>
                <w:szCs w:val="20"/>
              </w:rPr>
            </w:pPr>
            <w:r w:rsidRPr="00315335">
              <w:rPr>
                <w:rFonts w:ascii="Arial" w:hAnsi="Arial" w:cs="Arial"/>
                <w:sz w:val="20"/>
                <w:szCs w:val="20"/>
              </w:rPr>
              <w:t xml:space="preserve">  11,96</w:t>
            </w:r>
          </w:p>
        </w:tc>
        <w:tc>
          <w:tcPr>
            <w:tcW w:w="719"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rPr>
                <w:rFonts w:ascii="Arial" w:hAnsi="Arial" w:cs="Arial"/>
                <w:sz w:val="20"/>
                <w:szCs w:val="20"/>
              </w:rPr>
            </w:pPr>
            <w:r w:rsidRPr="00315335">
              <w:rPr>
                <w:rFonts w:ascii="Arial" w:hAnsi="Arial" w:cs="Arial"/>
                <w:sz w:val="20"/>
                <w:szCs w:val="20"/>
              </w:rPr>
              <w:t>2,81</w:t>
            </w:r>
          </w:p>
        </w:tc>
        <w:tc>
          <w:tcPr>
            <w:tcW w:w="749"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rPr>
                <w:rFonts w:ascii="Arial" w:hAnsi="Arial" w:cs="Arial"/>
                <w:sz w:val="20"/>
                <w:szCs w:val="20"/>
              </w:rPr>
            </w:pPr>
            <w:r w:rsidRPr="00315335">
              <w:rPr>
                <w:rFonts w:ascii="Arial" w:hAnsi="Arial" w:cs="Arial"/>
                <w:sz w:val="20"/>
                <w:szCs w:val="20"/>
              </w:rPr>
              <w:t xml:space="preserve"> 3,15</w:t>
            </w:r>
          </w:p>
        </w:tc>
        <w:tc>
          <w:tcPr>
            <w:tcW w:w="787"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rPr>
                <w:rFonts w:ascii="Arial" w:hAnsi="Arial" w:cs="Arial"/>
                <w:sz w:val="20"/>
                <w:szCs w:val="20"/>
              </w:rPr>
            </w:pPr>
            <w:r w:rsidRPr="00315335">
              <w:rPr>
                <w:rFonts w:ascii="Arial" w:hAnsi="Arial" w:cs="Arial"/>
                <w:sz w:val="20"/>
                <w:szCs w:val="20"/>
              </w:rPr>
              <w:t>1,82</w:t>
            </w:r>
          </w:p>
        </w:tc>
      </w:tr>
    </w:tbl>
    <w:p w:rsidR="00643CB5" w:rsidRPr="00315335" w:rsidRDefault="00643CB5" w:rsidP="00643CB5">
      <w:pPr>
        <w:spacing w:after="0" w:line="240" w:lineRule="auto"/>
        <w:jc w:val="both"/>
        <w:rPr>
          <w:rFonts w:ascii="Arial" w:hAnsi="Arial" w:cs="Arial"/>
          <w:b/>
          <w:i/>
          <w:sz w:val="20"/>
          <w:szCs w:val="20"/>
        </w:rPr>
      </w:pPr>
    </w:p>
    <w:p w:rsidR="00643CB5" w:rsidRPr="00315335" w:rsidRDefault="00643CB5" w:rsidP="00643CB5">
      <w:pPr>
        <w:pStyle w:val="Default"/>
        <w:jc w:val="both"/>
        <w:rPr>
          <w:rFonts w:ascii="Arial" w:hAnsi="Arial" w:cs="Arial"/>
          <w:b/>
          <w:bCs/>
          <w:color w:val="auto"/>
        </w:rPr>
      </w:pPr>
    </w:p>
    <w:p w:rsidR="00643CB5" w:rsidRPr="00315335" w:rsidRDefault="00643CB5" w:rsidP="00643CB5">
      <w:pPr>
        <w:pStyle w:val="Default"/>
        <w:jc w:val="both"/>
        <w:rPr>
          <w:rFonts w:ascii="Arial" w:hAnsi="Arial" w:cs="Arial"/>
          <w:b/>
          <w:bCs/>
          <w:color w:val="auto"/>
        </w:rPr>
      </w:pPr>
      <w:r w:rsidRPr="00315335">
        <w:rPr>
          <w:rFonts w:ascii="Arial" w:hAnsi="Arial" w:cs="Arial"/>
          <w:b/>
          <w:bCs/>
          <w:color w:val="auto"/>
        </w:rPr>
        <w:t xml:space="preserve">II.2.1.3. Calitatea apelor subterane </w:t>
      </w:r>
      <w:r w:rsidRPr="00315335">
        <w:rPr>
          <w:rFonts w:ascii="Arial" w:hAnsi="Arial" w:cs="Arial"/>
          <w:b/>
          <w:bCs/>
          <w:i/>
          <w:iCs/>
          <w:color w:val="auto"/>
        </w:rPr>
        <w:t>(</w:t>
      </w:r>
      <w:r w:rsidRPr="00315335">
        <w:rPr>
          <w:rFonts w:ascii="Arial" w:hAnsi="Arial" w:cs="Arial"/>
          <w:b/>
          <w:bCs/>
          <w:iCs/>
          <w:color w:val="auto"/>
          <w:sz w:val="20"/>
          <w:szCs w:val="20"/>
        </w:rPr>
        <w:t>date neactualizate la nivelul anului 2018, conf. adresei ANAR nr. 8108/ssc/26.06.2019)</w:t>
      </w:r>
    </w:p>
    <w:p w:rsidR="00643CB5" w:rsidRPr="00315335" w:rsidRDefault="00643CB5" w:rsidP="00643CB5">
      <w:pPr>
        <w:pStyle w:val="Default"/>
        <w:jc w:val="both"/>
        <w:rPr>
          <w:rFonts w:ascii="Arial" w:hAnsi="Arial" w:cs="Arial"/>
          <w:b/>
          <w:color w:val="auto"/>
        </w:rPr>
      </w:pPr>
    </w:p>
    <w:p w:rsidR="00643CB5" w:rsidRPr="00315335" w:rsidRDefault="00643CB5" w:rsidP="00643CB5">
      <w:pPr>
        <w:spacing w:after="160" w:line="240" w:lineRule="auto"/>
        <w:jc w:val="center"/>
        <w:rPr>
          <w:rFonts w:ascii="Arial" w:hAnsi="Arial" w:cs="Arial"/>
          <w:b/>
          <w:i/>
          <w:sz w:val="24"/>
          <w:szCs w:val="24"/>
          <w:lang w:val="en-US"/>
        </w:rPr>
      </w:pPr>
      <w:r w:rsidRPr="00315335">
        <w:rPr>
          <w:rFonts w:ascii="Arial" w:hAnsi="Arial" w:cs="Arial"/>
          <w:b/>
          <w:sz w:val="24"/>
          <w:szCs w:val="24"/>
          <w:highlight w:val="green"/>
          <w:lang w:val="en-US"/>
        </w:rPr>
        <w:t>Indicator CSI 20. Nutrienţi în apă RO 20</w:t>
      </w:r>
    </w:p>
    <w:p w:rsidR="00643CB5" w:rsidRPr="00315335" w:rsidRDefault="00643CB5" w:rsidP="00643CB5">
      <w:pPr>
        <w:spacing w:after="0" w:line="240" w:lineRule="auto"/>
        <w:jc w:val="both"/>
        <w:rPr>
          <w:rFonts w:ascii="Arial" w:hAnsi="Arial" w:cs="Arial"/>
          <w:b/>
          <w:i/>
          <w:sz w:val="24"/>
          <w:szCs w:val="24"/>
          <w:lang w:val="en-US"/>
        </w:rPr>
      </w:pPr>
      <w:r w:rsidRPr="00315335">
        <w:rPr>
          <w:rFonts w:ascii="Arial" w:hAnsi="Arial" w:cs="Arial"/>
          <w:b/>
          <w:i/>
          <w:sz w:val="24"/>
          <w:szCs w:val="24"/>
          <w:lang w:val="en-US"/>
        </w:rPr>
        <w:t>Evoluția numărului punctelor de monitorizare cu depășiri la conținutul de nitrați în perioada 2011 – 2017 (%)</w:t>
      </w:r>
    </w:p>
    <w:p w:rsidR="00643CB5" w:rsidRPr="00315335" w:rsidRDefault="00643CB5" w:rsidP="00643CB5">
      <w:pPr>
        <w:spacing w:line="240" w:lineRule="auto"/>
        <w:jc w:val="center"/>
        <w:rPr>
          <w:rFonts w:ascii="Arial" w:hAnsi="Arial" w:cs="Arial"/>
          <w:b/>
          <w:i/>
          <w:sz w:val="24"/>
          <w:szCs w:val="24"/>
          <w:lang w:val="en-US"/>
        </w:rPr>
      </w:pPr>
      <w:r w:rsidRPr="00315335">
        <w:rPr>
          <w:rFonts w:ascii="Arial" w:hAnsi="Arial" w:cs="Arial"/>
          <w:noProof/>
        </w:rPr>
        <w:drawing>
          <wp:inline distT="0" distB="0" distL="0" distR="0" wp14:anchorId="74C12DA1" wp14:editId="3200665C">
            <wp:extent cx="5572125" cy="2900363"/>
            <wp:effectExtent l="19050" t="0" r="9525" b="0"/>
            <wp:docPr id="232" name="Diagramă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43CB5" w:rsidRPr="00315335" w:rsidRDefault="00643CB5" w:rsidP="00643CB5">
      <w:pPr>
        <w:spacing w:after="0" w:line="240" w:lineRule="auto"/>
        <w:rPr>
          <w:rFonts w:ascii="Arial" w:hAnsi="Arial" w:cs="Arial"/>
          <w:b/>
          <w:i/>
          <w:sz w:val="20"/>
          <w:szCs w:val="16"/>
        </w:rPr>
      </w:pPr>
      <w:r w:rsidRPr="00315335">
        <w:rPr>
          <w:rFonts w:ascii="Arial" w:hAnsi="Arial" w:cs="Arial"/>
          <w:b/>
          <w:i/>
          <w:sz w:val="20"/>
          <w:szCs w:val="16"/>
        </w:rPr>
        <w:t>Figura II.2.1.3.1 Evoluția punctelor de monitorizare cu depășiri ale concentrațiilor de nitrați  în  perioada 2011 - 2017 (%)</w:t>
      </w:r>
    </w:p>
    <w:p w:rsidR="00643CB5" w:rsidRPr="00315335" w:rsidRDefault="00643CB5" w:rsidP="00643CB5">
      <w:pPr>
        <w:spacing w:line="240" w:lineRule="auto"/>
        <w:jc w:val="center"/>
        <w:rPr>
          <w:rFonts w:ascii="Arial" w:hAnsi="Arial" w:cs="Arial"/>
          <w:b/>
          <w:sz w:val="24"/>
          <w:szCs w:val="24"/>
          <w:highlight w:val="green"/>
        </w:rPr>
      </w:pPr>
    </w:p>
    <w:p w:rsidR="00643CB5" w:rsidRPr="00315335" w:rsidRDefault="00643CB5" w:rsidP="00643CB5">
      <w:pPr>
        <w:spacing w:line="240" w:lineRule="auto"/>
        <w:jc w:val="center"/>
        <w:rPr>
          <w:rFonts w:ascii="Arial" w:hAnsi="Arial" w:cs="Arial"/>
          <w:b/>
          <w:sz w:val="24"/>
          <w:szCs w:val="24"/>
        </w:rPr>
      </w:pPr>
      <w:r w:rsidRPr="00315335">
        <w:rPr>
          <w:rFonts w:ascii="Arial" w:hAnsi="Arial" w:cs="Arial"/>
          <w:b/>
          <w:sz w:val="24"/>
          <w:szCs w:val="24"/>
          <w:highlight w:val="green"/>
        </w:rPr>
        <w:t>Indicator VHS 01. Pesticidele din apele subterane RO 64</w:t>
      </w:r>
    </w:p>
    <w:p w:rsidR="00643CB5" w:rsidRPr="00315335" w:rsidRDefault="00643CB5" w:rsidP="00643CB5">
      <w:pPr>
        <w:spacing w:line="240" w:lineRule="auto"/>
        <w:jc w:val="both"/>
        <w:rPr>
          <w:rFonts w:ascii="Arial" w:hAnsi="Arial" w:cs="Arial"/>
          <w:b/>
          <w:i/>
          <w:sz w:val="24"/>
          <w:szCs w:val="24"/>
        </w:rPr>
      </w:pPr>
      <w:r w:rsidRPr="00315335">
        <w:rPr>
          <w:rFonts w:ascii="Arial" w:hAnsi="Arial" w:cs="Arial"/>
          <w:b/>
          <w:i/>
          <w:sz w:val="24"/>
          <w:szCs w:val="24"/>
        </w:rPr>
        <w:lastRenderedPageBreak/>
        <w:t xml:space="preserve">Distribuția numărului punctelor de monitorizare a pesticidelor pe spații/bazine hidrografice în anul 2017 </w:t>
      </w:r>
    </w:p>
    <w:p w:rsidR="00643CB5" w:rsidRPr="00315335" w:rsidRDefault="00643CB5" w:rsidP="00643CB5">
      <w:pPr>
        <w:spacing w:after="0" w:line="240" w:lineRule="auto"/>
        <w:rPr>
          <w:rFonts w:ascii="Arial" w:hAnsi="Arial" w:cs="Arial"/>
          <w:b/>
          <w:i/>
          <w:sz w:val="20"/>
          <w:szCs w:val="16"/>
        </w:rPr>
      </w:pPr>
      <w:r w:rsidRPr="00315335">
        <w:rPr>
          <w:rFonts w:ascii="Arial" w:hAnsi="Arial" w:cs="Arial"/>
          <w:b/>
          <w:i/>
          <w:sz w:val="20"/>
          <w:szCs w:val="16"/>
        </w:rPr>
        <w:t>Tabel II.2.1.3.1 Pesticide monitorizate în anul 2017 (nr.)</w:t>
      </w:r>
    </w:p>
    <w:tbl>
      <w:tblPr>
        <w:tblW w:w="9730" w:type="dxa"/>
        <w:jc w:val="center"/>
        <w:shd w:val="clear" w:color="auto" w:fill="DAEEF3" w:themeFill="accent5" w:themeFillTint="33"/>
        <w:tblLook w:val="04A0" w:firstRow="1" w:lastRow="0" w:firstColumn="1" w:lastColumn="0" w:noHBand="0" w:noVBand="1"/>
      </w:tblPr>
      <w:tblGrid>
        <w:gridCol w:w="2070"/>
        <w:gridCol w:w="1800"/>
        <w:gridCol w:w="2180"/>
        <w:gridCol w:w="2100"/>
        <w:gridCol w:w="1580"/>
      </w:tblGrid>
      <w:tr w:rsidR="00315335" w:rsidRPr="00315335" w:rsidTr="00916B06">
        <w:trPr>
          <w:trHeight w:val="315"/>
          <w:jc w:val="center"/>
        </w:trPr>
        <w:tc>
          <w:tcPr>
            <w:tcW w:w="9730" w:type="dxa"/>
            <w:gridSpan w:val="5"/>
            <w:tcBorders>
              <w:top w:val="single" w:sz="8" w:space="0" w:color="auto"/>
              <w:left w:val="single" w:sz="8" w:space="0" w:color="auto"/>
              <w:bottom w:val="single" w:sz="8" w:space="0" w:color="auto"/>
              <w:right w:val="single" w:sz="8" w:space="0" w:color="000000"/>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bCs/>
              </w:rPr>
            </w:pPr>
            <w:r w:rsidRPr="00315335">
              <w:rPr>
                <w:rFonts w:ascii="Arial" w:eastAsia="Times New Roman" w:hAnsi="Arial" w:cs="Arial"/>
                <w:b/>
                <w:bCs/>
              </w:rPr>
              <w:t>2017</w:t>
            </w:r>
          </w:p>
        </w:tc>
      </w:tr>
      <w:tr w:rsidR="00315335" w:rsidRPr="00315335" w:rsidTr="00916B06">
        <w:trPr>
          <w:trHeight w:val="1069"/>
          <w:jc w:val="center"/>
        </w:trPr>
        <w:tc>
          <w:tcPr>
            <w:tcW w:w="2070" w:type="dxa"/>
            <w:tcBorders>
              <w:top w:val="nil"/>
              <w:left w:val="single" w:sz="8" w:space="0" w:color="auto"/>
              <w:bottom w:val="single" w:sz="8" w:space="0" w:color="auto"/>
              <w:right w:val="nil"/>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Spaţiu / Bazin hidrografic</w:t>
            </w:r>
          </w:p>
        </w:tc>
        <w:tc>
          <w:tcPr>
            <w:tcW w:w="1800"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Corpuri de apă monitorizate (nr.)</w:t>
            </w:r>
          </w:p>
        </w:tc>
        <w:tc>
          <w:tcPr>
            <w:tcW w:w="2180" w:type="dxa"/>
            <w:tcBorders>
              <w:top w:val="nil"/>
              <w:left w:val="nil"/>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Puncte de monitorizare</w:t>
            </w:r>
          </w:p>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(nr. total)</w:t>
            </w:r>
          </w:p>
        </w:tc>
        <w:tc>
          <w:tcPr>
            <w:tcW w:w="2100" w:type="dxa"/>
            <w:tcBorders>
              <w:top w:val="nil"/>
              <w:left w:val="nil"/>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Puncte în care sunt monitorizate   pesticidele (nr.)</w:t>
            </w:r>
          </w:p>
        </w:tc>
        <w:tc>
          <w:tcPr>
            <w:tcW w:w="1580" w:type="dxa"/>
            <w:tcBorders>
              <w:top w:val="nil"/>
              <w:left w:val="nil"/>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Pesticide monitorizate (nr.)</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Someș - Tisa</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15</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131</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Crișuri</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9</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130</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Mureș</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23</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122</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6</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16</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Banat</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20</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215</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Jiu</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8</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93</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76</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Olt</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14</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143</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45</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15</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Argeș - Vedea</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11</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168</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162</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21</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Buzău - Ialomița</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18</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192</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191</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21</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Siret</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6</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111</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12</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18</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Prut- Bârlad</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7</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113</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49</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12</w:t>
            </w:r>
          </w:p>
        </w:tc>
      </w:tr>
      <w:tr w:rsidR="00315335" w:rsidRPr="00315335" w:rsidTr="00916B06">
        <w:trPr>
          <w:trHeight w:val="285"/>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Dobrogea - Litoral</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10</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118</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7</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11</w:t>
            </w:r>
          </w:p>
        </w:tc>
      </w:tr>
      <w:tr w:rsidR="00315335" w:rsidRPr="00315335" w:rsidTr="00916B06">
        <w:trPr>
          <w:trHeight w:val="300"/>
          <w:jc w:val="center"/>
        </w:trPr>
        <w:tc>
          <w:tcPr>
            <w:tcW w:w="20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Total</w:t>
            </w:r>
          </w:p>
        </w:tc>
        <w:tc>
          <w:tcPr>
            <w:tcW w:w="18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141</w:t>
            </w:r>
          </w:p>
        </w:tc>
        <w:tc>
          <w:tcPr>
            <w:tcW w:w="21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1536</w:t>
            </w:r>
          </w:p>
        </w:tc>
        <w:tc>
          <w:tcPr>
            <w:tcW w:w="210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550</w:t>
            </w:r>
          </w:p>
        </w:tc>
        <w:tc>
          <w:tcPr>
            <w:tcW w:w="1580" w:type="dxa"/>
            <w:tcBorders>
              <w:top w:val="nil"/>
              <w:left w:val="nil"/>
              <w:bottom w:val="single" w:sz="4" w:space="0" w:color="auto"/>
              <w:right w:val="single" w:sz="4" w:space="0" w:color="auto"/>
            </w:tcBorders>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21</w:t>
            </w:r>
          </w:p>
        </w:tc>
      </w:tr>
    </w:tbl>
    <w:p w:rsidR="00643CB5" w:rsidRPr="00315335" w:rsidRDefault="00643CB5" w:rsidP="00643CB5">
      <w:pPr>
        <w:spacing w:after="0" w:line="240" w:lineRule="auto"/>
        <w:rPr>
          <w:rFonts w:ascii="Arial" w:hAnsi="Arial" w:cs="Arial"/>
          <w:b/>
          <w:sz w:val="24"/>
          <w:szCs w:val="20"/>
        </w:rPr>
      </w:pPr>
    </w:p>
    <w:p w:rsidR="00643CB5" w:rsidRPr="00315335" w:rsidRDefault="00643CB5" w:rsidP="00643CB5">
      <w:pPr>
        <w:spacing w:after="0" w:line="240" w:lineRule="auto"/>
        <w:rPr>
          <w:rFonts w:ascii="Arial" w:hAnsi="Arial" w:cs="Arial"/>
          <w:b/>
          <w:i/>
          <w:sz w:val="20"/>
          <w:szCs w:val="16"/>
        </w:rPr>
      </w:pPr>
    </w:p>
    <w:p w:rsidR="00643CB5" w:rsidRPr="00315335" w:rsidRDefault="00643CB5" w:rsidP="00643CB5">
      <w:pPr>
        <w:spacing w:line="240" w:lineRule="auto"/>
        <w:rPr>
          <w:rFonts w:ascii="Arial" w:eastAsia="Times New Roman" w:hAnsi="Arial" w:cs="Arial"/>
          <w:b/>
          <w:i/>
          <w:sz w:val="24"/>
          <w:szCs w:val="24"/>
        </w:rPr>
      </w:pPr>
      <w:r w:rsidRPr="00315335">
        <w:rPr>
          <w:rFonts w:ascii="Arial" w:hAnsi="Arial" w:cs="Arial"/>
          <w:b/>
          <w:i/>
          <w:sz w:val="24"/>
          <w:szCs w:val="24"/>
        </w:rPr>
        <w:t>Ponderea punctelor de monitorizare cu concentrație mai mare de 0,1</w:t>
      </w:r>
      <w:r w:rsidRPr="00315335">
        <w:rPr>
          <w:rFonts w:ascii="Arial" w:eastAsia="Times New Roman" w:hAnsi="Arial" w:cs="Arial"/>
          <w:b/>
          <w:i/>
          <w:sz w:val="24"/>
          <w:szCs w:val="24"/>
        </w:rPr>
        <w:t>µg/L din numărul de foraje în care se monitorizează pesticidele pentru anul 2017</w:t>
      </w:r>
    </w:p>
    <w:p w:rsidR="00643CB5" w:rsidRPr="00315335" w:rsidRDefault="00643CB5" w:rsidP="00643CB5">
      <w:pPr>
        <w:spacing w:after="0" w:line="240" w:lineRule="auto"/>
        <w:rPr>
          <w:rFonts w:ascii="Arial" w:eastAsia="Times New Roman" w:hAnsi="Arial" w:cs="Arial"/>
          <w:b/>
          <w:i/>
          <w:sz w:val="20"/>
          <w:szCs w:val="16"/>
        </w:rPr>
      </w:pPr>
      <w:r w:rsidRPr="00315335">
        <w:rPr>
          <w:rFonts w:ascii="Arial" w:hAnsi="Arial" w:cs="Arial"/>
          <w:b/>
          <w:i/>
          <w:sz w:val="20"/>
          <w:szCs w:val="16"/>
        </w:rPr>
        <w:t>Tabel II.2.1.3.2 Ponderea punctelor de monitorizare cu concentrație mai mare de 0,1</w:t>
      </w:r>
      <w:r w:rsidRPr="00315335">
        <w:rPr>
          <w:rFonts w:ascii="Arial" w:eastAsia="Times New Roman" w:hAnsi="Arial" w:cs="Arial"/>
          <w:b/>
          <w:i/>
          <w:sz w:val="20"/>
          <w:szCs w:val="16"/>
        </w:rPr>
        <w:t>µg/L din numărul de foraje în care se monitorizează pesticidele pentru anul 2017 (%)</w:t>
      </w: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1966"/>
        <w:gridCol w:w="1550"/>
        <w:gridCol w:w="2396"/>
        <w:gridCol w:w="1973"/>
      </w:tblGrid>
      <w:tr w:rsidR="00315335" w:rsidRPr="00315335" w:rsidTr="00916B06">
        <w:trPr>
          <w:trHeight w:val="1313"/>
          <w:jc w:val="center"/>
        </w:trPr>
        <w:tc>
          <w:tcPr>
            <w:tcW w:w="1966" w:type="dxa"/>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Spaţiu / Bazin hidrografic</w:t>
            </w:r>
          </w:p>
        </w:tc>
        <w:tc>
          <w:tcPr>
            <w:tcW w:w="1550" w:type="dxa"/>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Puncte în care sunt monitorizate   pesticidele (nr.)</w:t>
            </w:r>
          </w:p>
        </w:tc>
        <w:tc>
          <w:tcPr>
            <w:tcW w:w="2396" w:type="dxa"/>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 xml:space="preserve">Puncte de monitorizare cu conc. </w:t>
            </w:r>
            <w:r w:rsidRPr="00315335">
              <w:rPr>
                <w:rFonts w:ascii="Arial" w:eastAsia="Times New Roman" w:hAnsi="Arial" w:cs="Arial"/>
                <w:b/>
                <w:sz w:val="20"/>
                <w:szCs w:val="20"/>
                <w:lang w:val="en-US"/>
              </w:rPr>
              <w:t>&gt;</w:t>
            </w:r>
            <w:r w:rsidRPr="00315335">
              <w:rPr>
                <w:rFonts w:ascii="Arial" w:eastAsia="Times New Roman" w:hAnsi="Arial" w:cs="Arial"/>
                <w:b/>
                <w:sz w:val="20"/>
                <w:szCs w:val="20"/>
              </w:rPr>
              <w:t xml:space="preserve"> 0,1 µg/L</w:t>
            </w:r>
          </w:p>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(nr.)</w:t>
            </w:r>
          </w:p>
        </w:tc>
        <w:tc>
          <w:tcPr>
            <w:tcW w:w="1973" w:type="dxa"/>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Puncte de monitorizare cu conc. &gt; 0,1 µg/L</w:t>
            </w:r>
          </w:p>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 xml:space="preserve"> (%)</w:t>
            </w:r>
          </w:p>
        </w:tc>
      </w:tr>
      <w:tr w:rsidR="00315335" w:rsidRPr="00315335" w:rsidTr="00916B06">
        <w:trPr>
          <w:trHeight w:val="315"/>
          <w:jc w:val="center"/>
        </w:trPr>
        <w:tc>
          <w:tcPr>
            <w:tcW w:w="1966" w:type="dxa"/>
            <w:shd w:val="clear" w:color="auto" w:fill="DAEEF3" w:themeFill="accent5" w:themeFillTint="33"/>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Someș - Tisa</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100</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Crișuri</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Mureș</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6</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Banat</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Jiu</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76</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Olt</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45</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Argeș - Vedea</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162</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7</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4,32</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Buzău - Ialomița</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191</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1,57</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Siret</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12</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Prut- Bârlad</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49</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315"/>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Dobrogea - Litoral</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7</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1973" w:type="dxa"/>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r>
      <w:tr w:rsidR="00315335" w:rsidRPr="00315335" w:rsidTr="00916B06">
        <w:trPr>
          <w:trHeight w:val="277"/>
          <w:jc w:val="center"/>
        </w:trPr>
        <w:tc>
          <w:tcPr>
            <w:tcW w:w="1966" w:type="dxa"/>
            <w:shd w:val="clear" w:color="auto" w:fill="DAEEF3" w:themeFill="accent5" w:themeFillTint="33"/>
            <w:noWrap/>
            <w:vAlign w:val="bottom"/>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Total</w:t>
            </w:r>
          </w:p>
        </w:tc>
        <w:tc>
          <w:tcPr>
            <w:tcW w:w="1550" w:type="dxa"/>
            <w:shd w:val="clear" w:color="auto" w:fill="DAEEF3" w:themeFill="accent5" w:themeFillTint="33"/>
            <w:vAlign w:val="bottom"/>
          </w:tcPr>
          <w:p w:rsidR="00643CB5" w:rsidRPr="00315335" w:rsidRDefault="00643CB5" w:rsidP="00916B06">
            <w:pPr>
              <w:spacing w:after="0" w:line="240" w:lineRule="auto"/>
              <w:jc w:val="center"/>
              <w:rPr>
                <w:rFonts w:ascii="Arial" w:eastAsia="Times New Roman" w:hAnsi="Arial" w:cs="Arial"/>
                <w:b/>
                <w:bCs/>
                <w:sz w:val="20"/>
                <w:szCs w:val="20"/>
              </w:rPr>
            </w:pPr>
            <w:r w:rsidRPr="00315335">
              <w:rPr>
                <w:rFonts w:ascii="Arial" w:eastAsia="Times New Roman" w:hAnsi="Arial" w:cs="Arial"/>
                <w:b/>
                <w:bCs/>
                <w:sz w:val="20"/>
                <w:szCs w:val="20"/>
              </w:rPr>
              <w:t>550</w:t>
            </w:r>
          </w:p>
        </w:tc>
        <w:tc>
          <w:tcPr>
            <w:tcW w:w="2396"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11</w:t>
            </w:r>
          </w:p>
        </w:tc>
        <w:tc>
          <w:tcPr>
            <w:tcW w:w="1973" w:type="dxa"/>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2,0</w:t>
            </w:r>
          </w:p>
        </w:tc>
      </w:tr>
    </w:tbl>
    <w:p w:rsidR="00643CB5" w:rsidRPr="00315335" w:rsidRDefault="00643CB5" w:rsidP="00643CB5">
      <w:pPr>
        <w:spacing w:after="0" w:line="240" w:lineRule="auto"/>
        <w:jc w:val="center"/>
        <w:rPr>
          <w:rFonts w:ascii="Arial" w:hAnsi="Arial" w:cs="Arial"/>
          <w:b/>
          <w:sz w:val="20"/>
          <w:szCs w:val="20"/>
        </w:rPr>
      </w:pPr>
    </w:p>
    <w:p w:rsidR="00643CB5" w:rsidRPr="00315335" w:rsidRDefault="00643CB5" w:rsidP="00643CB5">
      <w:pPr>
        <w:spacing w:line="240" w:lineRule="auto"/>
        <w:rPr>
          <w:rFonts w:ascii="Arial" w:hAnsi="Arial" w:cs="Arial"/>
          <w:b/>
          <w:i/>
          <w:sz w:val="20"/>
          <w:szCs w:val="20"/>
        </w:rPr>
      </w:pPr>
    </w:p>
    <w:p w:rsidR="00643CB5" w:rsidRPr="00315335" w:rsidRDefault="00643CB5" w:rsidP="00643CB5">
      <w:pPr>
        <w:spacing w:line="240" w:lineRule="auto"/>
        <w:rPr>
          <w:rFonts w:ascii="Arial" w:eastAsia="Times New Roman" w:hAnsi="Arial" w:cs="Arial"/>
          <w:b/>
          <w:i/>
          <w:sz w:val="20"/>
          <w:szCs w:val="20"/>
        </w:rPr>
      </w:pPr>
      <w:r w:rsidRPr="00315335">
        <w:rPr>
          <w:rFonts w:ascii="Arial" w:hAnsi="Arial" w:cs="Arial"/>
          <w:b/>
          <w:i/>
          <w:sz w:val="20"/>
          <w:szCs w:val="20"/>
        </w:rPr>
        <w:t>Evoluția punctelor de monitorizare cu concentrație mai mare de 0,1</w:t>
      </w:r>
      <w:r w:rsidRPr="00315335">
        <w:rPr>
          <w:rFonts w:ascii="Arial" w:eastAsia="Times New Roman" w:hAnsi="Arial" w:cs="Arial"/>
          <w:b/>
          <w:i/>
          <w:sz w:val="20"/>
          <w:szCs w:val="20"/>
        </w:rPr>
        <w:t>µg/L pentru perioada 2011 - 2017 (%)</w:t>
      </w:r>
    </w:p>
    <w:p w:rsidR="00643CB5" w:rsidRPr="00315335" w:rsidRDefault="00643CB5" w:rsidP="00643CB5">
      <w:pPr>
        <w:spacing w:after="0" w:line="240" w:lineRule="auto"/>
        <w:jc w:val="both"/>
        <w:rPr>
          <w:rFonts w:ascii="Arial" w:eastAsia="Times New Roman" w:hAnsi="Arial" w:cs="Arial"/>
          <w:b/>
          <w:i/>
          <w:sz w:val="20"/>
          <w:szCs w:val="16"/>
        </w:rPr>
      </w:pPr>
      <w:r w:rsidRPr="00315335">
        <w:rPr>
          <w:rFonts w:ascii="Arial" w:hAnsi="Arial" w:cs="Arial"/>
          <w:b/>
          <w:i/>
          <w:sz w:val="20"/>
          <w:szCs w:val="20"/>
        </w:rPr>
        <w:t>Tabel II.2.1.3.3 Evoluția punctelor de monitorizare cu concentrație mai mare de 0,1</w:t>
      </w:r>
      <w:r w:rsidRPr="00315335">
        <w:rPr>
          <w:rFonts w:ascii="Arial" w:eastAsia="Times New Roman" w:hAnsi="Arial" w:cs="Arial"/>
          <w:b/>
          <w:i/>
          <w:sz w:val="20"/>
          <w:szCs w:val="20"/>
        </w:rPr>
        <w:t>µg/L pentru</w:t>
      </w:r>
      <w:r w:rsidRPr="00315335">
        <w:rPr>
          <w:rFonts w:ascii="Arial" w:eastAsia="Times New Roman" w:hAnsi="Arial" w:cs="Arial"/>
          <w:b/>
          <w:i/>
          <w:sz w:val="20"/>
          <w:szCs w:val="16"/>
        </w:rPr>
        <w:t>perioada 2011-2017 (%)</w:t>
      </w:r>
    </w:p>
    <w:tbl>
      <w:tblPr>
        <w:tblW w:w="9620" w:type="dxa"/>
        <w:jc w:val="center"/>
        <w:tblLook w:val="04A0" w:firstRow="1" w:lastRow="0" w:firstColumn="1" w:lastColumn="0" w:noHBand="0" w:noVBand="1"/>
      </w:tblPr>
      <w:tblGrid>
        <w:gridCol w:w="3533"/>
        <w:gridCol w:w="957"/>
        <w:gridCol w:w="810"/>
        <w:gridCol w:w="900"/>
        <w:gridCol w:w="810"/>
        <w:gridCol w:w="900"/>
        <w:gridCol w:w="810"/>
        <w:gridCol w:w="900"/>
      </w:tblGrid>
      <w:tr w:rsidR="00315335" w:rsidRPr="00315335" w:rsidTr="00916B06">
        <w:trPr>
          <w:trHeight w:val="619"/>
          <w:jc w:val="center"/>
        </w:trPr>
        <w:tc>
          <w:tcPr>
            <w:tcW w:w="3533"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Anul</w:t>
            </w:r>
          </w:p>
        </w:tc>
        <w:tc>
          <w:tcPr>
            <w:tcW w:w="957"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2011</w:t>
            </w:r>
          </w:p>
        </w:tc>
        <w:tc>
          <w:tcPr>
            <w:tcW w:w="81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2012</w:t>
            </w:r>
          </w:p>
        </w:tc>
        <w:tc>
          <w:tcPr>
            <w:tcW w:w="90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2013</w:t>
            </w:r>
          </w:p>
        </w:tc>
        <w:tc>
          <w:tcPr>
            <w:tcW w:w="810"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2014</w:t>
            </w:r>
          </w:p>
        </w:tc>
        <w:tc>
          <w:tcPr>
            <w:tcW w:w="90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2015</w:t>
            </w:r>
          </w:p>
        </w:tc>
        <w:tc>
          <w:tcPr>
            <w:tcW w:w="81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2016</w:t>
            </w:r>
          </w:p>
        </w:tc>
        <w:tc>
          <w:tcPr>
            <w:tcW w:w="900" w:type="dxa"/>
            <w:tcBorders>
              <w:top w:val="single" w:sz="8" w:space="0" w:color="auto"/>
              <w:left w:val="nil"/>
              <w:bottom w:val="single" w:sz="8" w:space="0" w:color="auto"/>
              <w:right w:val="single" w:sz="8" w:space="0" w:color="auto"/>
            </w:tcBorders>
            <w:shd w:val="clear" w:color="auto" w:fill="DBE5F1" w:themeFill="accent1" w:themeFillTint="33"/>
            <w:vAlign w:val="center"/>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2017</w:t>
            </w:r>
          </w:p>
        </w:tc>
      </w:tr>
      <w:tr w:rsidR="00315335" w:rsidRPr="00315335" w:rsidTr="00916B06">
        <w:trPr>
          <w:trHeight w:val="437"/>
          <w:jc w:val="center"/>
        </w:trPr>
        <w:tc>
          <w:tcPr>
            <w:tcW w:w="3533"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Număr pesticide monitorizate</w:t>
            </w:r>
          </w:p>
        </w:tc>
        <w:tc>
          <w:tcPr>
            <w:tcW w:w="957"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20</w:t>
            </w:r>
          </w:p>
        </w:tc>
        <w:tc>
          <w:tcPr>
            <w:tcW w:w="8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20</w:t>
            </w:r>
          </w:p>
        </w:tc>
        <w:tc>
          <w:tcPr>
            <w:tcW w:w="90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19</w:t>
            </w:r>
          </w:p>
        </w:tc>
        <w:tc>
          <w:tcPr>
            <w:tcW w:w="8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19</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19</w:t>
            </w:r>
          </w:p>
        </w:tc>
        <w:tc>
          <w:tcPr>
            <w:tcW w:w="81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20</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21</w:t>
            </w:r>
          </w:p>
        </w:tc>
      </w:tr>
      <w:tr w:rsidR="00315335" w:rsidRPr="00315335" w:rsidTr="00916B06">
        <w:trPr>
          <w:trHeight w:val="402"/>
          <w:jc w:val="center"/>
        </w:trPr>
        <w:tc>
          <w:tcPr>
            <w:tcW w:w="3533"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lastRenderedPageBreak/>
              <w:t>Număr total de puncte monitorizate</w:t>
            </w:r>
          </w:p>
        </w:tc>
        <w:tc>
          <w:tcPr>
            <w:tcW w:w="957"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1314</w:t>
            </w:r>
          </w:p>
        </w:tc>
        <w:tc>
          <w:tcPr>
            <w:tcW w:w="8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1300</w:t>
            </w:r>
          </w:p>
        </w:tc>
        <w:tc>
          <w:tcPr>
            <w:tcW w:w="90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1271</w:t>
            </w:r>
          </w:p>
        </w:tc>
        <w:tc>
          <w:tcPr>
            <w:tcW w:w="810" w:type="dxa"/>
            <w:tcBorders>
              <w:top w:val="nil"/>
              <w:left w:val="nil"/>
              <w:bottom w:val="single" w:sz="8" w:space="0" w:color="auto"/>
              <w:right w:val="single" w:sz="8" w:space="0" w:color="auto"/>
            </w:tcBorders>
            <w:shd w:val="clear" w:color="auto" w:fill="DAEEF3" w:themeFill="accent5" w:themeFillTint="33"/>
            <w:noWrap/>
            <w:vAlign w:val="center"/>
            <w:hideMark/>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1318</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1310</w:t>
            </w:r>
          </w:p>
        </w:tc>
        <w:tc>
          <w:tcPr>
            <w:tcW w:w="81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1523</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1536</w:t>
            </w:r>
          </w:p>
        </w:tc>
      </w:tr>
      <w:tr w:rsidR="00315335" w:rsidRPr="00315335" w:rsidTr="00916B06">
        <w:trPr>
          <w:trHeight w:val="481"/>
          <w:jc w:val="center"/>
        </w:trPr>
        <w:tc>
          <w:tcPr>
            <w:tcW w:w="3533" w:type="dxa"/>
            <w:tcBorders>
              <w:top w:val="nil"/>
              <w:left w:val="single" w:sz="8" w:space="0" w:color="auto"/>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Număr puncte în care se  monitorizează pesticidele</w:t>
            </w:r>
          </w:p>
        </w:tc>
        <w:tc>
          <w:tcPr>
            <w:tcW w:w="957" w:type="dxa"/>
            <w:tcBorders>
              <w:top w:val="nil"/>
              <w:left w:val="nil"/>
              <w:bottom w:val="single" w:sz="8" w:space="0" w:color="auto"/>
              <w:right w:val="single" w:sz="8" w:space="0" w:color="auto"/>
            </w:tcBorders>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278</w:t>
            </w:r>
          </w:p>
        </w:tc>
        <w:tc>
          <w:tcPr>
            <w:tcW w:w="810" w:type="dxa"/>
            <w:tcBorders>
              <w:top w:val="nil"/>
              <w:left w:val="nil"/>
              <w:bottom w:val="single" w:sz="8" w:space="0" w:color="auto"/>
              <w:right w:val="single" w:sz="8" w:space="0" w:color="auto"/>
            </w:tcBorders>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368</w:t>
            </w:r>
          </w:p>
        </w:tc>
        <w:tc>
          <w:tcPr>
            <w:tcW w:w="900" w:type="dxa"/>
            <w:tcBorders>
              <w:top w:val="nil"/>
              <w:left w:val="nil"/>
              <w:bottom w:val="single" w:sz="8" w:space="0" w:color="auto"/>
              <w:right w:val="single" w:sz="8" w:space="0" w:color="auto"/>
            </w:tcBorders>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333</w:t>
            </w:r>
          </w:p>
        </w:tc>
        <w:tc>
          <w:tcPr>
            <w:tcW w:w="810" w:type="dxa"/>
            <w:tcBorders>
              <w:top w:val="nil"/>
              <w:left w:val="nil"/>
              <w:bottom w:val="single" w:sz="8" w:space="0" w:color="auto"/>
              <w:right w:val="single" w:sz="8" w:space="0" w:color="auto"/>
            </w:tcBorders>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284</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365</w:t>
            </w:r>
          </w:p>
        </w:tc>
        <w:tc>
          <w:tcPr>
            <w:tcW w:w="81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574</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550</w:t>
            </w:r>
          </w:p>
        </w:tc>
      </w:tr>
      <w:tr w:rsidR="00315335" w:rsidRPr="00315335" w:rsidTr="00916B06">
        <w:trPr>
          <w:trHeight w:val="867"/>
          <w:jc w:val="center"/>
        </w:trPr>
        <w:tc>
          <w:tcPr>
            <w:tcW w:w="3533" w:type="dxa"/>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643CB5" w:rsidRPr="00315335" w:rsidRDefault="00643CB5" w:rsidP="00916B06">
            <w:pPr>
              <w:spacing w:after="0" w:line="240" w:lineRule="auto"/>
              <w:jc w:val="center"/>
              <w:rPr>
                <w:rFonts w:ascii="Arial" w:eastAsia="Times New Roman" w:hAnsi="Arial" w:cs="Arial"/>
                <w:b/>
                <w:sz w:val="20"/>
                <w:szCs w:val="20"/>
              </w:rPr>
            </w:pPr>
            <w:r w:rsidRPr="00315335">
              <w:rPr>
                <w:rFonts w:ascii="Arial" w:eastAsia="Times New Roman" w:hAnsi="Arial" w:cs="Arial"/>
                <w:b/>
                <w:sz w:val="20"/>
                <w:szCs w:val="20"/>
              </w:rPr>
              <w:t>Ponderea punctelor de monitorizare  cu concentrație mai mare de 0.1µg/L din nr. punctelor în care se monitorizează pesticidele (%)</w:t>
            </w:r>
          </w:p>
        </w:tc>
        <w:tc>
          <w:tcPr>
            <w:tcW w:w="957" w:type="dxa"/>
            <w:tcBorders>
              <w:top w:val="nil"/>
              <w:left w:val="nil"/>
              <w:bottom w:val="single" w:sz="8" w:space="0" w:color="auto"/>
              <w:right w:val="single" w:sz="8" w:space="0" w:color="auto"/>
            </w:tcBorders>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6,12</w:t>
            </w:r>
          </w:p>
        </w:tc>
        <w:tc>
          <w:tcPr>
            <w:tcW w:w="810" w:type="dxa"/>
            <w:tcBorders>
              <w:top w:val="nil"/>
              <w:left w:val="nil"/>
              <w:bottom w:val="single" w:sz="8" w:space="0" w:color="auto"/>
              <w:right w:val="single" w:sz="8" w:space="0" w:color="auto"/>
            </w:tcBorders>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2,99</w:t>
            </w:r>
          </w:p>
        </w:tc>
        <w:tc>
          <w:tcPr>
            <w:tcW w:w="900" w:type="dxa"/>
            <w:tcBorders>
              <w:top w:val="nil"/>
              <w:left w:val="nil"/>
              <w:bottom w:val="single" w:sz="8" w:space="0" w:color="auto"/>
              <w:right w:val="single" w:sz="8" w:space="0" w:color="auto"/>
            </w:tcBorders>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2,7</w:t>
            </w:r>
          </w:p>
        </w:tc>
        <w:tc>
          <w:tcPr>
            <w:tcW w:w="810" w:type="dxa"/>
            <w:tcBorders>
              <w:top w:val="nil"/>
              <w:left w:val="nil"/>
              <w:bottom w:val="single" w:sz="8" w:space="0" w:color="auto"/>
              <w:right w:val="single" w:sz="8" w:space="0" w:color="auto"/>
            </w:tcBorders>
            <w:shd w:val="clear" w:color="auto" w:fill="DAEEF3" w:themeFill="accent5" w:themeFillTint="33"/>
            <w:noWrap/>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0</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6,3</w:t>
            </w:r>
          </w:p>
        </w:tc>
        <w:tc>
          <w:tcPr>
            <w:tcW w:w="81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3,31</w:t>
            </w:r>
          </w:p>
        </w:tc>
        <w:tc>
          <w:tcPr>
            <w:tcW w:w="900" w:type="dxa"/>
            <w:tcBorders>
              <w:top w:val="nil"/>
              <w:left w:val="nil"/>
              <w:bottom w:val="single" w:sz="8" w:space="0" w:color="auto"/>
              <w:right w:val="single" w:sz="8" w:space="0" w:color="auto"/>
            </w:tcBorders>
            <w:shd w:val="clear" w:color="auto" w:fill="DAEEF3" w:themeFill="accent5" w:themeFillTint="33"/>
            <w:vAlign w:val="center"/>
          </w:tcPr>
          <w:p w:rsidR="00643CB5" w:rsidRPr="00315335" w:rsidRDefault="00643CB5" w:rsidP="00916B06">
            <w:pPr>
              <w:spacing w:after="0" w:line="240" w:lineRule="auto"/>
              <w:jc w:val="center"/>
              <w:rPr>
                <w:rFonts w:ascii="Arial" w:eastAsia="Times New Roman" w:hAnsi="Arial" w:cs="Arial"/>
                <w:sz w:val="20"/>
                <w:szCs w:val="20"/>
              </w:rPr>
            </w:pPr>
            <w:r w:rsidRPr="00315335">
              <w:rPr>
                <w:rFonts w:ascii="Arial" w:eastAsia="Times New Roman" w:hAnsi="Arial" w:cs="Arial"/>
                <w:sz w:val="20"/>
                <w:szCs w:val="20"/>
              </w:rPr>
              <w:t>2,0</w:t>
            </w:r>
          </w:p>
        </w:tc>
      </w:tr>
    </w:tbl>
    <w:p w:rsidR="00643CB5" w:rsidRPr="00315335" w:rsidRDefault="00643CB5" w:rsidP="00643CB5">
      <w:pPr>
        <w:spacing w:after="0" w:line="240" w:lineRule="auto"/>
        <w:jc w:val="both"/>
        <w:rPr>
          <w:rFonts w:ascii="Arial" w:hAnsi="Arial" w:cs="Arial"/>
          <w:i/>
          <w:sz w:val="20"/>
          <w:szCs w:val="20"/>
          <w:lang w:val="en-US"/>
        </w:rPr>
      </w:pPr>
    </w:p>
    <w:p w:rsidR="00643CB5" w:rsidRPr="00315335" w:rsidRDefault="00643CB5" w:rsidP="00643CB5">
      <w:pPr>
        <w:spacing w:after="0" w:line="240" w:lineRule="auto"/>
        <w:jc w:val="both"/>
        <w:rPr>
          <w:rFonts w:ascii="Arial" w:hAnsi="Arial" w:cs="Arial"/>
          <w:b/>
          <w:bCs/>
          <w:sz w:val="24"/>
          <w:szCs w:val="24"/>
        </w:rPr>
      </w:pPr>
    </w:p>
    <w:p w:rsidR="00643CB5" w:rsidRPr="00315335" w:rsidRDefault="00643CB5" w:rsidP="00643CB5">
      <w:pPr>
        <w:spacing w:after="0" w:line="240" w:lineRule="auto"/>
        <w:jc w:val="both"/>
        <w:rPr>
          <w:rFonts w:ascii="Arial" w:hAnsi="Arial" w:cs="Arial"/>
          <w:b/>
          <w:bCs/>
          <w:sz w:val="24"/>
          <w:szCs w:val="24"/>
        </w:rPr>
      </w:pPr>
      <w:r w:rsidRPr="00315335">
        <w:rPr>
          <w:rFonts w:ascii="Arial" w:hAnsi="Arial" w:cs="Arial"/>
          <w:b/>
          <w:bCs/>
          <w:sz w:val="24"/>
          <w:szCs w:val="24"/>
        </w:rPr>
        <w:t xml:space="preserve">II.2.1.4. Calitatea apelor de îmbăiere </w:t>
      </w:r>
    </w:p>
    <w:p w:rsidR="00643CB5" w:rsidRPr="00315335" w:rsidRDefault="00643CB5" w:rsidP="00643CB5">
      <w:pPr>
        <w:spacing w:after="0" w:line="240" w:lineRule="auto"/>
        <w:ind w:firstLine="708"/>
        <w:jc w:val="both"/>
        <w:rPr>
          <w:rFonts w:ascii="Arial" w:hAnsi="Arial" w:cs="Arial"/>
          <w:bCs/>
          <w:sz w:val="24"/>
          <w:szCs w:val="24"/>
        </w:rPr>
      </w:pPr>
      <w:r w:rsidRPr="00315335">
        <w:rPr>
          <w:rFonts w:ascii="Arial" w:hAnsi="Arial" w:cs="Arial"/>
          <w:bCs/>
          <w:sz w:val="24"/>
          <w:szCs w:val="24"/>
        </w:rPr>
        <w:t>În mod tradiţional se folosesc malurile Dunării în scop recreativ,  dar în judeţul Brăila nu există zone naturale de îmbăiere amenajate şi autorizate sanitar. În municipiu sunt câteva piscine autorizare sanitar, acestea fiind racordate la reţeaua de apă potabilă a municipiului Brăila.  Calitatea apei din staţiunea Lacu - Sărat este monitorizată de către Institutul Naţional de Resurse Minerale şi de către Institutul Naţional de Balneologie.</w:t>
      </w:r>
    </w:p>
    <w:p w:rsidR="00643CB5" w:rsidRPr="00315335" w:rsidRDefault="00643CB5" w:rsidP="00643CB5">
      <w:pPr>
        <w:pStyle w:val="Corptext2"/>
        <w:spacing w:after="0" w:line="240" w:lineRule="auto"/>
        <w:ind w:firstLine="708"/>
        <w:jc w:val="both"/>
        <w:rPr>
          <w:rFonts w:ascii="Arial" w:hAnsi="Arial" w:cs="Arial"/>
          <w:b/>
          <w:lang w:val="it-IT"/>
        </w:rPr>
      </w:pPr>
      <w:r w:rsidRPr="00315335">
        <w:rPr>
          <w:rFonts w:ascii="Arial" w:hAnsi="Arial" w:cs="Arial"/>
          <w:lang w:val="en-US"/>
        </w:rPr>
        <w:t>În anul 2018 s-au recoltat  probe de ape din piscine din jude</w:t>
      </w:r>
      <w:r w:rsidR="00953A23">
        <w:rPr>
          <w:rFonts w:ascii="Arial" w:hAnsi="Arial" w:cs="Arial"/>
          <w:lang w:val="en-US"/>
        </w:rPr>
        <w:t>ț</w:t>
      </w:r>
      <w:r w:rsidRPr="00315335">
        <w:rPr>
          <w:rFonts w:ascii="Arial" w:hAnsi="Arial" w:cs="Arial"/>
          <w:lang w:val="en-US"/>
        </w:rPr>
        <w:t>ul Brăila, rezultatele fiind specificate în tabelul de mai jos :</w:t>
      </w:r>
    </w:p>
    <w:p w:rsidR="00643CB5" w:rsidRPr="00315335" w:rsidRDefault="00643CB5" w:rsidP="00643CB5">
      <w:pPr>
        <w:pStyle w:val="Corptext2"/>
        <w:spacing w:after="0" w:line="240" w:lineRule="auto"/>
        <w:ind w:firstLine="708"/>
        <w:jc w:val="both"/>
        <w:rPr>
          <w:rFonts w:ascii="Arial" w:hAnsi="Arial" w:cs="Arial"/>
          <w:lang w:val="it-IT"/>
        </w:rPr>
      </w:pPr>
      <w:r w:rsidRPr="00315335">
        <w:rPr>
          <w:rFonts w:ascii="Arial" w:hAnsi="Arial" w:cs="Arial"/>
          <w:b/>
          <w:lang w:val="it-IT"/>
        </w:rPr>
        <w:t>Tabelul</w:t>
      </w:r>
      <w:r w:rsidR="00BE0F6C">
        <w:rPr>
          <w:rFonts w:ascii="Arial" w:hAnsi="Arial" w:cs="Arial"/>
          <w:b/>
          <w:lang w:val="it-IT"/>
        </w:rPr>
        <w:t xml:space="preserve"> </w:t>
      </w:r>
      <w:r w:rsidRPr="00315335">
        <w:rPr>
          <w:rFonts w:ascii="Arial" w:hAnsi="Arial" w:cs="Arial"/>
          <w:b/>
          <w:bCs/>
        </w:rPr>
        <w:t>II.2.1.4.- 1</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629"/>
        <w:gridCol w:w="2268"/>
        <w:gridCol w:w="1843"/>
        <w:gridCol w:w="2268"/>
      </w:tblGrid>
      <w:tr w:rsidR="00643CB5" w:rsidRPr="00315335" w:rsidTr="00916B06">
        <w:trPr>
          <w:trHeight w:val="375"/>
        </w:trPr>
        <w:tc>
          <w:tcPr>
            <w:tcW w:w="234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643CB5" w:rsidRPr="00315335" w:rsidRDefault="00643CB5" w:rsidP="00916B06">
            <w:pPr>
              <w:pStyle w:val="Corptext2"/>
              <w:spacing w:after="0" w:line="240" w:lineRule="auto"/>
              <w:jc w:val="both"/>
              <w:rPr>
                <w:rFonts w:ascii="Arial" w:hAnsi="Arial" w:cs="Arial"/>
                <w:i/>
                <w:lang w:val="pt-BR"/>
              </w:rPr>
            </w:pPr>
          </w:p>
        </w:tc>
        <w:tc>
          <w:tcPr>
            <w:tcW w:w="162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643CB5" w:rsidRPr="00315335" w:rsidRDefault="00643CB5" w:rsidP="00916B06">
            <w:pPr>
              <w:pStyle w:val="Corptext2"/>
              <w:spacing w:after="0" w:line="240" w:lineRule="auto"/>
              <w:jc w:val="both"/>
              <w:rPr>
                <w:rFonts w:ascii="Arial" w:hAnsi="Arial" w:cs="Arial"/>
              </w:rPr>
            </w:pPr>
            <w:r w:rsidRPr="00315335">
              <w:rPr>
                <w:rFonts w:ascii="Arial" w:hAnsi="Arial" w:cs="Arial"/>
              </w:rPr>
              <w:t>Nr. parametri</w:t>
            </w:r>
          </w:p>
          <w:p w:rsidR="00643CB5" w:rsidRPr="00315335" w:rsidRDefault="00643CB5" w:rsidP="00916B06">
            <w:pPr>
              <w:pStyle w:val="Corptext2"/>
              <w:spacing w:after="0" w:line="240" w:lineRule="auto"/>
              <w:jc w:val="both"/>
              <w:rPr>
                <w:rFonts w:ascii="Arial" w:hAnsi="Arial" w:cs="Arial"/>
                <w:lang w:val="pt-BR"/>
              </w:rPr>
            </w:pPr>
            <w:r w:rsidRPr="00315335">
              <w:rPr>
                <w:rFonts w:ascii="Arial" w:hAnsi="Arial" w:cs="Arial"/>
                <w:lang w:val="pt-BR"/>
              </w:rPr>
              <w:t>analizați</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643CB5" w:rsidRPr="00315335" w:rsidRDefault="00643CB5" w:rsidP="00916B06">
            <w:pPr>
              <w:pStyle w:val="Corptext2"/>
              <w:spacing w:after="0" w:line="240" w:lineRule="auto"/>
              <w:jc w:val="both"/>
              <w:rPr>
                <w:rFonts w:ascii="Arial" w:hAnsi="Arial" w:cs="Arial"/>
                <w:lang w:val="pt-BR"/>
              </w:rPr>
            </w:pPr>
            <w:r w:rsidRPr="00315335">
              <w:rPr>
                <w:rFonts w:ascii="Arial" w:hAnsi="Arial" w:cs="Arial"/>
                <w:lang w:val="pt-BR"/>
              </w:rPr>
              <w:t>Nr.total parametri</w:t>
            </w:r>
          </w:p>
          <w:p w:rsidR="00643CB5" w:rsidRPr="00315335" w:rsidRDefault="00643CB5" w:rsidP="00916B06">
            <w:pPr>
              <w:pStyle w:val="Corptext2"/>
              <w:spacing w:after="0" w:line="240" w:lineRule="auto"/>
              <w:jc w:val="both"/>
              <w:rPr>
                <w:rFonts w:ascii="Arial" w:hAnsi="Arial" w:cs="Arial"/>
                <w:lang w:val="pt-BR"/>
              </w:rPr>
            </w:pPr>
            <w:r w:rsidRPr="00315335">
              <w:rPr>
                <w:rFonts w:ascii="Arial" w:hAnsi="Arial" w:cs="Arial"/>
                <w:lang w:val="pt-BR"/>
              </w:rPr>
              <w:t>necorespunzători</w:t>
            </w:r>
          </w:p>
        </w:tc>
        <w:tc>
          <w:tcPr>
            <w:tcW w:w="411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43CB5" w:rsidRPr="00315335" w:rsidRDefault="00643CB5" w:rsidP="00916B06">
            <w:pPr>
              <w:pStyle w:val="Corptext2"/>
              <w:spacing w:after="0" w:line="240" w:lineRule="auto"/>
              <w:jc w:val="both"/>
              <w:rPr>
                <w:rFonts w:ascii="Arial" w:hAnsi="Arial" w:cs="Arial"/>
                <w:lang w:val="pt-BR"/>
              </w:rPr>
            </w:pPr>
            <w:r w:rsidRPr="00315335">
              <w:rPr>
                <w:rFonts w:ascii="Arial" w:hAnsi="Arial" w:cs="Arial"/>
                <w:lang w:val="pt-BR"/>
              </w:rPr>
              <w:t>Nr. parametri necorespunzători</w:t>
            </w:r>
          </w:p>
        </w:tc>
      </w:tr>
      <w:tr w:rsidR="00643CB5" w:rsidRPr="00315335" w:rsidTr="00916B06">
        <w:trPr>
          <w:trHeight w:val="653"/>
        </w:trPr>
        <w:tc>
          <w:tcPr>
            <w:tcW w:w="234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43CB5" w:rsidRPr="00315335" w:rsidRDefault="00643CB5" w:rsidP="00916B06">
            <w:pPr>
              <w:spacing w:after="0" w:line="240" w:lineRule="auto"/>
              <w:jc w:val="both"/>
              <w:rPr>
                <w:rFonts w:ascii="Arial" w:hAnsi="Arial" w:cs="Arial"/>
                <w:i/>
                <w:sz w:val="24"/>
                <w:lang w:val="pt-BR"/>
              </w:rPr>
            </w:pPr>
          </w:p>
        </w:tc>
        <w:tc>
          <w:tcPr>
            <w:tcW w:w="162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43CB5" w:rsidRPr="00315335" w:rsidRDefault="00643CB5" w:rsidP="00916B06">
            <w:pPr>
              <w:spacing w:after="0" w:line="240" w:lineRule="auto"/>
              <w:jc w:val="both"/>
              <w:rPr>
                <w:rFonts w:ascii="Arial" w:hAnsi="Arial" w:cs="Arial"/>
                <w:sz w:val="24"/>
                <w:lang w:val="pt-BR"/>
              </w:rPr>
            </w:pPr>
          </w:p>
        </w:tc>
        <w:tc>
          <w:tcPr>
            <w:tcW w:w="226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43CB5" w:rsidRPr="00315335" w:rsidRDefault="00643CB5" w:rsidP="00916B06">
            <w:pPr>
              <w:spacing w:after="0" w:line="240" w:lineRule="auto"/>
              <w:jc w:val="both"/>
              <w:rPr>
                <w:rFonts w:ascii="Arial" w:hAnsi="Arial" w:cs="Arial"/>
                <w:sz w:val="24"/>
                <w:lang w:val="pt-BR"/>
              </w:rPr>
            </w:pP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43CB5" w:rsidRPr="00315335" w:rsidRDefault="00643CB5" w:rsidP="00916B06">
            <w:pPr>
              <w:pStyle w:val="Corptext2"/>
              <w:spacing w:after="0" w:line="240" w:lineRule="auto"/>
              <w:jc w:val="both"/>
              <w:rPr>
                <w:rFonts w:ascii="Arial" w:hAnsi="Arial" w:cs="Arial"/>
                <w:lang w:val="pt-BR"/>
              </w:rPr>
            </w:pPr>
            <w:r w:rsidRPr="00315335">
              <w:rPr>
                <w:rFonts w:ascii="Arial" w:hAnsi="Arial" w:cs="Arial"/>
                <w:lang w:val="pt-BR"/>
              </w:rPr>
              <w:t>Microbiologici</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43CB5" w:rsidRPr="00315335" w:rsidRDefault="00643CB5" w:rsidP="00916B06">
            <w:pPr>
              <w:pStyle w:val="Corptext2"/>
              <w:spacing w:after="0" w:line="240" w:lineRule="auto"/>
              <w:jc w:val="both"/>
              <w:rPr>
                <w:rFonts w:ascii="Arial" w:hAnsi="Arial" w:cs="Arial"/>
                <w:lang w:val="pt-BR"/>
              </w:rPr>
            </w:pPr>
            <w:r w:rsidRPr="00315335">
              <w:rPr>
                <w:rFonts w:ascii="Arial" w:hAnsi="Arial" w:cs="Arial"/>
                <w:lang w:val="pt-BR"/>
              </w:rPr>
              <w:t>Fizico-chimici</w:t>
            </w:r>
          </w:p>
        </w:tc>
      </w:tr>
      <w:tr w:rsidR="00643CB5" w:rsidRPr="00315335" w:rsidTr="00916B06">
        <w:trPr>
          <w:trHeight w:val="315"/>
        </w:trPr>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43CB5" w:rsidRPr="00315335" w:rsidRDefault="00643CB5" w:rsidP="00916B06">
            <w:pPr>
              <w:pStyle w:val="Corptext2"/>
              <w:spacing w:after="0" w:line="240" w:lineRule="auto"/>
              <w:jc w:val="both"/>
              <w:rPr>
                <w:rFonts w:ascii="Arial" w:hAnsi="Arial" w:cs="Arial"/>
                <w:i/>
                <w:lang w:val="pt-BR"/>
              </w:rPr>
            </w:pPr>
            <w:r w:rsidRPr="00315335">
              <w:rPr>
                <w:rFonts w:ascii="Arial" w:hAnsi="Arial" w:cs="Arial"/>
                <w:i/>
                <w:lang w:val="pt-BR"/>
              </w:rPr>
              <w:t>Ape de  îmbăiere</w:t>
            </w:r>
          </w:p>
        </w:tc>
        <w:tc>
          <w:tcPr>
            <w:tcW w:w="162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43CB5" w:rsidRPr="00315335" w:rsidRDefault="00643CB5" w:rsidP="00916B06">
            <w:pPr>
              <w:pStyle w:val="Corptext2"/>
              <w:spacing w:after="0" w:line="240" w:lineRule="auto"/>
              <w:jc w:val="center"/>
              <w:rPr>
                <w:rFonts w:ascii="Arial" w:hAnsi="Arial" w:cs="Arial"/>
                <w:lang w:val="pt-BR"/>
              </w:rPr>
            </w:pPr>
            <w:r w:rsidRPr="00315335">
              <w:rPr>
                <w:rFonts w:ascii="Arial" w:hAnsi="Arial" w:cs="Arial"/>
                <w:lang w:val="pt-BR"/>
              </w:rPr>
              <w:t>198</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43CB5" w:rsidRPr="00315335" w:rsidRDefault="00643CB5" w:rsidP="00916B06">
            <w:pPr>
              <w:pStyle w:val="Corptext2"/>
              <w:spacing w:after="0" w:line="240" w:lineRule="auto"/>
              <w:jc w:val="center"/>
              <w:rPr>
                <w:rFonts w:ascii="Arial" w:hAnsi="Arial" w:cs="Arial"/>
                <w:lang w:val="pt-BR"/>
              </w:rPr>
            </w:pPr>
            <w:r w:rsidRPr="00315335">
              <w:rPr>
                <w:rFonts w:ascii="Arial" w:hAnsi="Arial" w:cs="Arial"/>
                <w:lang w:val="pt-BR"/>
              </w:rPr>
              <w:t>2</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43CB5" w:rsidRPr="00315335" w:rsidRDefault="00643CB5" w:rsidP="00916B06">
            <w:pPr>
              <w:pStyle w:val="Corptext2"/>
              <w:spacing w:after="0" w:line="240" w:lineRule="auto"/>
              <w:jc w:val="both"/>
              <w:rPr>
                <w:rFonts w:ascii="Arial" w:hAnsi="Arial" w:cs="Arial"/>
                <w:lang w:val="pt-BR"/>
              </w:rPr>
            </w:pPr>
            <w:r w:rsidRPr="00315335">
              <w:rPr>
                <w:rFonts w:ascii="Arial" w:hAnsi="Arial" w:cs="Arial"/>
                <w:lang w:val="pt-BR"/>
              </w:rPr>
              <w:t>-</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43CB5" w:rsidRPr="00315335" w:rsidRDefault="00643CB5" w:rsidP="00916B06">
            <w:pPr>
              <w:pStyle w:val="Corptext2"/>
              <w:spacing w:after="0" w:line="240" w:lineRule="auto"/>
              <w:jc w:val="both"/>
              <w:rPr>
                <w:rFonts w:ascii="Arial" w:hAnsi="Arial" w:cs="Arial"/>
                <w:lang w:val="pt-BR"/>
              </w:rPr>
            </w:pPr>
            <w:r w:rsidRPr="00315335">
              <w:rPr>
                <w:rFonts w:ascii="Arial" w:hAnsi="Arial" w:cs="Arial"/>
                <w:lang w:val="pt-BR"/>
              </w:rPr>
              <w:t>2 (clor)</w:t>
            </w:r>
          </w:p>
        </w:tc>
      </w:tr>
    </w:tbl>
    <w:p w:rsidR="00643CB5" w:rsidRPr="00315335" w:rsidRDefault="00643CB5" w:rsidP="00643CB5">
      <w:pPr>
        <w:autoSpaceDE w:val="0"/>
        <w:autoSpaceDN w:val="0"/>
        <w:adjustRightInd w:val="0"/>
        <w:spacing w:after="0" w:line="240" w:lineRule="auto"/>
        <w:jc w:val="both"/>
        <w:rPr>
          <w:rFonts w:ascii="Arial" w:hAnsi="Arial" w:cs="Arial"/>
          <w:b/>
          <w:sz w:val="24"/>
          <w:szCs w:val="24"/>
        </w:rPr>
      </w:pPr>
    </w:p>
    <w:p w:rsidR="00643CB5" w:rsidRPr="00315335" w:rsidRDefault="00643CB5" w:rsidP="00643CB5">
      <w:pPr>
        <w:autoSpaceDE w:val="0"/>
        <w:autoSpaceDN w:val="0"/>
        <w:adjustRightInd w:val="0"/>
        <w:spacing w:after="0" w:line="240" w:lineRule="auto"/>
        <w:jc w:val="both"/>
        <w:rPr>
          <w:rFonts w:ascii="Arial" w:hAnsi="Arial" w:cs="Arial"/>
          <w:sz w:val="20"/>
          <w:szCs w:val="20"/>
          <w:lang w:val="fr-FR"/>
        </w:rPr>
      </w:pPr>
      <w:r w:rsidRPr="00315335">
        <w:rPr>
          <w:rFonts w:ascii="Arial" w:hAnsi="Arial" w:cs="Arial"/>
          <w:i/>
          <w:sz w:val="20"/>
          <w:szCs w:val="20"/>
          <w:lang w:val="fr-FR"/>
        </w:rPr>
        <w:t>*La nivelul judetului Braila nu s-au identificat zone de îmbăiere naturale amenajate si neamenajate</w:t>
      </w:r>
      <w:r w:rsidRPr="00315335">
        <w:rPr>
          <w:rFonts w:ascii="Arial" w:hAnsi="Arial" w:cs="Arial"/>
          <w:sz w:val="20"/>
          <w:szCs w:val="20"/>
          <w:lang w:val="fr-FR"/>
        </w:rPr>
        <w:t xml:space="preserve"> .</w:t>
      </w:r>
    </w:p>
    <w:p w:rsidR="00643CB5" w:rsidRPr="00315335" w:rsidRDefault="00643CB5" w:rsidP="00643CB5">
      <w:pPr>
        <w:autoSpaceDE w:val="0"/>
        <w:autoSpaceDN w:val="0"/>
        <w:adjustRightInd w:val="0"/>
        <w:spacing w:after="0" w:line="240" w:lineRule="auto"/>
        <w:jc w:val="both"/>
        <w:rPr>
          <w:rFonts w:ascii="Arial" w:hAnsi="Arial" w:cs="Arial"/>
          <w:b/>
          <w:sz w:val="20"/>
          <w:szCs w:val="20"/>
        </w:rPr>
      </w:pPr>
      <w:r w:rsidRPr="00315335">
        <w:rPr>
          <w:rFonts w:ascii="Arial" w:hAnsi="Arial" w:cs="Arial"/>
          <w:sz w:val="20"/>
          <w:szCs w:val="20"/>
          <w:lang w:val="fr-FR"/>
        </w:rPr>
        <w:t xml:space="preserve">  (</w:t>
      </w:r>
      <w:r w:rsidRPr="00315335">
        <w:rPr>
          <w:rFonts w:ascii="Arial" w:hAnsi="Arial" w:cs="Arial"/>
          <w:i/>
          <w:sz w:val="20"/>
          <w:szCs w:val="20"/>
        </w:rPr>
        <w:t>Date furnizate de către Direcția de Sănătate Publică a jud. Brăila</w:t>
      </w:r>
      <w:r w:rsidRPr="00315335">
        <w:rPr>
          <w:rFonts w:ascii="Arial" w:hAnsi="Arial" w:cs="Arial"/>
          <w:b/>
          <w:sz w:val="20"/>
          <w:szCs w:val="20"/>
        </w:rPr>
        <w:t>)</w:t>
      </w:r>
    </w:p>
    <w:p w:rsidR="00643CB5" w:rsidRPr="00315335" w:rsidRDefault="00643CB5" w:rsidP="00643CB5">
      <w:pPr>
        <w:spacing w:after="0" w:line="240" w:lineRule="auto"/>
        <w:jc w:val="both"/>
        <w:rPr>
          <w:rFonts w:ascii="Arial" w:hAnsi="Arial" w:cs="Arial"/>
          <w:b/>
          <w:bCs/>
          <w:iCs/>
        </w:rPr>
      </w:pPr>
    </w:p>
    <w:p w:rsidR="00643CB5" w:rsidRPr="00315335" w:rsidRDefault="00643CB5" w:rsidP="00643CB5">
      <w:pPr>
        <w:pStyle w:val="Default"/>
        <w:jc w:val="both"/>
        <w:rPr>
          <w:rFonts w:ascii="Arial" w:hAnsi="Arial" w:cs="Arial"/>
          <w:b/>
          <w:bCs/>
          <w:i/>
          <w:iCs/>
          <w:color w:val="auto"/>
          <w:u w:val="single"/>
        </w:rPr>
      </w:pPr>
      <w:r w:rsidRPr="00315335">
        <w:rPr>
          <w:rFonts w:ascii="Arial" w:hAnsi="Arial" w:cs="Arial"/>
          <w:b/>
          <w:bCs/>
          <w:iCs/>
          <w:color w:val="auto"/>
        </w:rPr>
        <w:t>II.2.2. Factorii determinanţi şi presiunile care afectează starea de calitate</w:t>
      </w:r>
      <w:r w:rsidRPr="00315335">
        <w:rPr>
          <w:rFonts w:ascii="Arial" w:hAnsi="Arial" w:cs="Arial"/>
          <w:b/>
          <w:bCs/>
          <w:i/>
          <w:iCs/>
          <w:color w:val="auto"/>
        </w:rPr>
        <w:t xml:space="preserve"> a apelor</w:t>
      </w:r>
    </w:p>
    <w:p w:rsidR="00643CB5" w:rsidRPr="00315335" w:rsidRDefault="00643CB5" w:rsidP="00643CB5">
      <w:pPr>
        <w:pStyle w:val="Default"/>
        <w:jc w:val="both"/>
        <w:rPr>
          <w:rFonts w:ascii="Arial" w:hAnsi="Arial" w:cs="Arial"/>
          <w:color w:val="auto"/>
        </w:rPr>
      </w:pPr>
    </w:p>
    <w:p w:rsidR="00643CB5" w:rsidRPr="00315335" w:rsidRDefault="00643CB5" w:rsidP="00643CB5">
      <w:pPr>
        <w:pStyle w:val="Default"/>
        <w:jc w:val="both"/>
        <w:rPr>
          <w:rFonts w:ascii="Arial" w:hAnsi="Arial" w:cs="Arial"/>
          <w:color w:val="auto"/>
        </w:rPr>
      </w:pPr>
      <w:r w:rsidRPr="00315335">
        <w:rPr>
          <w:rFonts w:ascii="Arial" w:hAnsi="Arial" w:cs="Arial"/>
          <w:b/>
          <w:bCs/>
          <w:color w:val="auto"/>
        </w:rPr>
        <w:t>II.2.2.1. Presiuni semnificative asupra resurselor de apă</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 xml:space="preserve">În conformitate cu Directiva Cadru Apă 2000/60/CE, în cadrul planurilor de management al bazinelor/spațiilor hidrografice 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și cu caracteristicile particulare ale bazinului de recepţie conduce la identificarea presiunilor semnificative. </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O alternativă este aceea ca înţelegerea conceptuală să fie sintetizată într-un set simplu de reguli care indică direct dacă o presiune este semnificativă. O abordare de acest tip este de a compara magnitudinea presiunii cu un criteriu sau o valoare limită relevantă pentru corpul de apă. În acest sens, Directivele Europene prezintă limitele peste care presiunile pot fi numite semnificative şi substanţele și grupele de substanţe care trebuie luate în considerare. Stabilirea presiunilor semnificative stă la baza identificării în continuare a legăturii dintre toate categoriile de presiuni – obiective – măsuri. S-a avut în vedere analiza presiunilor și a impactului pe baza utilizării conceptului DPSIR (Driver-Pressure-State-Impact-Response – Activitate Antropică-Presiune-Stare-Impact- Răspuns).</w:t>
      </w:r>
    </w:p>
    <w:p w:rsidR="00643CB5" w:rsidRPr="00315335" w:rsidRDefault="00643CB5" w:rsidP="00643CB5">
      <w:pPr>
        <w:spacing w:after="0" w:line="240" w:lineRule="auto"/>
        <w:ind w:firstLine="708"/>
        <w:jc w:val="both"/>
        <w:rPr>
          <w:rFonts w:ascii="Arial" w:hAnsi="Arial" w:cs="Arial"/>
          <w:sz w:val="24"/>
          <w:szCs w:val="24"/>
        </w:rPr>
      </w:pPr>
      <w:r w:rsidRPr="00315335">
        <w:rPr>
          <w:rFonts w:ascii="Arial" w:hAnsi="Arial" w:cs="Arial"/>
          <w:sz w:val="24"/>
          <w:szCs w:val="24"/>
        </w:rPr>
        <w:t>Aplicarea setului de criterii a condus la identificarea presiunilor semnificative punctiforme, având în vedere evacuările de ape epurate sau neepurate în resursele de apă de suprafaţă:</w:t>
      </w:r>
    </w:p>
    <w:p w:rsidR="00643CB5" w:rsidRPr="00315335" w:rsidRDefault="00643CB5" w:rsidP="00E14739">
      <w:pPr>
        <w:pStyle w:val="Listparagraf"/>
        <w:numPr>
          <w:ilvl w:val="0"/>
          <w:numId w:val="11"/>
        </w:numPr>
        <w:jc w:val="both"/>
        <w:rPr>
          <w:rFonts w:ascii="Arial" w:hAnsi="Arial" w:cs="Arial"/>
          <w:bCs/>
        </w:rPr>
      </w:pPr>
      <w:r w:rsidRPr="00315335">
        <w:rPr>
          <w:rFonts w:ascii="Arial" w:hAnsi="Arial" w:cs="Arial"/>
          <w:b/>
          <w:bCs/>
          <w:i/>
        </w:rPr>
        <w:t>aglomerările umane</w:t>
      </w:r>
      <w:r w:rsidRPr="00315335">
        <w:rPr>
          <w:rFonts w:ascii="Arial" w:hAnsi="Arial" w:cs="Arial"/>
          <w:bCs/>
          <w:i/>
        </w:rPr>
        <w:t xml:space="preserve"> (</w:t>
      </w:r>
      <w:r w:rsidRPr="00315335">
        <w:rPr>
          <w:rFonts w:ascii="Arial" w:hAnsi="Arial" w:cs="Arial"/>
          <w:bCs/>
        </w:rPr>
        <w:t>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w:t>
      </w:r>
      <w:smartTag w:uri="urn:schemas-microsoft-com:office:smarttags" w:element="metricconverter">
        <w:smartTagPr>
          <w:attr w:name="ProductID" w:val="2000 l"/>
        </w:smartTagPr>
        <w:r w:rsidRPr="00315335">
          <w:rPr>
            <w:rFonts w:ascii="Arial" w:hAnsi="Arial" w:cs="Arial"/>
            <w:bCs/>
          </w:rPr>
          <w:t>2000 l</w:t>
        </w:r>
      </w:smartTag>
      <w:r w:rsidRPr="00315335">
        <w:rPr>
          <w:rFonts w:ascii="Arial" w:hAnsi="Arial" w:cs="Arial"/>
          <w:bCs/>
        </w:rPr>
        <w:t xml:space="preserve">.e.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643CB5" w:rsidRPr="00315335" w:rsidRDefault="00643CB5" w:rsidP="00E14739">
      <w:pPr>
        <w:pStyle w:val="Listparagraf"/>
        <w:numPr>
          <w:ilvl w:val="0"/>
          <w:numId w:val="11"/>
        </w:numPr>
        <w:jc w:val="both"/>
        <w:rPr>
          <w:rFonts w:ascii="Arial" w:hAnsi="Arial" w:cs="Arial"/>
          <w:b/>
          <w:i/>
        </w:rPr>
      </w:pPr>
      <w:r w:rsidRPr="00315335">
        <w:rPr>
          <w:rFonts w:ascii="Arial" w:hAnsi="Arial" w:cs="Arial"/>
          <w:b/>
          <w:i/>
        </w:rPr>
        <w:t xml:space="preserve">industria:  </w:t>
      </w:r>
    </w:p>
    <w:p w:rsidR="00643CB5" w:rsidRPr="00315335" w:rsidRDefault="00643CB5" w:rsidP="00E14739">
      <w:pPr>
        <w:pStyle w:val="Listparagraf"/>
        <w:numPr>
          <w:ilvl w:val="0"/>
          <w:numId w:val="12"/>
        </w:numPr>
        <w:contextualSpacing w:val="0"/>
        <w:jc w:val="both"/>
        <w:rPr>
          <w:rFonts w:ascii="Arial" w:hAnsi="Arial" w:cs="Arial"/>
        </w:rPr>
      </w:pPr>
      <w:r w:rsidRPr="00315335">
        <w:rPr>
          <w:rFonts w:ascii="Arial" w:hAnsi="Arial" w:cs="Arial"/>
        </w:rPr>
        <w:lastRenderedPageBreak/>
        <w:t>instalaţiile care intră sub incidenţa Directiva 2010/75/CEE privind emisiile industriale (Directiva IED) - inclusiv unităţile care sunt inventariate în Registrul Polunaţilor Emişi şi Transferaţi (E-PRTR), care sunt relevante pentru factorul de mediu apă;</w:t>
      </w:r>
    </w:p>
    <w:p w:rsidR="00643CB5" w:rsidRPr="00315335" w:rsidRDefault="00643CB5" w:rsidP="00E14739">
      <w:pPr>
        <w:pStyle w:val="Listparagraf"/>
        <w:numPr>
          <w:ilvl w:val="0"/>
          <w:numId w:val="12"/>
        </w:numPr>
        <w:contextualSpacing w:val="0"/>
        <w:jc w:val="both"/>
        <w:rPr>
          <w:rFonts w:ascii="Arial" w:hAnsi="Arial" w:cs="Arial"/>
        </w:rPr>
      </w:pPr>
      <w:r w:rsidRPr="00315335">
        <w:rPr>
          <w:rFonts w:ascii="Arial" w:hAnsi="Arial" w:cs="Arial"/>
        </w:rPr>
        <w:t>unităţile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643CB5" w:rsidRPr="00315335" w:rsidRDefault="00643CB5" w:rsidP="00E14739">
      <w:pPr>
        <w:pStyle w:val="Listparagraf"/>
        <w:numPr>
          <w:ilvl w:val="0"/>
          <w:numId w:val="12"/>
        </w:numPr>
        <w:contextualSpacing w:val="0"/>
        <w:jc w:val="both"/>
        <w:rPr>
          <w:rFonts w:ascii="Arial" w:hAnsi="Arial" w:cs="Arial"/>
          <w:i/>
        </w:rPr>
      </w:pPr>
      <w:r w:rsidRPr="00315335">
        <w:rPr>
          <w:rFonts w:ascii="Arial" w:hAnsi="Arial" w:cs="Arial"/>
        </w:rPr>
        <w:t>alte unităţi care evacuează în resursele de apă şi care nu se conformează legislaţiei în vigoare privind factorul de mediu apă;</w:t>
      </w:r>
    </w:p>
    <w:p w:rsidR="00643CB5" w:rsidRPr="00315335" w:rsidRDefault="00643CB5" w:rsidP="00E14739">
      <w:pPr>
        <w:pStyle w:val="Listparagraf"/>
        <w:numPr>
          <w:ilvl w:val="0"/>
          <w:numId w:val="13"/>
        </w:numPr>
        <w:jc w:val="both"/>
        <w:rPr>
          <w:rFonts w:ascii="Arial" w:hAnsi="Arial" w:cs="Arial"/>
          <w:b/>
          <w:i/>
        </w:rPr>
      </w:pPr>
      <w:r w:rsidRPr="00315335">
        <w:rPr>
          <w:rFonts w:ascii="Arial" w:hAnsi="Arial" w:cs="Arial"/>
          <w:b/>
          <w:i/>
        </w:rPr>
        <w:t>agricultura:</w:t>
      </w:r>
    </w:p>
    <w:p w:rsidR="00643CB5" w:rsidRPr="00315335" w:rsidRDefault="00643CB5" w:rsidP="00E14739">
      <w:pPr>
        <w:pStyle w:val="Listparagraf"/>
        <w:numPr>
          <w:ilvl w:val="0"/>
          <w:numId w:val="14"/>
        </w:numPr>
        <w:jc w:val="both"/>
        <w:rPr>
          <w:rFonts w:ascii="Arial" w:hAnsi="Arial" w:cs="Arial"/>
        </w:rPr>
      </w:pPr>
      <w:r w:rsidRPr="00315335">
        <w:rPr>
          <w:rFonts w:ascii="Arial" w:hAnsi="Arial" w:cs="Arial"/>
        </w:rPr>
        <w:t>fermele zootehnice care intră sub incidenţa Directivei 2010/75/CEE privind emisiile industriale (Directiva IED) - inclusiv unităţile care sunt inventariate în Registrul Polunaţilor Emişi şi Transferaţi (E-PRTR), care sunt relevante pentru factorul de mediu apă;</w:t>
      </w:r>
    </w:p>
    <w:p w:rsidR="00643CB5" w:rsidRPr="00315335" w:rsidRDefault="00643CB5" w:rsidP="00E14739">
      <w:pPr>
        <w:pStyle w:val="Listparagraf"/>
        <w:numPr>
          <w:ilvl w:val="0"/>
          <w:numId w:val="14"/>
        </w:numPr>
        <w:jc w:val="both"/>
        <w:rPr>
          <w:rFonts w:ascii="Arial" w:hAnsi="Arial" w:cs="Arial"/>
        </w:rPr>
      </w:pPr>
      <w:r w:rsidRPr="00315335">
        <w:rPr>
          <w:rFonts w:ascii="Arial" w:hAnsi="Arial" w:cs="Arial"/>
        </w:rPr>
        <w:t>fermele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643CB5" w:rsidRPr="00315335" w:rsidRDefault="00643CB5" w:rsidP="00E14739">
      <w:pPr>
        <w:pStyle w:val="Listparagraf"/>
        <w:numPr>
          <w:ilvl w:val="0"/>
          <w:numId w:val="14"/>
        </w:numPr>
        <w:jc w:val="both"/>
        <w:rPr>
          <w:rFonts w:ascii="Arial" w:hAnsi="Arial" w:cs="Arial"/>
        </w:rPr>
      </w:pPr>
      <w:r w:rsidRPr="00315335">
        <w:rPr>
          <w:rFonts w:ascii="Arial" w:hAnsi="Arial" w:cs="Arial"/>
        </w:rPr>
        <w:t>alte unităţi agricole cu evacuare punctiformă şi care nu se conformează legislaţiei în vigoare privind factorul de mediu apă;</w:t>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În Planul Național de Management al bazinelor/spațiilor hidrografice din România, actualizat și aprobat prin HG nr. 859/2016, au fost inventariate la nivel naţional un număr total de 2970 utilizatori de apă care folosesc resursele de apă de suprafaţă ca receptor al apelor evacuate, din care, ținând seama de criteriile menţionate mai sus, au rezultat un număr total de 1409 surse punctiforme potențial semnificative (626 urbane, 563 industriale, 106 agricole și 114 alte presiuni de tipul exploatărilor forestiere, acvacultură, etc.).</w:t>
      </w:r>
    </w:p>
    <w:p w:rsidR="00643CB5" w:rsidRPr="00315335" w:rsidRDefault="00643CB5" w:rsidP="00643CB5">
      <w:pPr>
        <w:spacing w:after="0" w:line="240" w:lineRule="auto"/>
        <w:jc w:val="both"/>
        <w:rPr>
          <w:rFonts w:ascii="Arial" w:hAnsi="Arial" w:cs="Arial"/>
          <w:b/>
          <w:sz w:val="24"/>
          <w:szCs w:val="24"/>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sz w:val="24"/>
          <w:szCs w:val="24"/>
        </w:rPr>
        <w:t xml:space="preserve">Ponderea presiunilor punctiforme potențial semnificative </w:t>
      </w:r>
    </w:p>
    <w:p w:rsidR="00643CB5" w:rsidRPr="00315335" w:rsidRDefault="00643CB5" w:rsidP="00643CB5">
      <w:pPr>
        <w:spacing w:after="0" w:line="240" w:lineRule="auto"/>
        <w:jc w:val="both"/>
        <w:rPr>
          <w:rFonts w:ascii="Arial" w:hAnsi="Arial" w:cs="Arial"/>
          <w:b/>
          <w:sz w:val="24"/>
          <w:szCs w:val="24"/>
        </w:rPr>
      </w:pPr>
    </w:p>
    <w:p w:rsidR="00643CB5" w:rsidRPr="00315335" w:rsidRDefault="00643CB5" w:rsidP="00643CB5">
      <w:pPr>
        <w:spacing w:after="0" w:line="240" w:lineRule="auto"/>
        <w:jc w:val="center"/>
        <w:rPr>
          <w:rFonts w:ascii="Arial" w:hAnsi="Arial" w:cs="Arial"/>
          <w:b/>
          <w:sz w:val="24"/>
          <w:szCs w:val="24"/>
        </w:rPr>
      </w:pPr>
      <w:r w:rsidRPr="00315335">
        <w:rPr>
          <w:noProof/>
        </w:rPr>
        <w:drawing>
          <wp:inline distT="0" distB="0" distL="0" distR="0" wp14:anchorId="5463AE6A" wp14:editId="0F26EDEE">
            <wp:extent cx="4276725" cy="1895475"/>
            <wp:effectExtent l="0" t="0" r="0" b="0"/>
            <wp:docPr id="2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 xml:space="preserve">                                                               Figura II.2.2.1.1</w:t>
      </w:r>
    </w:p>
    <w:p w:rsidR="00643CB5" w:rsidRPr="00315335" w:rsidRDefault="00643CB5" w:rsidP="00643CB5">
      <w:pPr>
        <w:spacing w:after="0" w:line="240" w:lineRule="auto"/>
        <w:jc w:val="both"/>
        <w:rPr>
          <w:rFonts w:ascii="Arial" w:hAnsi="Arial" w:cs="Arial"/>
          <w:i/>
          <w:sz w:val="24"/>
          <w:szCs w:val="24"/>
        </w:rPr>
      </w:pPr>
    </w:p>
    <w:p w:rsidR="00643CB5" w:rsidRPr="00315335" w:rsidRDefault="00643CB5" w:rsidP="00643CB5">
      <w:pPr>
        <w:spacing w:after="0" w:line="240" w:lineRule="auto"/>
        <w:jc w:val="both"/>
        <w:rPr>
          <w:rFonts w:ascii="Arial" w:hAnsi="Arial" w:cs="Arial"/>
          <w:i/>
          <w:sz w:val="24"/>
          <w:szCs w:val="24"/>
        </w:rPr>
      </w:pPr>
      <w:r w:rsidRPr="00315335">
        <w:rPr>
          <w:rFonts w:ascii="Arial" w:hAnsi="Arial" w:cs="Arial"/>
          <w:i/>
          <w:sz w:val="24"/>
          <w:szCs w:val="24"/>
        </w:rPr>
        <w:t>(Sursa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r w:rsidRPr="00315335">
        <w:rPr>
          <w:rFonts w:ascii="Arial" w:hAnsi="Arial" w:cs="Arial"/>
          <w:i/>
        </w:rPr>
        <w:t>)</w:t>
      </w:r>
    </w:p>
    <w:p w:rsidR="00643CB5" w:rsidRPr="00315335" w:rsidRDefault="00643CB5" w:rsidP="00643CB5">
      <w:pPr>
        <w:spacing w:after="0" w:line="240" w:lineRule="auto"/>
        <w:jc w:val="both"/>
        <w:rPr>
          <w:rFonts w:ascii="Arial" w:hAnsi="Arial" w:cs="Arial"/>
          <w:sz w:val="24"/>
          <w:szCs w:val="24"/>
        </w:rPr>
      </w:pP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Se constată că ponderea cea mai mare a presiunilor punctiforme este reprezentată de aglomerări umane, cu cca. 45%, respectiv apele uzate evacuate de la sistemele de colectare și epurare a aglomerărilor urbane.</w:t>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 xml:space="preserve">În ceea ce priveşte </w:t>
      </w:r>
      <w:r w:rsidRPr="00315335">
        <w:rPr>
          <w:rFonts w:ascii="Arial" w:hAnsi="Arial" w:cs="Arial"/>
          <w:b/>
          <w:i/>
          <w:sz w:val="24"/>
          <w:szCs w:val="24"/>
        </w:rPr>
        <w:t>sursele difuze de poluare semnificativă</w:t>
      </w:r>
      <w:r w:rsidRPr="00315335">
        <w:rPr>
          <w:rFonts w:ascii="Arial" w:hAnsi="Arial" w:cs="Arial"/>
          <w:sz w:val="24"/>
          <w:szCs w:val="24"/>
        </w:rPr>
        <w:t>, identificate cu referire la modul de utilizare al terenului, se pot menţiona:</w:t>
      </w:r>
    </w:p>
    <w:p w:rsidR="00643CB5" w:rsidRPr="00315335" w:rsidRDefault="00643CB5" w:rsidP="00E14739">
      <w:pPr>
        <w:pStyle w:val="Listparagraf"/>
        <w:numPr>
          <w:ilvl w:val="0"/>
          <w:numId w:val="21"/>
        </w:numPr>
        <w:jc w:val="both"/>
        <w:rPr>
          <w:rFonts w:ascii="Arial" w:hAnsi="Arial" w:cs="Arial"/>
        </w:rPr>
      </w:pPr>
      <w:r w:rsidRPr="00315335">
        <w:rPr>
          <w:rFonts w:ascii="Arial" w:hAnsi="Arial" w:cs="Arial"/>
        </w:rPr>
        <w:t>aglomerările umane/localităţile care nu au sisteme de colectare a apelor uzate sau sisteme corespunzătoare de colectare şi eliminare a nămolului din staţiile de epurare, precum şi localităţile care au depozite de deşeuri menajere neconforme;</w:t>
      </w:r>
    </w:p>
    <w:p w:rsidR="00643CB5" w:rsidRPr="00315335" w:rsidRDefault="00643CB5" w:rsidP="00E14739">
      <w:pPr>
        <w:pStyle w:val="Listparagraf"/>
        <w:numPr>
          <w:ilvl w:val="0"/>
          <w:numId w:val="21"/>
        </w:numPr>
        <w:jc w:val="both"/>
        <w:rPr>
          <w:rFonts w:ascii="Arial" w:hAnsi="Arial" w:cs="Arial"/>
        </w:rPr>
      </w:pPr>
      <w:r w:rsidRPr="00315335">
        <w:rPr>
          <w:rFonts w:ascii="Arial" w:hAnsi="Arial" w:cs="Arial"/>
        </w:rPr>
        <w:lastRenderedPageBreak/>
        <w:t>fermele agro-zootehnice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643CB5" w:rsidRPr="00315335" w:rsidRDefault="00643CB5" w:rsidP="00E14739">
      <w:pPr>
        <w:pStyle w:val="Listparagraf"/>
        <w:numPr>
          <w:ilvl w:val="0"/>
          <w:numId w:val="21"/>
        </w:numPr>
        <w:jc w:val="both"/>
        <w:rPr>
          <w:rFonts w:ascii="Arial" w:hAnsi="Arial" w:cs="Arial"/>
        </w:rPr>
      </w:pPr>
      <w:r w:rsidRPr="00315335">
        <w:rPr>
          <w:rFonts w:ascii="Arial" w:hAnsi="Arial" w:cs="Arial"/>
        </w:rPr>
        <w:t>depozitele de materii prime, produse finite, produse auxiliare, stocare de deşeuri neconforme, unităţi ce produc poluări accidentale difuze, situri industriale abandonate.</w:t>
      </w:r>
    </w:p>
    <w:p w:rsidR="00643CB5" w:rsidRPr="00315335" w:rsidRDefault="00643CB5" w:rsidP="00643CB5">
      <w:pPr>
        <w:jc w:val="both"/>
        <w:rPr>
          <w:rFonts w:ascii="Arial" w:hAnsi="Arial" w:cs="Arial"/>
          <w:sz w:val="24"/>
          <w:szCs w:val="24"/>
        </w:rPr>
      </w:pPr>
      <w:r w:rsidRPr="00315335">
        <w:rPr>
          <w:rFonts w:ascii="Arial" w:hAnsi="Arial" w:cs="Arial"/>
          <w:sz w:val="24"/>
          <w:szCs w:val="24"/>
        </w:rPr>
        <w:t>Presiunile difuze provenite din activităţile agricole sunt dificil de cuantificat. Totuşi, cantităţile de poluanţi emise de sursele difuze de poluare pot fi estimate prin aplicarea unor modele matematice,luând în consideraţie şase căi de producere a poluării difuze: scurgerea pe suprafaţă, scurgerea din reţele de drenaje, scurgerea subterană, scurgerea din zone impermeabile orăşeneşti, depuneri din atmosferă şi eroziunea solului</w:t>
      </w:r>
      <w:r w:rsidRPr="00315335">
        <w:rPr>
          <w:rFonts w:ascii="Arial" w:hAnsi="Arial" w:cs="Arial"/>
        </w:rPr>
        <w:t>.</w:t>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 xml:space="preserve">În ceea ce privește tipul şi mărimea presiunilor antropice care pot afecta </w:t>
      </w:r>
      <w:r w:rsidRPr="00315335">
        <w:rPr>
          <w:rFonts w:ascii="Arial" w:hAnsi="Arial" w:cs="Arial"/>
          <w:b/>
          <w:sz w:val="24"/>
          <w:szCs w:val="24"/>
        </w:rPr>
        <w:t>corpurile de apă subterană</w:t>
      </w:r>
      <w:r w:rsidRPr="00315335">
        <w:rPr>
          <w:rFonts w:ascii="Arial" w:hAnsi="Arial" w:cs="Arial"/>
          <w:sz w:val="24"/>
          <w:szCs w:val="24"/>
        </w:rPr>
        <w:t xml:space="preserve"> (conform Directivei Cadru 2000/60/EC – anexa II – 2.1), se au în vedere:</w:t>
      </w:r>
    </w:p>
    <w:p w:rsidR="00643CB5" w:rsidRPr="00315335" w:rsidRDefault="00643CB5" w:rsidP="00E14739">
      <w:pPr>
        <w:pStyle w:val="Listparagraf"/>
        <w:numPr>
          <w:ilvl w:val="0"/>
          <w:numId w:val="18"/>
        </w:numPr>
        <w:jc w:val="both"/>
        <w:rPr>
          <w:rFonts w:ascii="Arial" w:hAnsi="Arial" w:cs="Arial"/>
        </w:rPr>
      </w:pPr>
      <w:r w:rsidRPr="00315335">
        <w:rPr>
          <w:rFonts w:ascii="Arial" w:hAnsi="Arial" w:cs="Arial"/>
        </w:rPr>
        <w:t>surse de poluare punctiforme și difuze:</w:t>
      </w:r>
    </w:p>
    <w:p w:rsidR="00643CB5" w:rsidRPr="00315335" w:rsidRDefault="00643CB5" w:rsidP="00E14739">
      <w:pPr>
        <w:pStyle w:val="Listparagraf"/>
        <w:numPr>
          <w:ilvl w:val="0"/>
          <w:numId w:val="19"/>
        </w:numPr>
        <w:jc w:val="both"/>
        <w:rPr>
          <w:rFonts w:ascii="Arial" w:hAnsi="Arial" w:cs="Arial"/>
        </w:rPr>
      </w:pPr>
      <w:r w:rsidRPr="00315335">
        <w:rPr>
          <w:rFonts w:ascii="Arial" w:hAnsi="Arial" w:cs="Arial"/>
        </w:rPr>
        <w:t>sursele de poluare datorate aglomerărilor umane fără sisteme de colectare şi epurare a apele uzate (menajere, industriale, agricole, etc.) sau fără sisteme corespunzătoare de colectare a deşeurilor;</w:t>
      </w:r>
    </w:p>
    <w:p w:rsidR="00643CB5" w:rsidRPr="00315335" w:rsidRDefault="00643CB5" w:rsidP="00E14739">
      <w:pPr>
        <w:pStyle w:val="Listparagraf"/>
        <w:numPr>
          <w:ilvl w:val="0"/>
          <w:numId w:val="19"/>
        </w:numPr>
        <w:jc w:val="both"/>
        <w:rPr>
          <w:rFonts w:ascii="Arial" w:hAnsi="Arial" w:cs="Arial"/>
        </w:rPr>
      </w:pPr>
      <w:r w:rsidRPr="00315335">
        <w:rPr>
          <w:rFonts w:ascii="Arial" w:hAnsi="Arial" w:cs="Arial"/>
        </w:rPr>
        <w:t>surse de poluare difuză determinate de activităţile agricole (ferme agrozootehnice care nu au sisteme corespunzătoare de stocare a gunoiului de grajd, etc) şi activităţile industriale prin depozitele de deşeuri neconforme (deşeuri industriale, menajere, din construcţii, etc);</w:t>
      </w:r>
    </w:p>
    <w:p w:rsidR="00643CB5" w:rsidRPr="00315335" w:rsidRDefault="00643CB5" w:rsidP="00E14739">
      <w:pPr>
        <w:pStyle w:val="Listparagraf"/>
        <w:numPr>
          <w:ilvl w:val="0"/>
          <w:numId w:val="19"/>
        </w:numPr>
        <w:jc w:val="both"/>
        <w:rPr>
          <w:rFonts w:ascii="Arial" w:hAnsi="Arial" w:cs="Arial"/>
        </w:rPr>
      </w:pPr>
      <w:r w:rsidRPr="00315335">
        <w:rPr>
          <w:rFonts w:ascii="Arial" w:hAnsi="Arial" w:cs="Arial"/>
        </w:rPr>
        <w:t>alte activităţi antropice potenţial poluatoare.</w:t>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 xml:space="preserve">Din punct de vedere al impactului asupra stării cantitative a corpurilor de apă subterane, presiunile cantitative sunt considerate captările de apă semnificative, care pot depăşi rata naturală de reîncărcare a acviferului. </w:t>
      </w:r>
    </w:p>
    <w:p w:rsidR="00643CB5" w:rsidRPr="00315335" w:rsidRDefault="00643CB5" w:rsidP="00E14739">
      <w:pPr>
        <w:pStyle w:val="Listparagraf"/>
        <w:numPr>
          <w:ilvl w:val="0"/>
          <w:numId w:val="18"/>
        </w:numPr>
        <w:jc w:val="both"/>
        <w:rPr>
          <w:rFonts w:ascii="Arial" w:hAnsi="Arial" w:cs="Arial"/>
          <w:b/>
          <w:i/>
        </w:rPr>
      </w:pPr>
      <w:r w:rsidRPr="00315335">
        <w:rPr>
          <w:rFonts w:ascii="Arial" w:hAnsi="Arial" w:cs="Arial"/>
          <w:b/>
          <w:i/>
        </w:rPr>
        <w:t>prelevări de apă şi reîncărcarea corpurilor de apă subterană:</w:t>
      </w:r>
    </w:p>
    <w:p w:rsidR="00643CB5" w:rsidRPr="00315335" w:rsidRDefault="00643CB5" w:rsidP="00E14739">
      <w:pPr>
        <w:pStyle w:val="Listparagraf"/>
        <w:numPr>
          <w:ilvl w:val="0"/>
          <w:numId w:val="20"/>
        </w:numPr>
        <w:jc w:val="both"/>
        <w:rPr>
          <w:rFonts w:ascii="Arial" w:hAnsi="Arial" w:cs="Arial"/>
        </w:rPr>
      </w:pPr>
      <w:r w:rsidRPr="00315335">
        <w:rPr>
          <w:rFonts w:ascii="Arial" w:hAnsi="Arial" w:cs="Arial"/>
        </w:rPr>
        <w:t>În ceea ce priveşte balanţa prelevări/reîncarcare, care conduce la evaluarea corpului de apă subterană din punct de vedere cantitativ, nu se semnalează probleme deosebite, prelevările fiind inferioare ratei naturale de realimentare.</w:t>
      </w:r>
    </w:p>
    <w:p w:rsidR="00643CB5" w:rsidRPr="00315335" w:rsidRDefault="00643CB5" w:rsidP="00643CB5">
      <w:pPr>
        <w:spacing w:after="0" w:line="240" w:lineRule="auto"/>
        <w:jc w:val="both"/>
        <w:rPr>
          <w:rFonts w:ascii="Arial" w:hAnsi="Arial" w:cs="Arial"/>
          <w:b/>
          <w:bCs/>
          <w:sz w:val="24"/>
          <w:szCs w:val="24"/>
        </w:rPr>
      </w:pP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b/>
          <w:bCs/>
          <w:sz w:val="24"/>
          <w:szCs w:val="24"/>
        </w:rPr>
        <w:t xml:space="preserve">   II.2.2.2. </w:t>
      </w:r>
      <w:r w:rsidRPr="00315335">
        <w:rPr>
          <w:rFonts w:ascii="Arial" w:hAnsi="Arial" w:cs="Arial"/>
          <w:b/>
          <w:sz w:val="24"/>
          <w:szCs w:val="24"/>
        </w:rPr>
        <w:t>Apele uzate şi reţelele de canalizare</w:t>
      </w:r>
    </w:p>
    <w:p w:rsidR="00643CB5" w:rsidRPr="00315335" w:rsidRDefault="00643CB5" w:rsidP="00643CB5">
      <w:pPr>
        <w:spacing w:after="0" w:line="240" w:lineRule="auto"/>
        <w:jc w:val="both"/>
        <w:rPr>
          <w:rFonts w:ascii="Arial" w:hAnsi="Arial" w:cs="Arial"/>
          <w:sz w:val="24"/>
          <w:szCs w:val="24"/>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sz w:val="24"/>
          <w:szCs w:val="24"/>
        </w:rPr>
        <w:t>Racordarea aglomerărilor umane la sistemele de colectare şi epurare a apelor uzate în județul Brăila la nivelul anului  2018</w:t>
      </w:r>
    </w:p>
    <w:p w:rsidR="00643CB5" w:rsidRPr="00315335" w:rsidRDefault="00643CB5" w:rsidP="00643CB5">
      <w:pPr>
        <w:spacing w:after="0" w:line="240" w:lineRule="auto"/>
        <w:jc w:val="both"/>
        <w:rPr>
          <w:rFonts w:ascii="Arial" w:hAnsi="Arial" w:cs="Arial"/>
          <w:b/>
          <w:sz w:val="24"/>
          <w:szCs w:val="24"/>
        </w:rPr>
      </w:pP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b/>
          <w:sz w:val="24"/>
          <w:szCs w:val="24"/>
        </w:rPr>
        <w:t>Tabel 2.2.2 - 1</w:t>
      </w:r>
      <w:r w:rsidRPr="00315335">
        <w:rPr>
          <w:rFonts w:ascii="Arial" w:hAnsi="Arial" w:cs="Arial"/>
          <w:sz w:val="24"/>
          <w:szCs w:val="24"/>
        </w:rPr>
        <w:t xml:space="preserve"> - Racordarea aglomerărilor umane la sistemele de colectare şi epurare a apelor uzate în județul Brăila pentru anul 2018</w:t>
      </w:r>
    </w:p>
    <w:tbl>
      <w:tblPr>
        <w:tblStyle w:val="Tabelgril"/>
        <w:tblW w:w="0" w:type="auto"/>
        <w:jc w:val="center"/>
        <w:shd w:val="clear" w:color="auto" w:fill="FDE9D9" w:themeFill="accent6" w:themeFillTint="33"/>
        <w:tblLook w:val="04A0" w:firstRow="1" w:lastRow="0" w:firstColumn="1" w:lastColumn="0" w:noHBand="0" w:noVBand="1"/>
      </w:tblPr>
      <w:tblGrid>
        <w:gridCol w:w="2322"/>
        <w:gridCol w:w="1418"/>
        <w:gridCol w:w="1418"/>
        <w:gridCol w:w="1418"/>
      </w:tblGrid>
      <w:tr w:rsidR="00315335" w:rsidRPr="00315335" w:rsidTr="00916B06">
        <w:trPr>
          <w:trHeight w:hRule="exact" w:val="567"/>
          <w:jc w:val="center"/>
        </w:trPr>
        <w:tc>
          <w:tcPr>
            <w:tcW w:w="1418" w:type="dxa"/>
            <w:shd w:val="clear" w:color="auto" w:fill="FDE9D9" w:themeFill="accent6" w:themeFillTint="33"/>
          </w:tcPr>
          <w:p w:rsidR="00643CB5" w:rsidRPr="00315335" w:rsidRDefault="00643CB5" w:rsidP="00916B06">
            <w:pPr>
              <w:jc w:val="center"/>
              <w:rPr>
                <w:b/>
                <w:sz w:val="24"/>
                <w:szCs w:val="24"/>
              </w:rPr>
            </w:pPr>
            <w:r w:rsidRPr="00315335">
              <w:rPr>
                <w:b/>
                <w:sz w:val="24"/>
                <w:szCs w:val="24"/>
              </w:rPr>
              <w:t>Tip de aglomerare/locuitori echivalenti (l.e.)</w:t>
            </w:r>
          </w:p>
        </w:tc>
        <w:tc>
          <w:tcPr>
            <w:tcW w:w="1418" w:type="dxa"/>
            <w:shd w:val="clear" w:color="auto" w:fill="FDE9D9" w:themeFill="accent6" w:themeFillTint="33"/>
          </w:tcPr>
          <w:p w:rsidR="00643CB5" w:rsidRPr="00315335" w:rsidRDefault="00643CB5" w:rsidP="00916B06">
            <w:pPr>
              <w:jc w:val="center"/>
              <w:rPr>
                <w:b/>
                <w:sz w:val="24"/>
                <w:szCs w:val="24"/>
              </w:rPr>
            </w:pPr>
            <w:r w:rsidRPr="00315335">
              <w:rPr>
                <w:b/>
                <w:sz w:val="24"/>
                <w:szCs w:val="24"/>
              </w:rPr>
              <w:t>Număr localități</w:t>
            </w:r>
          </w:p>
        </w:tc>
        <w:tc>
          <w:tcPr>
            <w:tcW w:w="1418" w:type="dxa"/>
            <w:shd w:val="clear" w:color="auto" w:fill="FDE9D9" w:themeFill="accent6" w:themeFillTint="33"/>
          </w:tcPr>
          <w:p w:rsidR="00643CB5" w:rsidRPr="00315335" w:rsidRDefault="00643CB5" w:rsidP="00916B06">
            <w:pPr>
              <w:jc w:val="center"/>
              <w:rPr>
                <w:b/>
                <w:sz w:val="24"/>
                <w:szCs w:val="24"/>
              </w:rPr>
            </w:pPr>
            <w:r w:rsidRPr="00315335">
              <w:rPr>
                <w:b/>
                <w:sz w:val="24"/>
                <w:szCs w:val="24"/>
              </w:rPr>
              <w:t>Număr locuitori echivalenți</w:t>
            </w:r>
          </w:p>
        </w:tc>
        <w:tc>
          <w:tcPr>
            <w:tcW w:w="1418" w:type="dxa"/>
            <w:shd w:val="clear" w:color="auto" w:fill="FDE9D9" w:themeFill="accent6" w:themeFillTint="33"/>
          </w:tcPr>
          <w:p w:rsidR="00643CB5" w:rsidRPr="00315335" w:rsidRDefault="00643CB5" w:rsidP="00916B06">
            <w:pPr>
              <w:jc w:val="center"/>
              <w:rPr>
                <w:b/>
                <w:sz w:val="24"/>
                <w:szCs w:val="24"/>
              </w:rPr>
            </w:pPr>
            <w:r w:rsidRPr="00315335">
              <w:rPr>
                <w:b/>
                <w:sz w:val="24"/>
                <w:szCs w:val="24"/>
              </w:rPr>
              <w:t>Numele localităților racordate</w:t>
            </w:r>
          </w:p>
        </w:tc>
      </w:tr>
      <w:tr w:rsidR="00315335" w:rsidRPr="00315335" w:rsidTr="00916B06">
        <w:trPr>
          <w:trHeight w:hRule="exact" w:val="567"/>
          <w:jc w:val="center"/>
        </w:trPr>
        <w:tc>
          <w:tcPr>
            <w:tcW w:w="1418" w:type="dxa"/>
            <w:gridSpan w:val="4"/>
            <w:shd w:val="clear" w:color="auto" w:fill="FDE9D9" w:themeFill="accent6" w:themeFillTint="33"/>
          </w:tcPr>
          <w:p w:rsidR="00643CB5" w:rsidRPr="00315335" w:rsidRDefault="00643CB5" w:rsidP="00916B06">
            <w:pPr>
              <w:jc w:val="center"/>
              <w:rPr>
                <w:b/>
                <w:sz w:val="24"/>
                <w:szCs w:val="24"/>
              </w:rPr>
            </w:pPr>
            <w:r w:rsidRPr="00315335">
              <w:rPr>
                <w:b/>
                <w:sz w:val="24"/>
                <w:szCs w:val="24"/>
              </w:rPr>
              <w:t>Aglomerări Racordate</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pStyle w:val="Listparagraf"/>
              <w:jc w:val="center"/>
            </w:pPr>
            <w:r w:rsidRPr="00315335">
              <w:t>&gt;150.000 l.e.</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1</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180.370</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UAT Braila</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10.000 – 150.000 l.e.</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2000 – 10.000 l.e.</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8</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2828</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Movila Miresii</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3101</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Faurei</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4684</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Ianca</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3624</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Insuratei</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3773</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Tufesti</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3249</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Viziru</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4837</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Chiscani</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3559</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Gropeni</w:t>
            </w:r>
          </w:p>
        </w:tc>
      </w:tr>
      <w:tr w:rsidR="00315335" w:rsidRPr="00315335" w:rsidTr="00916B06">
        <w:trPr>
          <w:trHeight w:hRule="exact" w:val="454"/>
          <w:jc w:val="center"/>
        </w:trPr>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Total</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9</w:t>
            </w:r>
          </w:p>
        </w:tc>
        <w:tc>
          <w:tcPr>
            <w:tcW w:w="1418" w:type="dxa"/>
            <w:shd w:val="clear" w:color="auto" w:fill="FDE9D9" w:themeFill="accent6" w:themeFillTint="33"/>
          </w:tcPr>
          <w:p w:rsidR="00643CB5" w:rsidRPr="00315335" w:rsidRDefault="00643CB5" w:rsidP="00916B06">
            <w:pPr>
              <w:jc w:val="center"/>
              <w:rPr>
                <w:b/>
                <w:sz w:val="24"/>
                <w:szCs w:val="24"/>
              </w:rPr>
            </w:pPr>
            <w:r w:rsidRPr="00315335">
              <w:rPr>
                <w:b/>
                <w:sz w:val="24"/>
                <w:szCs w:val="24"/>
              </w:rPr>
              <w:t>210.025</w:t>
            </w:r>
          </w:p>
        </w:tc>
        <w:tc>
          <w:tcPr>
            <w:tcW w:w="1418" w:type="dxa"/>
            <w:shd w:val="clear" w:color="auto" w:fill="FDE9D9" w:themeFill="accent6" w:themeFillTint="33"/>
          </w:tcPr>
          <w:p w:rsidR="00643CB5" w:rsidRPr="00315335" w:rsidRDefault="00643CB5" w:rsidP="00916B06">
            <w:pPr>
              <w:jc w:val="center"/>
              <w:rPr>
                <w:sz w:val="24"/>
                <w:szCs w:val="24"/>
              </w:rPr>
            </w:pPr>
            <w:r w:rsidRPr="00315335">
              <w:rPr>
                <w:sz w:val="24"/>
                <w:szCs w:val="24"/>
              </w:rPr>
              <w:t>-</w:t>
            </w:r>
          </w:p>
        </w:tc>
      </w:tr>
    </w:tbl>
    <w:p w:rsidR="00643CB5" w:rsidRPr="00315335" w:rsidRDefault="00643CB5" w:rsidP="00643CB5">
      <w:pPr>
        <w:spacing w:after="0" w:line="240" w:lineRule="auto"/>
        <w:jc w:val="both"/>
        <w:rPr>
          <w:rFonts w:ascii="Arial" w:hAnsi="Arial" w:cs="Arial"/>
          <w:sz w:val="24"/>
          <w:szCs w:val="24"/>
        </w:rPr>
      </w:pPr>
    </w:p>
    <w:p w:rsidR="00643CB5" w:rsidRPr="00315335" w:rsidRDefault="00643CB5" w:rsidP="00643CB5">
      <w:pPr>
        <w:spacing w:after="0" w:line="240" w:lineRule="auto"/>
        <w:jc w:val="both"/>
        <w:rPr>
          <w:rFonts w:ascii="Arial" w:hAnsi="Arial" w:cs="Arial"/>
          <w:b/>
          <w:i/>
          <w:sz w:val="20"/>
          <w:szCs w:val="20"/>
        </w:rPr>
      </w:pPr>
      <w:r w:rsidRPr="00315335">
        <w:rPr>
          <w:rFonts w:ascii="Arial" w:hAnsi="Arial" w:cs="Arial"/>
          <w:b/>
          <w:sz w:val="20"/>
          <w:szCs w:val="20"/>
        </w:rPr>
        <w:t xml:space="preserve">           Sursă date : </w:t>
      </w:r>
      <w:r w:rsidRPr="00315335">
        <w:rPr>
          <w:rFonts w:ascii="Arial" w:hAnsi="Arial" w:cs="Arial"/>
          <w:b/>
          <w:i/>
          <w:sz w:val="20"/>
          <w:szCs w:val="20"/>
        </w:rPr>
        <w:t>Compania de Utilități Publice Dunărea Brăila SA</w:t>
      </w:r>
    </w:p>
    <w:p w:rsidR="00643CB5" w:rsidRPr="00315335" w:rsidRDefault="00643CB5" w:rsidP="00643CB5">
      <w:pPr>
        <w:spacing w:after="0" w:line="240" w:lineRule="auto"/>
        <w:jc w:val="both"/>
        <w:rPr>
          <w:rFonts w:ascii="Arial" w:hAnsi="Arial" w:cs="Arial"/>
          <w:b/>
          <w:sz w:val="20"/>
          <w:szCs w:val="20"/>
        </w:rPr>
      </w:pPr>
    </w:p>
    <w:p w:rsidR="00643CB5" w:rsidRPr="00315335" w:rsidRDefault="00643CB5" w:rsidP="00643CB5">
      <w:pPr>
        <w:spacing w:after="0" w:line="240" w:lineRule="auto"/>
        <w:jc w:val="both"/>
        <w:rPr>
          <w:rFonts w:ascii="Arial" w:hAnsi="Arial" w:cs="Arial"/>
          <w:sz w:val="24"/>
          <w:szCs w:val="24"/>
        </w:rPr>
      </w:pPr>
      <w:r w:rsidRPr="00315335">
        <w:rPr>
          <w:rFonts w:ascii="Arial" w:eastAsia="Calibri" w:hAnsi="Arial" w:cs="Arial"/>
          <w:b/>
          <w:sz w:val="24"/>
          <w:szCs w:val="24"/>
          <w:lang w:eastAsia="ar-SA"/>
        </w:rPr>
        <w:t>Tabel 2.2.2 - 2</w:t>
      </w:r>
      <w:r w:rsidRPr="00315335">
        <w:rPr>
          <w:rFonts w:ascii="Arial" w:eastAsia="Calibri" w:hAnsi="Arial" w:cs="Arial"/>
          <w:sz w:val="24"/>
          <w:szCs w:val="24"/>
          <w:lang w:eastAsia="ar-SA"/>
        </w:rPr>
        <w:t xml:space="preserve"> - Evoluţia gradului de epurare  la sistemele de colectare şi epurare a apelor uzate funcționale deservite de CUP în jud. Brăila -  numărul de stații de epurare în funcțiune pe anii de referință și pe grad de epurare ( terțiară, secundară , primară)</w:t>
      </w:r>
    </w:p>
    <w:tbl>
      <w:tblPr>
        <w:tblW w:w="7323" w:type="dxa"/>
        <w:jc w:val="center"/>
        <w:tblLayout w:type="fixed"/>
        <w:tblLook w:val="0000" w:firstRow="0" w:lastRow="0" w:firstColumn="0" w:lastColumn="0" w:noHBand="0" w:noVBand="0"/>
      </w:tblPr>
      <w:tblGrid>
        <w:gridCol w:w="3388"/>
        <w:gridCol w:w="787"/>
        <w:gridCol w:w="787"/>
        <w:gridCol w:w="787"/>
        <w:gridCol w:w="787"/>
        <w:gridCol w:w="787"/>
      </w:tblGrid>
      <w:tr w:rsidR="00643CB5" w:rsidRPr="00315335" w:rsidTr="00916B06">
        <w:trPr>
          <w:jc w:val="center"/>
        </w:trPr>
        <w:tc>
          <w:tcPr>
            <w:tcW w:w="3388" w:type="dxa"/>
            <w:tcBorders>
              <w:top w:val="single" w:sz="4" w:space="0" w:color="000000"/>
              <w:left w:val="single" w:sz="4" w:space="0" w:color="000000"/>
              <w:bottom w:val="single" w:sz="4" w:space="0" w:color="000000"/>
            </w:tcBorders>
            <w:shd w:val="clear" w:color="auto" w:fill="B8CCE4" w:themeFill="accent1" w:themeFillTint="66"/>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b/>
                <w:sz w:val="24"/>
                <w:szCs w:val="24"/>
                <w:lang w:eastAsia="ar-SA"/>
              </w:rPr>
            </w:pPr>
            <w:r w:rsidRPr="00315335">
              <w:rPr>
                <w:rFonts w:ascii="Arial" w:hAnsi="Arial" w:cs="Arial"/>
                <w:b/>
                <w:sz w:val="24"/>
                <w:szCs w:val="24"/>
              </w:rPr>
              <w:t>Județul Brăila</w:t>
            </w:r>
            <w:r w:rsidRPr="00315335">
              <w:rPr>
                <w:rFonts w:ascii="Arial" w:hAnsi="Arial" w:cs="Arial"/>
                <w:sz w:val="24"/>
                <w:szCs w:val="24"/>
              </w:rPr>
              <w:tab/>
            </w:r>
            <w:r w:rsidRPr="00315335">
              <w:rPr>
                <w:rFonts w:ascii="Arial" w:eastAsia="Calibri" w:hAnsi="Arial" w:cs="Arial"/>
                <w:b/>
                <w:sz w:val="24"/>
                <w:szCs w:val="24"/>
                <w:lang w:eastAsia="ar-SA"/>
              </w:rPr>
              <w:t>Județul Brăila</w:t>
            </w:r>
          </w:p>
        </w:tc>
        <w:tc>
          <w:tcPr>
            <w:tcW w:w="78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b/>
                <w:sz w:val="24"/>
                <w:szCs w:val="24"/>
                <w:lang w:eastAsia="ar-SA"/>
              </w:rPr>
            </w:pPr>
            <w:r w:rsidRPr="00315335">
              <w:rPr>
                <w:rFonts w:ascii="Arial" w:eastAsia="Calibri" w:hAnsi="Arial" w:cs="Arial"/>
                <w:b/>
                <w:sz w:val="24"/>
                <w:szCs w:val="24"/>
                <w:lang w:eastAsia="ar-SA"/>
              </w:rPr>
              <w:t>2014</w:t>
            </w:r>
          </w:p>
        </w:tc>
        <w:tc>
          <w:tcPr>
            <w:tcW w:w="787" w:type="dxa"/>
            <w:tcBorders>
              <w:top w:val="single" w:sz="4" w:space="0" w:color="000000"/>
              <w:left w:val="single" w:sz="4" w:space="0" w:color="000000"/>
              <w:bottom w:val="single" w:sz="4" w:space="0" w:color="000000"/>
            </w:tcBorders>
            <w:shd w:val="clear" w:color="auto" w:fill="B8CCE4" w:themeFill="accent1" w:themeFillTint="66"/>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b/>
                <w:sz w:val="24"/>
                <w:szCs w:val="24"/>
                <w:lang w:eastAsia="ar-SA"/>
              </w:rPr>
            </w:pPr>
            <w:r w:rsidRPr="00315335">
              <w:rPr>
                <w:rFonts w:ascii="Arial" w:eastAsia="Calibri" w:hAnsi="Arial" w:cs="Arial"/>
                <w:b/>
                <w:sz w:val="24"/>
                <w:szCs w:val="24"/>
                <w:lang w:eastAsia="ar-SA"/>
              </w:rPr>
              <w:t>2015</w:t>
            </w:r>
          </w:p>
        </w:tc>
        <w:tc>
          <w:tcPr>
            <w:tcW w:w="787" w:type="dxa"/>
            <w:tcBorders>
              <w:top w:val="single" w:sz="4" w:space="0" w:color="000000"/>
              <w:left w:val="single" w:sz="4" w:space="0" w:color="000000"/>
              <w:bottom w:val="single" w:sz="4" w:space="0" w:color="000000"/>
            </w:tcBorders>
            <w:shd w:val="clear" w:color="auto" w:fill="B8CCE4" w:themeFill="accent1" w:themeFillTint="66"/>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b/>
                <w:sz w:val="24"/>
                <w:szCs w:val="24"/>
                <w:lang w:eastAsia="ar-SA"/>
              </w:rPr>
            </w:pPr>
            <w:r w:rsidRPr="00315335">
              <w:rPr>
                <w:rFonts w:ascii="Arial" w:eastAsia="Calibri" w:hAnsi="Arial" w:cs="Arial"/>
                <w:b/>
                <w:sz w:val="24"/>
                <w:szCs w:val="24"/>
                <w:lang w:eastAsia="ar-SA"/>
              </w:rPr>
              <w:t>2016</w:t>
            </w:r>
          </w:p>
        </w:tc>
        <w:tc>
          <w:tcPr>
            <w:tcW w:w="787" w:type="dxa"/>
            <w:tcBorders>
              <w:top w:val="single" w:sz="4" w:space="0" w:color="000000"/>
              <w:left w:val="single" w:sz="4" w:space="0" w:color="000000"/>
              <w:bottom w:val="single" w:sz="4" w:space="0" w:color="000000"/>
            </w:tcBorders>
            <w:shd w:val="clear" w:color="auto" w:fill="B8CCE4" w:themeFill="accent1" w:themeFillTint="66"/>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b/>
                <w:sz w:val="24"/>
                <w:szCs w:val="24"/>
                <w:lang w:eastAsia="ar-SA"/>
              </w:rPr>
            </w:pPr>
            <w:r w:rsidRPr="00315335">
              <w:rPr>
                <w:rFonts w:ascii="Arial" w:eastAsia="Calibri" w:hAnsi="Arial" w:cs="Arial"/>
                <w:b/>
                <w:sz w:val="24"/>
                <w:szCs w:val="24"/>
                <w:lang w:eastAsia="ar-SA"/>
              </w:rPr>
              <w:t>2017</w:t>
            </w:r>
          </w:p>
        </w:tc>
        <w:tc>
          <w:tcPr>
            <w:tcW w:w="787"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b/>
                <w:sz w:val="24"/>
                <w:szCs w:val="24"/>
                <w:lang w:eastAsia="ar-SA"/>
              </w:rPr>
            </w:pPr>
            <w:r w:rsidRPr="00315335">
              <w:rPr>
                <w:rFonts w:ascii="Arial" w:eastAsia="Calibri" w:hAnsi="Arial" w:cs="Arial"/>
                <w:b/>
                <w:sz w:val="24"/>
                <w:szCs w:val="24"/>
                <w:lang w:eastAsia="ar-SA"/>
              </w:rPr>
              <w:t>2018</w:t>
            </w:r>
          </w:p>
        </w:tc>
      </w:tr>
      <w:tr w:rsidR="00643CB5" w:rsidRPr="00315335" w:rsidTr="00916B06">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b/>
                <w:i/>
                <w:sz w:val="24"/>
                <w:szCs w:val="24"/>
                <w:lang w:eastAsia="ar-SA"/>
              </w:rPr>
            </w:pPr>
            <w:r w:rsidRPr="00315335">
              <w:rPr>
                <w:rFonts w:ascii="Arial" w:eastAsia="Calibri" w:hAnsi="Arial" w:cs="Arial"/>
                <w:sz w:val="24"/>
                <w:szCs w:val="24"/>
                <w:lang w:eastAsia="ar-SA"/>
              </w:rPr>
              <w:t>Colectare cu epurare terţiară</w:t>
            </w:r>
          </w:p>
        </w:tc>
        <w:tc>
          <w:tcPr>
            <w:tcW w:w="78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2</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2</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2</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2</w:t>
            </w:r>
          </w:p>
        </w:tc>
        <w:tc>
          <w:tcPr>
            <w:tcW w:w="787"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2</w:t>
            </w:r>
          </w:p>
        </w:tc>
      </w:tr>
      <w:tr w:rsidR="00643CB5" w:rsidRPr="00315335" w:rsidTr="00916B06">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rPr>
                <w:rFonts w:ascii="Arial" w:eastAsia="Calibri" w:hAnsi="Arial" w:cs="Arial"/>
                <w:b/>
                <w:i/>
                <w:sz w:val="24"/>
                <w:szCs w:val="24"/>
                <w:lang w:eastAsia="ar-SA"/>
              </w:rPr>
            </w:pPr>
            <w:r w:rsidRPr="00315335">
              <w:rPr>
                <w:rFonts w:ascii="Arial" w:eastAsia="Calibri" w:hAnsi="Arial" w:cs="Arial"/>
                <w:sz w:val="24"/>
                <w:szCs w:val="24"/>
                <w:lang w:eastAsia="ar-SA"/>
              </w:rPr>
              <w:t>Colectarecu epurare secundară</w:t>
            </w:r>
          </w:p>
        </w:tc>
        <w:tc>
          <w:tcPr>
            <w:tcW w:w="78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1</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1</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1</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2</w:t>
            </w:r>
          </w:p>
        </w:tc>
        <w:tc>
          <w:tcPr>
            <w:tcW w:w="787"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2</w:t>
            </w:r>
          </w:p>
        </w:tc>
      </w:tr>
      <w:tr w:rsidR="00643CB5" w:rsidRPr="00315335" w:rsidTr="00916B06">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rPr>
                <w:rFonts w:ascii="Arial" w:eastAsia="Calibri" w:hAnsi="Arial" w:cs="Arial"/>
                <w:b/>
                <w:i/>
                <w:sz w:val="24"/>
                <w:szCs w:val="24"/>
                <w:lang w:eastAsia="ar-SA"/>
              </w:rPr>
            </w:pPr>
            <w:r w:rsidRPr="00315335">
              <w:rPr>
                <w:rFonts w:ascii="Arial" w:eastAsia="Calibri" w:hAnsi="Arial" w:cs="Arial"/>
                <w:sz w:val="24"/>
                <w:szCs w:val="24"/>
                <w:lang w:eastAsia="ar-SA"/>
              </w:rPr>
              <w:t>Colectare cu epurare primară</w:t>
            </w:r>
          </w:p>
        </w:tc>
        <w:tc>
          <w:tcPr>
            <w:tcW w:w="78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1</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1</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1</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w:t>
            </w:r>
          </w:p>
        </w:tc>
        <w:tc>
          <w:tcPr>
            <w:tcW w:w="787"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w:t>
            </w:r>
          </w:p>
        </w:tc>
      </w:tr>
      <w:tr w:rsidR="00643CB5" w:rsidRPr="00315335" w:rsidTr="00916B06">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Colectare fără epurare</w:t>
            </w:r>
          </w:p>
        </w:tc>
        <w:tc>
          <w:tcPr>
            <w:tcW w:w="78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w:t>
            </w:r>
          </w:p>
        </w:tc>
        <w:tc>
          <w:tcPr>
            <w:tcW w:w="787"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643CB5" w:rsidRPr="00315335" w:rsidRDefault="00643CB5" w:rsidP="00916B06">
            <w:pPr>
              <w:tabs>
                <w:tab w:val="center" w:pos="4680"/>
                <w:tab w:val="right" w:pos="9360"/>
              </w:tabs>
              <w:suppressAutoHyphens/>
              <w:spacing w:after="0" w:line="240" w:lineRule="auto"/>
              <w:jc w:val="both"/>
              <w:rPr>
                <w:rFonts w:ascii="Arial" w:eastAsia="Calibri" w:hAnsi="Arial" w:cs="Arial"/>
                <w:sz w:val="24"/>
                <w:szCs w:val="24"/>
                <w:lang w:eastAsia="ar-SA"/>
              </w:rPr>
            </w:pPr>
            <w:r w:rsidRPr="00315335">
              <w:rPr>
                <w:rFonts w:ascii="Arial" w:eastAsia="Calibri" w:hAnsi="Arial" w:cs="Arial"/>
                <w:sz w:val="24"/>
                <w:szCs w:val="24"/>
                <w:lang w:eastAsia="ar-SA"/>
              </w:rPr>
              <w:t>-</w:t>
            </w:r>
          </w:p>
        </w:tc>
      </w:tr>
    </w:tbl>
    <w:p w:rsidR="00643CB5" w:rsidRPr="00315335" w:rsidRDefault="00643CB5" w:rsidP="00643CB5">
      <w:pPr>
        <w:spacing w:after="0" w:line="240" w:lineRule="auto"/>
        <w:jc w:val="both"/>
        <w:rPr>
          <w:rFonts w:ascii="Arial" w:hAnsi="Arial" w:cs="Arial"/>
          <w:b/>
          <w:i/>
          <w:sz w:val="20"/>
          <w:szCs w:val="20"/>
        </w:rPr>
      </w:pPr>
      <w:r w:rsidRPr="00315335">
        <w:rPr>
          <w:rFonts w:ascii="Arial" w:hAnsi="Arial" w:cs="Arial"/>
          <w:b/>
          <w:sz w:val="20"/>
          <w:szCs w:val="20"/>
        </w:rPr>
        <w:t xml:space="preserve">        Sursă date : </w:t>
      </w:r>
      <w:r w:rsidRPr="00315335">
        <w:rPr>
          <w:rFonts w:ascii="Arial" w:hAnsi="Arial" w:cs="Arial"/>
          <w:b/>
          <w:i/>
          <w:sz w:val="20"/>
          <w:szCs w:val="20"/>
        </w:rPr>
        <w:t>Compania de Utilități Publice Dunărea Brăila SA</w:t>
      </w:r>
    </w:p>
    <w:p w:rsidR="00643CB5" w:rsidRPr="00315335" w:rsidRDefault="00643CB5" w:rsidP="00643CB5">
      <w:pPr>
        <w:spacing w:after="0" w:line="240" w:lineRule="auto"/>
        <w:jc w:val="both"/>
        <w:rPr>
          <w:rFonts w:ascii="Arial" w:hAnsi="Arial" w:cs="Arial"/>
          <w:b/>
          <w:sz w:val="20"/>
          <w:szCs w:val="20"/>
        </w:rPr>
      </w:pPr>
    </w:p>
    <w:p w:rsidR="00643CB5" w:rsidRPr="00315335" w:rsidRDefault="00643CB5" w:rsidP="00643CB5">
      <w:pPr>
        <w:spacing w:after="0" w:line="240" w:lineRule="auto"/>
        <w:jc w:val="both"/>
      </w:pPr>
      <w:r w:rsidRPr="00315335">
        <w:rPr>
          <w:rFonts w:ascii="Arial" w:eastAsia="Calibri" w:hAnsi="Arial" w:cs="Arial"/>
          <w:b/>
          <w:sz w:val="24"/>
          <w:szCs w:val="24"/>
          <w:lang w:eastAsia="ar-SA"/>
        </w:rPr>
        <w:t>Tabel 2.2.2 – 3</w:t>
      </w:r>
      <w:r w:rsidRPr="00315335">
        <w:rPr>
          <w:rFonts w:ascii="Arial" w:eastAsia="Calibri" w:hAnsi="Arial" w:cs="Arial"/>
          <w:sz w:val="24"/>
          <w:szCs w:val="24"/>
          <w:lang w:eastAsia="ar-SA"/>
        </w:rPr>
        <w:t xml:space="preserve"> </w:t>
      </w:r>
      <w:r w:rsidRPr="00315335">
        <w:rPr>
          <w:rFonts w:ascii="Arial" w:hAnsi="Arial" w:cs="Arial"/>
          <w:sz w:val="24"/>
          <w:szCs w:val="24"/>
        </w:rPr>
        <w:t>Populația conectată la stațiile de epurare a apelor uzate</w:t>
      </w:r>
    </w:p>
    <w:tbl>
      <w:tblPr>
        <w:tblStyle w:val="Tabelgril"/>
        <w:tblW w:w="7999" w:type="dxa"/>
        <w:jc w:val="center"/>
        <w:tblLook w:val="04A0" w:firstRow="1" w:lastRow="0" w:firstColumn="1" w:lastColumn="0" w:noHBand="0" w:noVBand="1"/>
      </w:tblPr>
      <w:tblGrid>
        <w:gridCol w:w="1670"/>
        <w:gridCol w:w="1017"/>
        <w:gridCol w:w="1017"/>
        <w:gridCol w:w="1017"/>
        <w:gridCol w:w="1017"/>
        <w:gridCol w:w="1056"/>
        <w:gridCol w:w="1111"/>
        <w:gridCol w:w="222"/>
      </w:tblGrid>
      <w:tr w:rsidR="00315335" w:rsidRPr="00315335" w:rsidTr="00916B06">
        <w:trPr>
          <w:gridAfter w:val="1"/>
          <w:wAfter w:w="233" w:type="dxa"/>
          <w:jc w:val="center"/>
        </w:trPr>
        <w:tc>
          <w:tcPr>
            <w:tcW w:w="1671" w:type="dxa"/>
            <w:shd w:val="clear" w:color="auto" w:fill="B8CCE4" w:themeFill="accent1" w:themeFillTint="66"/>
          </w:tcPr>
          <w:p w:rsidR="00643CB5" w:rsidRPr="00315335" w:rsidRDefault="00643CB5" w:rsidP="00916B06">
            <w:pPr>
              <w:jc w:val="both"/>
              <w:rPr>
                <w:rFonts w:ascii="Arial" w:hAnsi="Arial" w:cs="Arial"/>
                <w:sz w:val="24"/>
                <w:szCs w:val="24"/>
              </w:rPr>
            </w:pPr>
            <w:r w:rsidRPr="00315335">
              <w:rPr>
                <w:rFonts w:ascii="Arial" w:hAnsi="Arial" w:cs="Arial"/>
                <w:sz w:val="24"/>
                <w:szCs w:val="24"/>
              </w:rPr>
              <w:t>Macroregiuni, regiuni de dezvoltare si județe</w:t>
            </w:r>
          </w:p>
        </w:tc>
        <w:tc>
          <w:tcPr>
            <w:tcW w:w="6095" w:type="dxa"/>
            <w:gridSpan w:val="6"/>
            <w:shd w:val="clear" w:color="auto" w:fill="B8CCE4" w:themeFill="accent1" w:themeFillTint="66"/>
          </w:tcPr>
          <w:p w:rsidR="00643CB5" w:rsidRPr="00315335" w:rsidRDefault="00643CB5" w:rsidP="00916B06">
            <w:pPr>
              <w:jc w:val="both"/>
              <w:rPr>
                <w:rFonts w:ascii="Arial" w:hAnsi="Arial" w:cs="Arial"/>
                <w:sz w:val="24"/>
                <w:szCs w:val="24"/>
              </w:rPr>
            </w:pPr>
            <w:r w:rsidRPr="00315335">
              <w:rPr>
                <w:rFonts w:ascii="Arial" w:hAnsi="Arial" w:cs="Arial"/>
                <w:sz w:val="24"/>
                <w:szCs w:val="24"/>
              </w:rPr>
              <w:t>Populația conectată la stațiile de epurare a apelor uzate</w:t>
            </w:r>
          </w:p>
          <w:p w:rsidR="00643CB5" w:rsidRPr="00315335" w:rsidRDefault="00643CB5" w:rsidP="00916B06">
            <w:pPr>
              <w:jc w:val="both"/>
              <w:rPr>
                <w:rFonts w:ascii="Arial" w:hAnsi="Arial" w:cs="Arial"/>
                <w:sz w:val="24"/>
                <w:szCs w:val="24"/>
              </w:rPr>
            </w:pPr>
          </w:p>
          <w:p w:rsidR="00643CB5" w:rsidRPr="00315335" w:rsidRDefault="00643CB5" w:rsidP="00916B06">
            <w:pPr>
              <w:jc w:val="both"/>
              <w:rPr>
                <w:rFonts w:ascii="Arial" w:hAnsi="Arial" w:cs="Arial"/>
                <w:sz w:val="24"/>
                <w:szCs w:val="24"/>
              </w:rPr>
            </w:pPr>
            <w:r w:rsidRPr="00315335">
              <w:rPr>
                <w:rFonts w:ascii="Arial" w:hAnsi="Arial" w:cs="Arial"/>
                <w:sz w:val="24"/>
                <w:szCs w:val="24"/>
              </w:rPr>
              <w:t xml:space="preserve">                       (Număr persoane)</w:t>
            </w:r>
          </w:p>
        </w:tc>
      </w:tr>
      <w:tr w:rsidR="00315335" w:rsidRPr="00315335" w:rsidTr="00916B06">
        <w:trPr>
          <w:jc w:val="center"/>
        </w:trPr>
        <w:tc>
          <w:tcPr>
            <w:tcW w:w="1671" w:type="dxa"/>
            <w:shd w:val="clear" w:color="auto" w:fill="EAF1DD" w:themeFill="accent3" w:themeFillTint="33"/>
          </w:tcPr>
          <w:p w:rsidR="00643CB5" w:rsidRPr="00315335" w:rsidRDefault="00643CB5" w:rsidP="00916B06">
            <w:pPr>
              <w:jc w:val="both"/>
              <w:rPr>
                <w:rFonts w:ascii="Arial" w:hAnsi="Arial" w:cs="Arial"/>
                <w:sz w:val="24"/>
                <w:szCs w:val="24"/>
              </w:rPr>
            </w:pPr>
          </w:p>
        </w:tc>
        <w:tc>
          <w:tcPr>
            <w:tcW w:w="836" w:type="dxa"/>
            <w:shd w:val="clear" w:color="auto" w:fill="EAF1DD" w:themeFill="accent3" w:themeFillTint="33"/>
          </w:tcPr>
          <w:p w:rsidR="00643CB5" w:rsidRPr="00315335" w:rsidRDefault="00643CB5" w:rsidP="00916B06">
            <w:pPr>
              <w:jc w:val="both"/>
              <w:rPr>
                <w:rFonts w:ascii="Arial" w:hAnsi="Arial" w:cs="Arial"/>
                <w:b/>
                <w:sz w:val="24"/>
                <w:szCs w:val="24"/>
              </w:rPr>
            </w:pPr>
            <w:r w:rsidRPr="00315335">
              <w:rPr>
                <w:rFonts w:ascii="Arial" w:hAnsi="Arial" w:cs="Arial"/>
                <w:b/>
                <w:sz w:val="24"/>
                <w:szCs w:val="24"/>
              </w:rPr>
              <w:t>2013</w:t>
            </w:r>
          </w:p>
        </w:tc>
        <w:tc>
          <w:tcPr>
            <w:tcW w:w="1062" w:type="dxa"/>
            <w:shd w:val="clear" w:color="auto" w:fill="EAF1DD" w:themeFill="accent3" w:themeFillTint="33"/>
          </w:tcPr>
          <w:p w:rsidR="00643CB5" w:rsidRPr="00315335" w:rsidRDefault="00643CB5" w:rsidP="00916B06">
            <w:pPr>
              <w:jc w:val="both"/>
              <w:rPr>
                <w:rFonts w:ascii="Arial" w:hAnsi="Arial" w:cs="Arial"/>
                <w:b/>
                <w:sz w:val="24"/>
                <w:szCs w:val="24"/>
              </w:rPr>
            </w:pPr>
            <w:r w:rsidRPr="00315335">
              <w:rPr>
                <w:rFonts w:ascii="Arial" w:hAnsi="Arial" w:cs="Arial"/>
                <w:b/>
                <w:sz w:val="24"/>
                <w:szCs w:val="24"/>
              </w:rPr>
              <w:t>2014</w:t>
            </w:r>
          </w:p>
        </w:tc>
        <w:tc>
          <w:tcPr>
            <w:tcW w:w="1062" w:type="dxa"/>
            <w:shd w:val="clear" w:color="auto" w:fill="EAF1DD" w:themeFill="accent3" w:themeFillTint="33"/>
          </w:tcPr>
          <w:p w:rsidR="00643CB5" w:rsidRPr="00315335" w:rsidRDefault="00643CB5" w:rsidP="00916B06">
            <w:pPr>
              <w:jc w:val="both"/>
              <w:rPr>
                <w:rFonts w:ascii="Arial" w:hAnsi="Arial" w:cs="Arial"/>
                <w:b/>
                <w:sz w:val="24"/>
                <w:szCs w:val="24"/>
              </w:rPr>
            </w:pPr>
            <w:r w:rsidRPr="00315335">
              <w:rPr>
                <w:rFonts w:ascii="Arial" w:hAnsi="Arial" w:cs="Arial"/>
                <w:b/>
                <w:sz w:val="24"/>
                <w:szCs w:val="24"/>
              </w:rPr>
              <w:t>2015</w:t>
            </w:r>
          </w:p>
        </w:tc>
        <w:tc>
          <w:tcPr>
            <w:tcW w:w="1062" w:type="dxa"/>
            <w:shd w:val="clear" w:color="auto" w:fill="EAF1DD" w:themeFill="accent3" w:themeFillTint="33"/>
          </w:tcPr>
          <w:p w:rsidR="00643CB5" w:rsidRPr="00315335" w:rsidRDefault="00643CB5" w:rsidP="00916B06">
            <w:pPr>
              <w:jc w:val="both"/>
              <w:rPr>
                <w:rFonts w:ascii="Arial" w:hAnsi="Arial" w:cs="Arial"/>
                <w:b/>
                <w:sz w:val="24"/>
                <w:szCs w:val="24"/>
              </w:rPr>
            </w:pPr>
            <w:r w:rsidRPr="00315335">
              <w:rPr>
                <w:rFonts w:ascii="Arial" w:hAnsi="Arial" w:cs="Arial"/>
                <w:b/>
                <w:sz w:val="24"/>
                <w:szCs w:val="24"/>
              </w:rPr>
              <w:t>2016</w:t>
            </w:r>
          </w:p>
        </w:tc>
        <w:tc>
          <w:tcPr>
            <w:tcW w:w="1017" w:type="dxa"/>
            <w:shd w:val="clear" w:color="auto" w:fill="EAF1DD" w:themeFill="accent3" w:themeFillTint="33"/>
          </w:tcPr>
          <w:p w:rsidR="00643CB5" w:rsidRPr="00315335" w:rsidRDefault="00643CB5" w:rsidP="00916B06">
            <w:pPr>
              <w:jc w:val="both"/>
              <w:rPr>
                <w:rFonts w:ascii="Arial" w:hAnsi="Arial" w:cs="Arial"/>
                <w:b/>
                <w:sz w:val="24"/>
                <w:szCs w:val="24"/>
              </w:rPr>
            </w:pPr>
            <w:r w:rsidRPr="00315335">
              <w:rPr>
                <w:rFonts w:ascii="Arial" w:hAnsi="Arial" w:cs="Arial"/>
                <w:b/>
                <w:sz w:val="24"/>
                <w:szCs w:val="24"/>
              </w:rPr>
              <w:t>2017*</w:t>
            </w:r>
          </w:p>
        </w:tc>
        <w:tc>
          <w:tcPr>
            <w:tcW w:w="1056" w:type="dxa"/>
            <w:tcBorders>
              <w:right w:val="single" w:sz="4" w:space="0" w:color="auto"/>
            </w:tcBorders>
            <w:shd w:val="clear" w:color="auto" w:fill="EAF1DD" w:themeFill="accent3" w:themeFillTint="33"/>
          </w:tcPr>
          <w:p w:rsidR="00643CB5" w:rsidRPr="00315335" w:rsidRDefault="00643CB5" w:rsidP="00916B06">
            <w:pPr>
              <w:jc w:val="both"/>
              <w:rPr>
                <w:rFonts w:ascii="Arial" w:hAnsi="Arial" w:cs="Arial"/>
                <w:b/>
                <w:sz w:val="24"/>
                <w:szCs w:val="24"/>
              </w:rPr>
            </w:pPr>
            <w:r w:rsidRPr="00315335">
              <w:rPr>
                <w:rFonts w:ascii="Arial" w:hAnsi="Arial" w:cs="Arial"/>
                <w:b/>
                <w:sz w:val="24"/>
                <w:szCs w:val="24"/>
              </w:rPr>
              <w:t>2018*</w:t>
            </w:r>
          </w:p>
        </w:tc>
        <w:tc>
          <w:tcPr>
            <w:tcW w:w="233" w:type="dxa"/>
            <w:vMerge w:val="restart"/>
            <w:tcBorders>
              <w:top w:val="nil"/>
              <w:left w:val="single" w:sz="4" w:space="0" w:color="auto"/>
              <w:bottom w:val="nil"/>
              <w:right w:val="nil"/>
            </w:tcBorders>
          </w:tcPr>
          <w:p w:rsidR="00643CB5" w:rsidRPr="00315335" w:rsidRDefault="00643CB5" w:rsidP="00916B06">
            <w:pPr>
              <w:jc w:val="both"/>
              <w:rPr>
                <w:rFonts w:ascii="Arial" w:hAnsi="Arial" w:cs="Arial"/>
                <w:sz w:val="24"/>
                <w:szCs w:val="24"/>
              </w:rPr>
            </w:pPr>
          </w:p>
        </w:tc>
      </w:tr>
      <w:tr w:rsidR="00315335" w:rsidRPr="00315335" w:rsidTr="00916B06">
        <w:trPr>
          <w:trHeight w:val="756"/>
          <w:jc w:val="center"/>
        </w:trPr>
        <w:tc>
          <w:tcPr>
            <w:tcW w:w="1671" w:type="dxa"/>
            <w:shd w:val="clear" w:color="auto" w:fill="EAF1DD" w:themeFill="accent3" w:themeFillTint="33"/>
          </w:tcPr>
          <w:p w:rsidR="00643CB5" w:rsidRPr="00315335" w:rsidRDefault="00643CB5" w:rsidP="00916B06">
            <w:pPr>
              <w:jc w:val="both"/>
              <w:rPr>
                <w:rFonts w:ascii="Arial" w:hAnsi="Arial" w:cs="Arial"/>
                <w:sz w:val="24"/>
                <w:szCs w:val="24"/>
              </w:rPr>
            </w:pPr>
            <w:r w:rsidRPr="00315335">
              <w:rPr>
                <w:rFonts w:ascii="Arial" w:hAnsi="Arial" w:cs="Arial"/>
                <w:sz w:val="24"/>
                <w:szCs w:val="24"/>
              </w:rPr>
              <w:t>Brăila</w:t>
            </w:r>
          </w:p>
        </w:tc>
        <w:tc>
          <w:tcPr>
            <w:tcW w:w="836" w:type="dxa"/>
            <w:shd w:val="clear" w:color="auto" w:fill="EAF1DD" w:themeFill="accent3" w:themeFillTint="33"/>
            <w:vAlign w:val="center"/>
          </w:tcPr>
          <w:p w:rsidR="00643CB5" w:rsidRPr="00315335" w:rsidRDefault="00643CB5" w:rsidP="00916B06">
            <w:pPr>
              <w:jc w:val="both"/>
              <w:rPr>
                <w:rFonts w:ascii="Arial" w:hAnsi="Arial" w:cs="Arial"/>
                <w:sz w:val="24"/>
                <w:szCs w:val="24"/>
              </w:rPr>
            </w:pPr>
            <w:r w:rsidRPr="00315335">
              <w:rPr>
                <w:rFonts w:ascii="Arial" w:hAnsi="Arial" w:cs="Arial"/>
                <w:sz w:val="24"/>
                <w:szCs w:val="24"/>
              </w:rPr>
              <w:t>154610</w:t>
            </w:r>
          </w:p>
        </w:tc>
        <w:tc>
          <w:tcPr>
            <w:tcW w:w="1062" w:type="dxa"/>
            <w:shd w:val="clear" w:color="auto" w:fill="EAF1DD" w:themeFill="accent3" w:themeFillTint="33"/>
            <w:vAlign w:val="center"/>
          </w:tcPr>
          <w:p w:rsidR="00643CB5" w:rsidRPr="00315335" w:rsidRDefault="00643CB5" w:rsidP="00916B06">
            <w:pPr>
              <w:jc w:val="both"/>
              <w:rPr>
                <w:rFonts w:ascii="Arial" w:hAnsi="Arial" w:cs="Arial"/>
                <w:sz w:val="24"/>
                <w:szCs w:val="24"/>
              </w:rPr>
            </w:pPr>
            <w:r w:rsidRPr="00315335">
              <w:rPr>
                <w:rFonts w:ascii="Arial" w:hAnsi="Arial" w:cs="Arial"/>
                <w:sz w:val="24"/>
                <w:szCs w:val="24"/>
              </w:rPr>
              <w:t>157770</w:t>
            </w:r>
          </w:p>
        </w:tc>
        <w:tc>
          <w:tcPr>
            <w:tcW w:w="1062" w:type="dxa"/>
            <w:shd w:val="clear" w:color="auto" w:fill="EAF1DD" w:themeFill="accent3" w:themeFillTint="33"/>
            <w:vAlign w:val="center"/>
          </w:tcPr>
          <w:p w:rsidR="00643CB5" w:rsidRPr="00315335" w:rsidRDefault="00643CB5" w:rsidP="00916B06">
            <w:pPr>
              <w:jc w:val="both"/>
              <w:rPr>
                <w:rFonts w:ascii="Arial" w:hAnsi="Arial" w:cs="Arial"/>
                <w:sz w:val="24"/>
                <w:szCs w:val="24"/>
              </w:rPr>
            </w:pPr>
            <w:r w:rsidRPr="00315335">
              <w:rPr>
                <w:rFonts w:ascii="Arial" w:hAnsi="Arial" w:cs="Arial"/>
                <w:sz w:val="24"/>
                <w:szCs w:val="24"/>
              </w:rPr>
              <w:t>160634</w:t>
            </w:r>
          </w:p>
        </w:tc>
        <w:tc>
          <w:tcPr>
            <w:tcW w:w="1062" w:type="dxa"/>
            <w:shd w:val="clear" w:color="auto" w:fill="EAF1DD" w:themeFill="accent3" w:themeFillTint="33"/>
            <w:vAlign w:val="center"/>
          </w:tcPr>
          <w:p w:rsidR="00643CB5" w:rsidRPr="00315335" w:rsidRDefault="00643CB5" w:rsidP="00916B06">
            <w:pPr>
              <w:jc w:val="both"/>
              <w:rPr>
                <w:rFonts w:ascii="Arial" w:hAnsi="Arial" w:cs="Arial"/>
                <w:sz w:val="24"/>
                <w:szCs w:val="24"/>
              </w:rPr>
            </w:pPr>
            <w:r w:rsidRPr="00315335">
              <w:rPr>
                <w:rFonts w:ascii="Arial" w:hAnsi="Arial" w:cs="Arial"/>
                <w:sz w:val="24"/>
                <w:szCs w:val="24"/>
              </w:rPr>
              <w:t>167805</w:t>
            </w:r>
          </w:p>
        </w:tc>
        <w:tc>
          <w:tcPr>
            <w:tcW w:w="1017" w:type="dxa"/>
            <w:shd w:val="clear" w:color="auto" w:fill="EAF1DD" w:themeFill="accent3" w:themeFillTint="33"/>
            <w:vAlign w:val="center"/>
          </w:tcPr>
          <w:p w:rsidR="00643CB5" w:rsidRPr="00315335" w:rsidRDefault="00643CB5" w:rsidP="00916B06">
            <w:pPr>
              <w:jc w:val="both"/>
              <w:rPr>
                <w:rFonts w:ascii="Arial" w:hAnsi="Arial" w:cs="Arial"/>
                <w:sz w:val="24"/>
                <w:szCs w:val="24"/>
              </w:rPr>
            </w:pPr>
            <w:r w:rsidRPr="00315335">
              <w:rPr>
                <w:sz w:val="24"/>
                <w:szCs w:val="24"/>
              </w:rPr>
              <w:t>201629*</w:t>
            </w:r>
          </w:p>
        </w:tc>
        <w:tc>
          <w:tcPr>
            <w:tcW w:w="1056" w:type="dxa"/>
            <w:tcBorders>
              <w:right w:val="single" w:sz="4" w:space="0" w:color="auto"/>
            </w:tcBorders>
            <w:shd w:val="clear" w:color="auto" w:fill="EAF1DD" w:themeFill="accent3" w:themeFillTint="33"/>
            <w:vAlign w:val="center"/>
          </w:tcPr>
          <w:p w:rsidR="00643CB5" w:rsidRPr="00315335" w:rsidRDefault="00643CB5" w:rsidP="00916B06">
            <w:pPr>
              <w:jc w:val="both"/>
              <w:rPr>
                <w:rFonts w:ascii="Arial" w:hAnsi="Arial" w:cs="Arial"/>
                <w:sz w:val="24"/>
                <w:szCs w:val="24"/>
              </w:rPr>
            </w:pPr>
            <w:r w:rsidRPr="00315335">
              <w:rPr>
                <w:rFonts w:ascii="Arial" w:hAnsi="Arial" w:cs="Arial"/>
                <w:sz w:val="24"/>
                <w:szCs w:val="24"/>
              </w:rPr>
              <w:t>210025*</w:t>
            </w:r>
          </w:p>
        </w:tc>
        <w:tc>
          <w:tcPr>
            <w:tcW w:w="233" w:type="dxa"/>
            <w:vMerge/>
            <w:tcBorders>
              <w:top w:val="nil"/>
              <w:left w:val="single" w:sz="4" w:space="0" w:color="auto"/>
              <w:bottom w:val="nil"/>
              <w:right w:val="nil"/>
            </w:tcBorders>
            <w:vAlign w:val="center"/>
          </w:tcPr>
          <w:p w:rsidR="00643CB5" w:rsidRPr="00315335" w:rsidRDefault="00643CB5" w:rsidP="00916B06">
            <w:pPr>
              <w:jc w:val="both"/>
              <w:rPr>
                <w:rFonts w:ascii="Arial" w:hAnsi="Arial" w:cs="Arial"/>
                <w:sz w:val="24"/>
                <w:szCs w:val="24"/>
              </w:rPr>
            </w:pPr>
          </w:p>
        </w:tc>
      </w:tr>
    </w:tbl>
    <w:p w:rsidR="00643CB5" w:rsidRPr="00315335" w:rsidRDefault="00643CB5" w:rsidP="00643CB5">
      <w:pPr>
        <w:spacing w:after="0" w:line="240" w:lineRule="auto"/>
        <w:jc w:val="both"/>
        <w:rPr>
          <w:rFonts w:ascii="Arial" w:hAnsi="Arial" w:cs="Arial"/>
          <w:b/>
        </w:rPr>
      </w:pPr>
      <w:r w:rsidRPr="00315335">
        <w:rPr>
          <w:rFonts w:ascii="Arial" w:hAnsi="Arial" w:cs="Arial"/>
          <w:b/>
        </w:rPr>
        <w:t xml:space="preserve">                    Sursa : </w:t>
      </w:r>
      <w:r w:rsidRPr="00315335">
        <w:rPr>
          <w:rFonts w:ascii="Arial" w:hAnsi="Arial" w:cs="Arial"/>
          <w:b/>
          <w:i/>
        </w:rPr>
        <w:t xml:space="preserve">INSSE – indicatori dezvoltare durabilă; * date CUP </w:t>
      </w:r>
      <w:r w:rsidRPr="00315335">
        <w:rPr>
          <w:rFonts w:ascii="Arial" w:hAnsi="Arial" w:cs="Arial"/>
          <w:b/>
          <w:i/>
          <w:sz w:val="20"/>
          <w:szCs w:val="20"/>
        </w:rPr>
        <w:t>Dunărea</w:t>
      </w:r>
      <w:r w:rsidRPr="00315335">
        <w:rPr>
          <w:rFonts w:ascii="Arial" w:hAnsi="Arial" w:cs="Arial"/>
          <w:b/>
          <w:i/>
        </w:rPr>
        <w:t xml:space="preserve"> Brăila</w:t>
      </w:r>
    </w:p>
    <w:p w:rsidR="00643CB5" w:rsidRPr="00315335" w:rsidRDefault="00643CB5" w:rsidP="00643CB5">
      <w:pPr>
        <w:spacing w:after="0" w:line="240" w:lineRule="auto"/>
        <w:jc w:val="both"/>
      </w:pPr>
    </w:p>
    <w:p w:rsidR="00643CB5" w:rsidRPr="00315335" w:rsidRDefault="00643CB5" w:rsidP="00643CB5">
      <w:pPr>
        <w:spacing w:after="0" w:line="240" w:lineRule="auto"/>
        <w:jc w:val="both"/>
      </w:pPr>
    </w:p>
    <w:p w:rsidR="00643CB5" w:rsidRPr="00315335" w:rsidRDefault="00643CB5" w:rsidP="00643CB5">
      <w:pPr>
        <w:spacing w:after="0" w:line="240" w:lineRule="auto"/>
        <w:jc w:val="center"/>
        <w:rPr>
          <w:rFonts w:ascii="Arial" w:hAnsi="Arial" w:cs="Arial"/>
          <w:b/>
          <w:sz w:val="24"/>
          <w:szCs w:val="24"/>
        </w:rPr>
      </w:pPr>
      <w:r w:rsidRPr="00315335">
        <w:rPr>
          <w:rFonts w:ascii="Arial" w:hAnsi="Arial" w:cs="Arial"/>
          <w:b/>
          <w:noProof/>
          <w:sz w:val="24"/>
          <w:szCs w:val="24"/>
        </w:rPr>
        <w:drawing>
          <wp:inline distT="0" distB="0" distL="0" distR="0" wp14:anchorId="638279A2" wp14:editId="1F812235">
            <wp:extent cx="4210050" cy="2371725"/>
            <wp:effectExtent l="19050" t="0" r="19050" b="0"/>
            <wp:docPr id="20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43CB5" w:rsidRPr="00315335" w:rsidRDefault="00643CB5" w:rsidP="00643CB5">
      <w:pPr>
        <w:spacing w:after="0" w:line="240" w:lineRule="auto"/>
        <w:jc w:val="center"/>
        <w:rPr>
          <w:rFonts w:ascii="Arial" w:hAnsi="Arial" w:cs="Arial"/>
          <w:b/>
          <w:sz w:val="24"/>
          <w:szCs w:val="24"/>
        </w:rPr>
      </w:pPr>
    </w:p>
    <w:p w:rsidR="00643CB5" w:rsidRPr="00315335" w:rsidRDefault="00643CB5" w:rsidP="00643CB5">
      <w:pPr>
        <w:spacing w:after="0" w:line="240" w:lineRule="auto"/>
        <w:jc w:val="both"/>
        <w:rPr>
          <w:rFonts w:ascii="Arial" w:hAnsi="Arial" w:cs="Arial"/>
          <w:b/>
          <w:sz w:val="24"/>
          <w:szCs w:val="24"/>
        </w:rPr>
      </w:pPr>
      <w:r w:rsidRPr="00315335">
        <w:rPr>
          <w:rFonts w:ascii="Arial" w:hAnsi="Arial" w:cs="Arial"/>
          <w:b/>
          <w:sz w:val="24"/>
          <w:szCs w:val="24"/>
        </w:rPr>
        <w:t xml:space="preserve">Fig 2.2.2 - 1 Evoluția conectării populației </w:t>
      </w:r>
      <w:r w:rsidRPr="00315335">
        <w:rPr>
          <w:rFonts w:ascii="Arial" w:eastAsia="Calibri" w:hAnsi="Arial" w:cs="Arial"/>
          <w:b/>
          <w:sz w:val="24"/>
          <w:szCs w:val="24"/>
          <w:lang w:eastAsia="ar-SA"/>
        </w:rPr>
        <w:t>jud. Brăila</w:t>
      </w:r>
      <w:r w:rsidRPr="00315335">
        <w:rPr>
          <w:rFonts w:ascii="Arial" w:hAnsi="Arial" w:cs="Arial"/>
          <w:b/>
          <w:sz w:val="24"/>
          <w:szCs w:val="24"/>
        </w:rPr>
        <w:t xml:space="preserve"> la stațiile de epurare a apelor uzate în perioada 2012 – 2018</w:t>
      </w:r>
    </w:p>
    <w:p w:rsidR="00643CB5" w:rsidRPr="00315335" w:rsidRDefault="00643CB5" w:rsidP="00643CB5">
      <w:pPr>
        <w:pStyle w:val="Default"/>
        <w:jc w:val="both"/>
        <w:rPr>
          <w:rFonts w:ascii="Arial" w:hAnsi="Arial" w:cs="Arial"/>
          <w:b/>
          <w:bCs/>
          <w:iCs/>
          <w:color w:val="auto"/>
        </w:rPr>
      </w:pPr>
    </w:p>
    <w:p w:rsidR="00643CB5" w:rsidRPr="00315335" w:rsidRDefault="00643CB5" w:rsidP="00643CB5">
      <w:pPr>
        <w:pStyle w:val="Default"/>
        <w:jc w:val="both"/>
        <w:rPr>
          <w:rFonts w:ascii="Arial" w:hAnsi="Arial" w:cs="Arial"/>
          <w:b/>
          <w:bCs/>
          <w:iCs/>
          <w:color w:val="auto"/>
        </w:rPr>
      </w:pPr>
      <w:r w:rsidRPr="00315335">
        <w:rPr>
          <w:rFonts w:ascii="Arial" w:hAnsi="Arial" w:cs="Arial"/>
          <w:b/>
          <w:bCs/>
          <w:iCs/>
          <w:color w:val="auto"/>
        </w:rPr>
        <w:t xml:space="preserve">II. 2.3. Tendinţe şi prognoze privind calitatea apei  </w:t>
      </w:r>
    </w:p>
    <w:p w:rsidR="00643CB5" w:rsidRPr="00315335" w:rsidRDefault="00643CB5" w:rsidP="00643CB5">
      <w:pPr>
        <w:pStyle w:val="Default"/>
        <w:jc w:val="both"/>
        <w:rPr>
          <w:rFonts w:ascii="Arial" w:hAnsi="Arial" w:cs="Arial"/>
          <w:i/>
          <w:iCs/>
          <w:color w:val="auto"/>
        </w:rPr>
      </w:pPr>
      <w:r w:rsidRPr="00315335">
        <w:rPr>
          <w:rFonts w:ascii="Arial" w:hAnsi="Arial" w:cs="Arial"/>
          <w:bCs/>
          <w:i/>
          <w:iCs/>
          <w:color w:val="auto"/>
        </w:rPr>
        <w:t>date de la INHGA /</w:t>
      </w:r>
      <w:r w:rsidRPr="00315335">
        <w:rPr>
          <w:rFonts w:ascii="Arial" w:hAnsi="Arial" w:cs="Arial"/>
          <w:i/>
          <w:color w:val="auto"/>
        </w:rPr>
        <w:t xml:space="preserve"> Administrația Națională „Apele Române”</w:t>
      </w:r>
      <w:r w:rsidRPr="00315335">
        <w:rPr>
          <w:rFonts w:ascii="Arial" w:hAnsi="Arial" w:cs="Arial"/>
          <w:bCs/>
          <w:i/>
          <w:iCs/>
          <w:color w:val="auto"/>
        </w:rPr>
        <w:t xml:space="preserve"> - 2018</w:t>
      </w:r>
      <w:r w:rsidRPr="00315335">
        <w:rPr>
          <w:rFonts w:ascii="Arial" w:hAnsi="Arial" w:cs="Arial"/>
          <w:i/>
          <w:color w:val="auto"/>
        </w:rPr>
        <w:t xml:space="preserve"> </w:t>
      </w:r>
    </w:p>
    <w:p w:rsidR="00643CB5" w:rsidRPr="00315335" w:rsidRDefault="00643CB5" w:rsidP="00643CB5">
      <w:pPr>
        <w:pStyle w:val="Default"/>
        <w:jc w:val="both"/>
        <w:rPr>
          <w:rFonts w:ascii="Arial" w:hAnsi="Arial" w:cs="Arial"/>
          <w:color w:val="auto"/>
        </w:rPr>
      </w:pP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Având în vedere natura substanţelor poluante din apele uzate, cât şi sursele de poluare aferente,gospodărirea apelor uzate se realizează în acord cu prevederile europene în domeniul apelor, în special cu celeale Directivei Cadru a Apei (Directiva 2000/60/CE), care stabileşte cadrul politic de gestionare a apelor înUniunea Europeană, bazat pe principiile dezvoltării durabile şi care integrează toate problemele apei. </w:t>
      </w: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lastRenderedPageBreak/>
        <w:t xml:space="preserve">Următoarele problematici importante privind gospodărirea apelor care afectează în mod direct sau indirect starea apelor de suprafaţă şi apelor subterane, cu impact major în gestiunea resurselor de apă au fost identificate: poluarea cu substanţe organice, poluarea cu nutrienţi, poluarea cu substanţe periculoase și alterările hidromorfologice. </w:t>
      </w: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b/>
          <w:i/>
          <w:sz w:val="24"/>
          <w:szCs w:val="24"/>
          <w:lang w:val="it-IT"/>
        </w:rPr>
        <w:t>Poluarea cu substanţe organice</w:t>
      </w:r>
      <w:r w:rsidRPr="00315335">
        <w:rPr>
          <w:rFonts w:ascii="Arial" w:hAnsi="Arial" w:cs="Arial"/>
          <w:sz w:val="24"/>
          <w:szCs w:val="24"/>
          <w:lang w:val="it-IT"/>
        </w:rPr>
        <w:t xml:space="preserve"> este cauzată în principal de emisiile directe sau indirecte de ape uzate insuficient epurate sau neepurate de la aglomerări umane, din surse industriale sau agricole, și produce schimbări semnificative în balanţa oxigenului în apele de suprafaţă şi în consecinţă are impact asupra compoziţiei speciilor/populaţiilor acvatice şi respectiv, asupra stării ecologice a apelor. </w:t>
      </w: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O problemă importantă de gospodărirea apelor este </w:t>
      </w:r>
      <w:r w:rsidRPr="00315335">
        <w:rPr>
          <w:rFonts w:ascii="Arial" w:hAnsi="Arial" w:cs="Arial"/>
          <w:b/>
          <w:i/>
          <w:sz w:val="24"/>
          <w:szCs w:val="24"/>
          <w:lang w:val="it-IT"/>
        </w:rPr>
        <w:t>poluarea cu nutrienți</w:t>
      </w:r>
      <w:r w:rsidRPr="00315335">
        <w:rPr>
          <w:rFonts w:ascii="Arial" w:hAnsi="Arial" w:cs="Arial"/>
          <w:sz w:val="24"/>
          <w:szCs w:val="24"/>
          <w:lang w:val="it-IT"/>
        </w:rPr>
        <w:t>, în special cu azot și fosfor. Nutrienţii în exces conduc la eutrofizarea apelor, ceea ce determină schimbarea compoziţiei și scăderea biodiversitatii speciilor, precum şi reducerea posibilității de utilizare a resurselor de apă în scop potabil, recreațional,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Directiva </w:t>
      </w:r>
      <w:r w:rsidRPr="00315335">
        <w:rPr>
          <w:rFonts w:ascii="Arial" w:hAnsi="Arial" w:cs="Arial"/>
          <w:i/>
          <w:sz w:val="24"/>
          <w:szCs w:val="24"/>
          <w:lang w:val="it-IT"/>
        </w:rPr>
        <w:t>Consiliului 91/676/EEC privind Protecţia apelor împotriva poluării cu nitraţi din surse agricole</w:t>
      </w:r>
      <w:r w:rsidRPr="00315335">
        <w:rPr>
          <w:rFonts w:ascii="Arial" w:hAnsi="Arial" w:cs="Arial"/>
          <w:sz w:val="24"/>
          <w:szCs w:val="24"/>
          <w:lang w:val="it-IT"/>
        </w:rPr>
        <w:t xml:space="preserve"> este principalul instrument comunitar care reglementează poluarea cu nitrați provenită din agricultură. 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completările şi modificările ulterioare.</w:t>
      </w:r>
    </w:p>
    <w:p w:rsidR="00643CB5" w:rsidRPr="00315335" w:rsidRDefault="00643CB5" w:rsidP="00643CB5">
      <w:pPr>
        <w:pStyle w:val="Default"/>
        <w:ind w:firstLine="708"/>
        <w:jc w:val="both"/>
        <w:rPr>
          <w:rFonts w:ascii="Arial" w:hAnsi="Arial" w:cs="Arial"/>
          <w:color w:val="auto"/>
        </w:rPr>
      </w:pPr>
      <w:r w:rsidRPr="00315335">
        <w:rPr>
          <w:rFonts w:ascii="Arial" w:hAnsi="Arial" w:cs="Arial"/>
          <w:bCs/>
          <w:color w:val="auto"/>
        </w:rPr>
        <w:t xml:space="preserve">Obiectivul principal al Directivei Cadru 2000/60 a Uniunii Europene pentru apă îl reprezintă atingerea “stării bune” a apelor pentru Statele Membre până în anul 2015. În vederea atingerii “stării bune” a apelor se elaborează diferite </w:t>
      </w:r>
      <w:r w:rsidRPr="00315335">
        <w:rPr>
          <w:rFonts w:ascii="Arial" w:hAnsi="Arial" w:cs="Arial"/>
          <w:b/>
          <w:bCs/>
          <w:color w:val="auto"/>
        </w:rPr>
        <w:t>scenarii de prognoză a calității apelor</w:t>
      </w:r>
      <w:r w:rsidRPr="00315335">
        <w:rPr>
          <w:rFonts w:ascii="Arial" w:hAnsi="Arial" w:cs="Arial"/>
          <w:bCs/>
          <w:color w:val="auto"/>
        </w:rPr>
        <w:t xml:space="preserve"> pe ciclu de planificare (2015, 2021 și 2027) care prevăd o serie de măsuri pentru reducerea poluării. În vederea evaluării prognozei privind calitatea apei la nivel de bazin/spaţiu hidrografic,  se au în vedere </w:t>
      </w:r>
      <w:r w:rsidRPr="00315335">
        <w:rPr>
          <w:rFonts w:ascii="Arial" w:hAnsi="Arial" w:cs="Arial"/>
          <w:color w:val="auto"/>
        </w:rPr>
        <w:t xml:space="preserve">două scenarii, şi anume: </w:t>
      </w:r>
    </w:p>
    <w:p w:rsidR="00643CB5" w:rsidRPr="00315335" w:rsidRDefault="00643CB5" w:rsidP="00643CB5">
      <w:pPr>
        <w:pStyle w:val="Default"/>
        <w:ind w:left="708"/>
        <w:jc w:val="both"/>
        <w:rPr>
          <w:rFonts w:ascii="Arial" w:hAnsi="Arial" w:cs="Arial"/>
          <w:color w:val="auto"/>
        </w:rPr>
      </w:pPr>
      <w:r w:rsidRPr="00315335">
        <w:rPr>
          <w:rFonts w:ascii="Arial" w:hAnsi="Arial" w:cs="Arial"/>
          <w:color w:val="auto"/>
        </w:rPr>
        <w:t>–</w:t>
      </w:r>
      <w:r w:rsidRPr="00315335">
        <w:rPr>
          <w:rFonts w:ascii="Arial" w:hAnsi="Arial" w:cs="Arial"/>
          <w:b/>
          <w:bCs/>
          <w:i/>
          <w:iCs/>
          <w:color w:val="auto"/>
        </w:rPr>
        <w:t xml:space="preserve">Scenariul de bază </w:t>
      </w:r>
      <w:r w:rsidRPr="00315335">
        <w:rPr>
          <w:rFonts w:ascii="Arial" w:hAnsi="Arial" w:cs="Arial"/>
          <w:i/>
          <w:iCs/>
          <w:color w:val="auto"/>
        </w:rPr>
        <w:t xml:space="preserve">ce presupune luarea de măsuri pentru implementarea Directivelor europene din domeniul calităţii apei în conformitate cu prevederile a cel puțin fiecărei Directive menționate în Anexa VI A a DCA; </w:t>
      </w:r>
    </w:p>
    <w:p w:rsidR="00643CB5" w:rsidRPr="00315335" w:rsidRDefault="00643CB5" w:rsidP="00643CB5">
      <w:pPr>
        <w:pStyle w:val="Default"/>
        <w:ind w:left="708"/>
        <w:jc w:val="both"/>
        <w:rPr>
          <w:rFonts w:ascii="Arial" w:hAnsi="Arial" w:cs="Arial"/>
          <w:i/>
          <w:iCs/>
          <w:color w:val="auto"/>
        </w:rPr>
      </w:pPr>
      <w:r w:rsidRPr="00315335">
        <w:rPr>
          <w:rFonts w:ascii="Arial" w:hAnsi="Arial" w:cs="Arial"/>
          <w:color w:val="auto"/>
        </w:rPr>
        <w:t xml:space="preserve">– </w:t>
      </w:r>
      <w:r w:rsidRPr="00315335">
        <w:rPr>
          <w:rFonts w:ascii="Arial" w:hAnsi="Arial" w:cs="Arial"/>
          <w:b/>
          <w:bCs/>
          <w:i/>
          <w:iCs/>
          <w:color w:val="auto"/>
        </w:rPr>
        <w:t xml:space="preserve">Scenariul optim </w:t>
      </w:r>
      <w:r w:rsidRPr="00315335">
        <w:rPr>
          <w:rFonts w:ascii="Arial" w:hAnsi="Arial" w:cs="Arial"/>
          <w:i/>
          <w:iCs/>
          <w:color w:val="auto"/>
        </w:rPr>
        <w:t xml:space="preserve">ce presupune măsuri suplimentare faţă de măsurile din scenariul de bază pentru atingerea în 2015 a stării bune sau a potenţialului ecologic bun al apelor în conformitate cu prevederile Directivei Cadru pentru Apă (Anexa VI B). </w:t>
      </w:r>
    </w:p>
    <w:p w:rsidR="00643CB5" w:rsidRPr="00315335" w:rsidRDefault="00643CB5" w:rsidP="00643CB5">
      <w:pPr>
        <w:spacing w:after="0" w:line="240" w:lineRule="auto"/>
        <w:jc w:val="both"/>
        <w:rPr>
          <w:rFonts w:ascii="Arial" w:hAnsi="Arial" w:cs="Arial"/>
          <w:iCs/>
          <w:sz w:val="24"/>
          <w:szCs w:val="24"/>
          <w:lang w:val="it-IT"/>
        </w:rPr>
      </w:pPr>
      <w:r w:rsidRPr="00315335">
        <w:rPr>
          <w:rFonts w:ascii="Arial" w:hAnsi="Arial" w:cs="Arial"/>
          <w:b/>
          <w:iCs/>
          <w:sz w:val="24"/>
          <w:szCs w:val="24"/>
          <w:lang w:val="it-IT"/>
        </w:rPr>
        <w:t>Modelul de prognoză a calității apelor WAQ în ceea ce privește nutrienții - azot total și fosfor total</w:t>
      </w:r>
      <w:r w:rsidRPr="00315335">
        <w:rPr>
          <w:rFonts w:ascii="Arial" w:hAnsi="Arial" w:cs="Arial"/>
          <w:iCs/>
          <w:sz w:val="24"/>
          <w:szCs w:val="24"/>
          <w:lang w:val="it-IT"/>
        </w:rPr>
        <w:t xml:space="preserve"> se utilizează pentru analiza caracterizării bazinelor hidrografice (presiuni semnificative, impact, riscși stabilirea măsurilor de bază (scenariu de bază) și suplimentare (scenariu optim) pentru atingerea obiectivelor de mediu ale corpurilor de apă.</w:t>
      </w: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Potrivit Planului Național de management actualizat aprobat prin HG nr. 859/2016 pentru aprobarea Planului naţional de management actualizat aferent porţiunii din bazinul hidrografic internaţional al fluviului Dunărea care este cuprinsă în teritoriul României, prin aplicarea </w:t>
      </w:r>
      <w:r w:rsidRPr="00315335">
        <w:rPr>
          <w:rFonts w:ascii="Arial" w:hAnsi="Arial" w:cs="Arial"/>
          <w:b/>
          <w:sz w:val="24"/>
          <w:szCs w:val="24"/>
          <w:lang w:val="it-IT"/>
        </w:rPr>
        <w:t>modelului MONERIS</w:t>
      </w:r>
      <w:r w:rsidRPr="00315335">
        <w:rPr>
          <w:rFonts w:ascii="Arial" w:hAnsi="Arial" w:cs="Arial"/>
          <w:sz w:val="24"/>
          <w:szCs w:val="24"/>
          <w:lang w:val="it-IT"/>
        </w:rPr>
        <w:t>(</w:t>
      </w:r>
      <w:r w:rsidRPr="00315335">
        <w:rPr>
          <w:rFonts w:ascii="Arial" w:hAnsi="Arial" w:cs="Arial"/>
          <w:b/>
          <w:sz w:val="24"/>
          <w:szCs w:val="24"/>
          <w:lang w:val="it-IT"/>
        </w:rPr>
        <w:t>MO</w:t>
      </w:r>
      <w:r w:rsidRPr="00315335">
        <w:rPr>
          <w:rFonts w:ascii="Arial" w:hAnsi="Arial" w:cs="Arial"/>
          <w:sz w:val="24"/>
          <w:szCs w:val="24"/>
          <w:lang w:val="it-IT"/>
        </w:rPr>
        <w:t xml:space="preserve">delling </w:t>
      </w:r>
      <w:r w:rsidRPr="00315335">
        <w:rPr>
          <w:rFonts w:ascii="Arial" w:hAnsi="Arial" w:cs="Arial"/>
          <w:b/>
          <w:sz w:val="24"/>
          <w:szCs w:val="24"/>
          <w:lang w:val="it-IT"/>
        </w:rPr>
        <w:t>N</w:t>
      </w:r>
      <w:r w:rsidRPr="00315335">
        <w:rPr>
          <w:rFonts w:ascii="Arial" w:hAnsi="Arial" w:cs="Arial"/>
          <w:sz w:val="24"/>
          <w:szCs w:val="24"/>
          <w:lang w:val="it-IT"/>
        </w:rPr>
        <w:t xml:space="preserve">utrient </w:t>
      </w:r>
      <w:r w:rsidRPr="00315335">
        <w:rPr>
          <w:rFonts w:ascii="Arial" w:hAnsi="Arial" w:cs="Arial"/>
          <w:b/>
          <w:sz w:val="24"/>
          <w:szCs w:val="24"/>
          <w:lang w:val="it-IT"/>
        </w:rPr>
        <w:t>E</w:t>
      </w:r>
      <w:r w:rsidRPr="00315335">
        <w:rPr>
          <w:rFonts w:ascii="Arial" w:hAnsi="Arial" w:cs="Arial"/>
          <w:sz w:val="24"/>
          <w:szCs w:val="24"/>
          <w:lang w:val="it-IT"/>
        </w:rPr>
        <w:t xml:space="preserve">missions in </w:t>
      </w:r>
      <w:r w:rsidRPr="00315335">
        <w:rPr>
          <w:rFonts w:ascii="Arial" w:hAnsi="Arial" w:cs="Arial"/>
          <w:b/>
          <w:sz w:val="24"/>
          <w:szCs w:val="24"/>
          <w:lang w:val="it-IT"/>
        </w:rPr>
        <w:t>RI</w:t>
      </w:r>
      <w:r w:rsidRPr="00315335">
        <w:rPr>
          <w:rFonts w:ascii="Arial" w:hAnsi="Arial" w:cs="Arial"/>
          <w:sz w:val="24"/>
          <w:szCs w:val="24"/>
          <w:lang w:val="it-IT"/>
        </w:rPr>
        <w:t xml:space="preserve">ver </w:t>
      </w:r>
      <w:r w:rsidRPr="00315335">
        <w:rPr>
          <w:rFonts w:ascii="Arial" w:hAnsi="Arial" w:cs="Arial"/>
          <w:b/>
          <w:sz w:val="24"/>
          <w:szCs w:val="24"/>
          <w:lang w:val="it-IT"/>
        </w:rPr>
        <w:t>S</w:t>
      </w:r>
      <w:r w:rsidRPr="00315335">
        <w:rPr>
          <w:rFonts w:ascii="Arial" w:hAnsi="Arial" w:cs="Arial"/>
          <w:sz w:val="24"/>
          <w:szCs w:val="24"/>
          <w:lang w:val="it-IT"/>
        </w:rPr>
        <w:t xml:space="preserve">ystems) se pot realiza scenarii privind prognoza calității apelor, respectiv evaluarea emisiilor de nutrienți și a  potențialul și efectului măsurilor de bază și suplimentare de reducere a nutrienților. </w:t>
      </w: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Comparativ cu evaluarea emisiilor totale (difuze și punctiforme) din Planul Național de Management aprobat prin H.G. nr.80/2011, în perioada 2009-2012 s-a constatat o reducere medie a emisiilor de azot cu cca. 34% și o reducere medie a emisiilor de fosfor cu cca. 45%, datorate în principal implementării măsurilor de îmbunătățire a nivelurilor de colectare și epurare a apelor uzate urbane și reducerii surplusului de azot  din activitățile agricole. </w:t>
      </w: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Limitarea conținutului de fosfor în îngrășăminte trebuie să ia în considerare atât intensitatea activităților agricole, cât și conținutul de fosfor din sol. Astfel, în România se practică o agricultură de intensitate scăzută, iar surplusul de fosfor este sub valoarea europeană, având o valoare negativă (-2 kg/ha) potrivit datelor EUROSTAT.  </w:t>
      </w:r>
    </w:p>
    <w:p w:rsidR="00643CB5" w:rsidRPr="00315335" w:rsidRDefault="00643CB5" w:rsidP="00643CB5">
      <w:pPr>
        <w:spacing w:after="0" w:line="240" w:lineRule="auto"/>
        <w:jc w:val="both"/>
        <w:rPr>
          <w:rFonts w:ascii="Arial" w:hAnsi="Arial" w:cs="Arial"/>
          <w:sz w:val="24"/>
          <w:szCs w:val="24"/>
          <w:lang w:val="it-IT"/>
        </w:rPr>
      </w:pPr>
      <w:r w:rsidRPr="00315335">
        <w:rPr>
          <w:rFonts w:ascii="Arial" w:hAnsi="Arial" w:cs="Arial"/>
          <w:sz w:val="24"/>
          <w:szCs w:val="24"/>
          <w:lang w:val="it-IT"/>
        </w:rPr>
        <w:t xml:space="preserve">Scenariul de bază pentru anul 2021 se axează pe asumări privind implementarea măsurilor pentru sectoarele ape uzate urbane, activități industriale și agricole, în principal măsurile care </w:t>
      </w:r>
      <w:r w:rsidRPr="00315335">
        <w:rPr>
          <w:rFonts w:ascii="Arial" w:hAnsi="Arial" w:cs="Arial"/>
          <w:sz w:val="24"/>
          <w:szCs w:val="24"/>
          <w:lang w:val="it-IT"/>
        </w:rPr>
        <w:lastRenderedPageBreak/>
        <w:t xml:space="preserve">conduc la: creșterea nivelurilor de colectare și epurare a apelor uzate, modificări ale utilizării terenurilor, îmbunătățirea practicilor de rotație a culturilor și schimbarea emisiilor specifice de fosfor pe locuitor.  </w:t>
      </w: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În ceea ce privește evoluția privind căile de producere a emisiilor totale de azot în perioada 2012-2021,reprezentată în figurile II.2.3.1 și II.2.3.2,  rezultatele modelării au arătat că depunerile atmosferice s-au redus cu 5,44%, scurgerea de suprafață a crescut cu 4,04%, iar scurgerea subterană a crescut ușor cu cca. 2%. Restul de căi de producere a emisiilor totale de azot s-au modificat foarte puțin. De asemenea, în figurile II.2.3.3 și II.2.3.4 este redată evoluția privind sursele de emisii totale ale azotului și fosforului în perioada 2012-</w:t>
      </w:r>
      <w:r w:rsidRPr="00315335">
        <w:rPr>
          <w:rFonts w:ascii="Arial" w:hAnsi="Arial" w:cs="Arial"/>
          <w:sz w:val="24"/>
          <w:szCs w:val="24"/>
          <w:lang w:val="it-IT"/>
        </w:rPr>
        <w:tab/>
        <w:t>2021.</w:t>
      </w:r>
      <w:r w:rsidRPr="00315335">
        <w:rPr>
          <w:rFonts w:ascii="Arial" w:hAnsi="Arial" w:cs="Arial"/>
          <w:sz w:val="24"/>
          <w:szCs w:val="24"/>
          <w:lang w:val="it-IT"/>
        </w:rPr>
        <w:tab/>
      </w: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ab/>
      </w:r>
    </w:p>
    <w:p w:rsidR="00643CB5" w:rsidRPr="00315335" w:rsidRDefault="00643CB5" w:rsidP="00643CB5">
      <w:pPr>
        <w:spacing w:after="0" w:line="240" w:lineRule="auto"/>
        <w:jc w:val="both"/>
        <w:rPr>
          <w:rFonts w:ascii="Arial" w:hAnsi="Arial" w:cs="Arial"/>
          <w:b/>
          <w:i/>
          <w:sz w:val="24"/>
          <w:szCs w:val="24"/>
          <w:lang w:val="it-IT"/>
        </w:rPr>
      </w:pPr>
      <w:r w:rsidRPr="00315335">
        <w:rPr>
          <w:rFonts w:ascii="Arial" w:hAnsi="Arial" w:cs="Arial"/>
          <w:b/>
          <w:i/>
          <w:sz w:val="24"/>
          <w:szCs w:val="24"/>
          <w:lang w:val="it-IT"/>
        </w:rPr>
        <w:t>Rezultatele aplicării scenariului de bază  pentru căile de producere a emisiilor de azot în anul 2012 (stânga) și anul 2021  (dreapta)</w:t>
      </w:r>
    </w:p>
    <w:p w:rsidR="00643CB5" w:rsidRPr="00315335" w:rsidRDefault="00643CB5" w:rsidP="00643CB5">
      <w:pPr>
        <w:spacing w:after="0" w:line="240" w:lineRule="auto"/>
        <w:jc w:val="both"/>
        <w:rPr>
          <w:rFonts w:ascii="Arial" w:hAnsi="Arial" w:cs="Arial"/>
          <w:b/>
          <w:sz w:val="24"/>
          <w:szCs w:val="24"/>
          <w:lang w:val="it-IT"/>
        </w:rPr>
      </w:pPr>
      <w:r w:rsidRPr="00315335">
        <w:rPr>
          <w:rFonts w:ascii="Arial" w:hAnsi="Arial" w:cs="Arial"/>
          <w:b/>
          <w:sz w:val="24"/>
          <w:szCs w:val="24"/>
          <w:lang w:val="it-IT"/>
        </w:rPr>
        <w:t xml:space="preserve">Figura II.2.3.1 </w:t>
      </w:r>
    </w:p>
    <w:tbl>
      <w:tblPr>
        <w:tblW w:w="0" w:type="auto"/>
        <w:jc w:val="center"/>
        <w:tblLayout w:type="fixed"/>
        <w:tblLook w:val="04A0" w:firstRow="1" w:lastRow="0" w:firstColumn="1" w:lastColumn="0" w:noHBand="0" w:noVBand="1"/>
      </w:tblPr>
      <w:tblGrid>
        <w:gridCol w:w="4786"/>
        <w:gridCol w:w="4784"/>
      </w:tblGrid>
      <w:tr w:rsidR="00643CB5" w:rsidRPr="00315335" w:rsidTr="00916B06">
        <w:trPr>
          <w:jc w:val="center"/>
        </w:trPr>
        <w:tc>
          <w:tcPr>
            <w:tcW w:w="4786" w:type="dxa"/>
            <w:shd w:val="clear" w:color="auto" w:fill="auto"/>
          </w:tcPr>
          <w:p w:rsidR="00643CB5" w:rsidRPr="00315335" w:rsidRDefault="00643CB5" w:rsidP="00916B06">
            <w:pPr>
              <w:spacing w:after="0" w:line="240" w:lineRule="auto"/>
              <w:jc w:val="both"/>
              <w:rPr>
                <w:rFonts w:ascii="Arial" w:hAnsi="Arial" w:cs="Arial"/>
                <w:sz w:val="24"/>
                <w:szCs w:val="24"/>
                <w:lang w:val="it-IT"/>
              </w:rPr>
            </w:pPr>
            <w:r w:rsidRPr="00315335">
              <w:rPr>
                <w:noProof/>
              </w:rPr>
              <w:drawing>
                <wp:inline distT="0" distB="0" distL="0" distR="0" wp14:anchorId="380A0360" wp14:editId="73305596">
                  <wp:extent cx="2838450" cy="1885950"/>
                  <wp:effectExtent l="19050" t="0" r="0" b="0"/>
                  <wp:docPr id="2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tc>
        <w:tc>
          <w:tcPr>
            <w:tcW w:w="4784" w:type="dxa"/>
            <w:shd w:val="clear" w:color="auto" w:fill="auto"/>
          </w:tcPr>
          <w:p w:rsidR="00643CB5" w:rsidRPr="00315335" w:rsidRDefault="00643CB5" w:rsidP="00916B06">
            <w:pPr>
              <w:spacing w:after="0" w:line="240" w:lineRule="auto"/>
              <w:jc w:val="both"/>
              <w:rPr>
                <w:rFonts w:ascii="Arial" w:hAnsi="Arial" w:cs="Arial"/>
                <w:sz w:val="24"/>
                <w:szCs w:val="24"/>
                <w:lang w:val="it-IT"/>
              </w:rPr>
            </w:pPr>
            <w:r w:rsidRPr="00315335">
              <w:rPr>
                <w:noProof/>
              </w:rPr>
              <w:drawing>
                <wp:inline distT="0" distB="0" distL="0" distR="0" wp14:anchorId="205041EC" wp14:editId="41FDB9E6">
                  <wp:extent cx="2819400" cy="1876425"/>
                  <wp:effectExtent l="19050" t="0" r="0" b="0"/>
                  <wp:docPr id="23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srcRect/>
                          <a:stretch>
                            <a:fillRect/>
                          </a:stretch>
                        </pic:blipFill>
                        <pic:spPr bwMode="auto">
                          <a:xfrm>
                            <a:off x="0" y="0"/>
                            <a:ext cx="2819400" cy="1876425"/>
                          </a:xfrm>
                          <a:prstGeom prst="rect">
                            <a:avLst/>
                          </a:prstGeom>
                          <a:noFill/>
                          <a:ln w="9525">
                            <a:noFill/>
                            <a:miter lim="800000"/>
                            <a:headEnd/>
                            <a:tailEnd/>
                          </a:ln>
                        </pic:spPr>
                      </pic:pic>
                    </a:graphicData>
                  </a:graphic>
                </wp:inline>
              </w:drawing>
            </w:r>
          </w:p>
        </w:tc>
      </w:tr>
    </w:tbl>
    <w:p w:rsidR="00643CB5" w:rsidRPr="00315335" w:rsidRDefault="00643CB5" w:rsidP="00643CB5">
      <w:pPr>
        <w:spacing w:after="0" w:line="240" w:lineRule="auto"/>
        <w:jc w:val="both"/>
        <w:rPr>
          <w:rFonts w:ascii="Arial" w:hAnsi="Arial" w:cs="Arial"/>
          <w:b/>
          <w:sz w:val="24"/>
          <w:szCs w:val="24"/>
          <w:lang w:val="it-IT"/>
        </w:rPr>
      </w:pPr>
    </w:p>
    <w:p w:rsidR="00643CB5" w:rsidRPr="00315335" w:rsidRDefault="00643CB5" w:rsidP="00643CB5">
      <w:pPr>
        <w:spacing w:after="0" w:line="240" w:lineRule="auto"/>
        <w:jc w:val="both"/>
        <w:rPr>
          <w:rFonts w:ascii="Arial" w:hAnsi="Arial" w:cs="Arial"/>
          <w:b/>
          <w:i/>
          <w:sz w:val="24"/>
          <w:szCs w:val="24"/>
          <w:lang w:val="it-IT"/>
        </w:rPr>
      </w:pPr>
      <w:r w:rsidRPr="00315335">
        <w:rPr>
          <w:rFonts w:ascii="Arial" w:hAnsi="Arial" w:cs="Arial"/>
          <w:b/>
          <w:i/>
          <w:sz w:val="24"/>
          <w:szCs w:val="24"/>
          <w:lang w:val="it-IT"/>
        </w:rPr>
        <w:t>Rezultatele aplicării scenariului de bază  pentru căile de producere a emisiilor de azot în anul 2012 (stânga) și anul 2021  (dreapta)</w:t>
      </w:r>
    </w:p>
    <w:p w:rsidR="00643CB5" w:rsidRPr="00315335" w:rsidRDefault="00643CB5" w:rsidP="00643CB5">
      <w:pPr>
        <w:spacing w:after="0" w:line="240" w:lineRule="auto"/>
        <w:jc w:val="both"/>
        <w:rPr>
          <w:rFonts w:ascii="Arial" w:hAnsi="Arial" w:cs="Arial"/>
          <w:sz w:val="24"/>
          <w:szCs w:val="24"/>
          <w:lang w:val="it-IT"/>
        </w:rPr>
      </w:pPr>
      <w:r w:rsidRPr="00315335">
        <w:rPr>
          <w:rFonts w:ascii="Arial" w:hAnsi="Arial" w:cs="Arial"/>
          <w:b/>
          <w:sz w:val="24"/>
          <w:szCs w:val="24"/>
          <w:lang w:val="it-IT"/>
        </w:rPr>
        <w:t>Figura II.2.3.2</w:t>
      </w:r>
    </w:p>
    <w:tbl>
      <w:tblPr>
        <w:tblW w:w="0" w:type="auto"/>
        <w:jc w:val="center"/>
        <w:tblLook w:val="04A0" w:firstRow="1" w:lastRow="0" w:firstColumn="1" w:lastColumn="0" w:noHBand="0" w:noVBand="1"/>
      </w:tblPr>
      <w:tblGrid>
        <w:gridCol w:w="4866"/>
        <w:gridCol w:w="4756"/>
      </w:tblGrid>
      <w:tr w:rsidR="00643CB5" w:rsidRPr="00315335" w:rsidTr="00916B06">
        <w:trPr>
          <w:jc w:val="center"/>
        </w:trPr>
        <w:tc>
          <w:tcPr>
            <w:tcW w:w="4814" w:type="dxa"/>
            <w:shd w:val="clear" w:color="auto" w:fill="auto"/>
          </w:tcPr>
          <w:p w:rsidR="00643CB5" w:rsidRPr="00315335" w:rsidRDefault="00643CB5" w:rsidP="00916B06">
            <w:pPr>
              <w:spacing w:after="0" w:line="240" w:lineRule="auto"/>
              <w:jc w:val="both"/>
              <w:rPr>
                <w:rFonts w:ascii="Arial" w:hAnsi="Arial" w:cs="Arial"/>
                <w:sz w:val="24"/>
                <w:szCs w:val="24"/>
                <w:lang w:val="it-IT"/>
              </w:rPr>
            </w:pPr>
            <w:r w:rsidRPr="00315335">
              <w:rPr>
                <w:noProof/>
              </w:rPr>
              <w:drawing>
                <wp:inline distT="0" distB="0" distL="0" distR="0" wp14:anchorId="3DD18B1D" wp14:editId="2AD2BA38">
                  <wp:extent cx="2933700" cy="1866900"/>
                  <wp:effectExtent l="19050" t="0" r="0" b="0"/>
                  <wp:docPr id="1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srcRect/>
                          <a:stretch>
                            <a:fillRect/>
                          </a:stretch>
                        </pic:blipFill>
                        <pic:spPr bwMode="auto">
                          <a:xfrm>
                            <a:off x="0" y="0"/>
                            <a:ext cx="2933700" cy="1866900"/>
                          </a:xfrm>
                          <a:prstGeom prst="rect">
                            <a:avLst/>
                          </a:prstGeom>
                          <a:noFill/>
                          <a:ln w="9525">
                            <a:noFill/>
                            <a:miter lim="800000"/>
                            <a:headEnd/>
                            <a:tailEnd/>
                          </a:ln>
                        </pic:spPr>
                      </pic:pic>
                    </a:graphicData>
                  </a:graphic>
                </wp:inline>
              </w:drawing>
            </w:r>
          </w:p>
        </w:tc>
        <w:tc>
          <w:tcPr>
            <w:tcW w:w="4756" w:type="dxa"/>
            <w:shd w:val="clear" w:color="auto" w:fill="auto"/>
          </w:tcPr>
          <w:p w:rsidR="00643CB5" w:rsidRPr="00315335" w:rsidRDefault="00643CB5" w:rsidP="00916B06">
            <w:pPr>
              <w:spacing w:after="0" w:line="240" w:lineRule="auto"/>
              <w:jc w:val="both"/>
              <w:rPr>
                <w:rFonts w:ascii="Arial" w:hAnsi="Arial" w:cs="Arial"/>
                <w:sz w:val="24"/>
                <w:szCs w:val="24"/>
                <w:lang w:val="it-IT"/>
              </w:rPr>
            </w:pPr>
            <w:r w:rsidRPr="00315335">
              <w:rPr>
                <w:noProof/>
              </w:rPr>
              <w:drawing>
                <wp:inline distT="0" distB="0" distL="0" distR="0" wp14:anchorId="713EB249" wp14:editId="0D4A805A">
                  <wp:extent cx="2838450" cy="1857375"/>
                  <wp:effectExtent l="19050" t="0" r="0" b="0"/>
                  <wp:docPr id="1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9"/>
                          <a:srcRect/>
                          <a:stretch>
                            <a:fillRect/>
                          </a:stretch>
                        </pic:blipFill>
                        <pic:spPr bwMode="auto">
                          <a:xfrm>
                            <a:off x="0" y="0"/>
                            <a:ext cx="2838450" cy="1857375"/>
                          </a:xfrm>
                          <a:prstGeom prst="rect">
                            <a:avLst/>
                          </a:prstGeom>
                          <a:noFill/>
                          <a:ln w="9525">
                            <a:noFill/>
                            <a:miter lim="800000"/>
                            <a:headEnd/>
                            <a:tailEnd/>
                          </a:ln>
                        </pic:spPr>
                      </pic:pic>
                    </a:graphicData>
                  </a:graphic>
                </wp:inline>
              </w:drawing>
            </w:r>
          </w:p>
        </w:tc>
      </w:tr>
    </w:tbl>
    <w:p w:rsidR="00643CB5" w:rsidRPr="00315335" w:rsidRDefault="00643CB5" w:rsidP="00643CB5">
      <w:pPr>
        <w:spacing w:after="0" w:line="240" w:lineRule="auto"/>
        <w:jc w:val="both"/>
        <w:rPr>
          <w:rFonts w:ascii="Arial" w:hAnsi="Arial" w:cs="Arial"/>
          <w:b/>
          <w:sz w:val="24"/>
          <w:szCs w:val="24"/>
          <w:lang w:val="it-IT"/>
        </w:rPr>
      </w:pPr>
    </w:p>
    <w:p w:rsidR="00643CB5" w:rsidRPr="00315335" w:rsidRDefault="00643CB5" w:rsidP="00643CB5">
      <w:pPr>
        <w:spacing w:after="0" w:line="240" w:lineRule="auto"/>
        <w:jc w:val="both"/>
        <w:rPr>
          <w:rFonts w:ascii="Arial" w:hAnsi="Arial" w:cs="Arial"/>
          <w:sz w:val="24"/>
          <w:szCs w:val="24"/>
          <w:lang w:val="it-IT"/>
        </w:rPr>
      </w:pPr>
      <w:r w:rsidRPr="00315335">
        <w:rPr>
          <w:rFonts w:ascii="Arial" w:hAnsi="Arial" w:cs="Arial"/>
          <w:sz w:val="24"/>
          <w:szCs w:val="24"/>
          <w:lang w:val="it-IT"/>
        </w:rPr>
        <w:t>Rezultatele aplicării scenariului de bază  pentru sursele de emisii ale azotului (punctiforme și difuze)  în anul  2012 (stânga) și anul 2021 (dreapta)</w:t>
      </w:r>
    </w:p>
    <w:p w:rsidR="00643CB5" w:rsidRPr="00315335" w:rsidRDefault="00643CB5" w:rsidP="00643CB5">
      <w:pPr>
        <w:spacing w:after="0" w:line="240" w:lineRule="auto"/>
        <w:jc w:val="both"/>
        <w:rPr>
          <w:rFonts w:ascii="Arial" w:hAnsi="Arial" w:cs="Arial"/>
          <w:sz w:val="24"/>
          <w:szCs w:val="24"/>
          <w:lang w:val="it-IT"/>
        </w:rPr>
      </w:pPr>
      <w:r w:rsidRPr="00315335">
        <w:rPr>
          <w:rFonts w:ascii="Arial" w:hAnsi="Arial" w:cs="Arial"/>
          <w:b/>
          <w:sz w:val="24"/>
          <w:szCs w:val="24"/>
          <w:lang w:val="it-IT"/>
        </w:rPr>
        <w:t>Figura II.2.3.3</w:t>
      </w:r>
    </w:p>
    <w:tbl>
      <w:tblPr>
        <w:tblW w:w="0" w:type="auto"/>
        <w:jc w:val="center"/>
        <w:tblLook w:val="04A0" w:firstRow="1" w:lastRow="0" w:firstColumn="1" w:lastColumn="0" w:noHBand="0" w:noVBand="1"/>
      </w:tblPr>
      <w:tblGrid>
        <w:gridCol w:w="4866"/>
        <w:gridCol w:w="4809"/>
      </w:tblGrid>
      <w:tr w:rsidR="00643CB5" w:rsidRPr="00315335" w:rsidTr="00916B06">
        <w:trPr>
          <w:jc w:val="center"/>
        </w:trPr>
        <w:tc>
          <w:tcPr>
            <w:tcW w:w="4761" w:type="dxa"/>
            <w:shd w:val="clear" w:color="auto" w:fill="auto"/>
          </w:tcPr>
          <w:p w:rsidR="00643CB5" w:rsidRPr="00315335" w:rsidRDefault="00643CB5" w:rsidP="00916B06">
            <w:pPr>
              <w:spacing w:after="0" w:line="240" w:lineRule="auto"/>
              <w:jc w:val="both"/>
              <w:rPr>
                <w:rFonts w:ascii="Arial" w:hAnsi="Arial" w:cs="Arial"/>
                <w:sz w:val="24"/>
                <w:szCs w:val="24"/>
                <w:lang w:val="it-IT"/>
              </w:rPr>
            </w:pPr>
            <w:r w:rsidRPr="00315335">
              <w:rPr>
                <w:rFonts w:ascii="Arial" w:hAnsi="Arial" w:cs="Arial"/>
                <w:noProof/>
                <w:sz w:val="24"/>
                <w:szCs w:val="24"/>
              </w:rPr>
              <w:drawing>
                <wp:inline distT="0" distB="0" distL="0" distR="0" wp14:anchorId="7E2AAA79" wp14:editId="45DAE37C">
                  <wp:extent cx="2933700" cy="1819275"/>
                  <wp:effectExtent l="19050" t="0" r="0" b="0"/>
                  <wp:docPr id="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srcRect/>
                          <a:stretch>
                            <a:fillRect/>
                          </a:stretch>
                        </pic:blipFill>
                        <pic:spPr bwMode="auto">
                          <a:xfrm>
                            <a:off x="0" y="0"/>
                            <a:ext cx="2934970" cy="1820063"/>
                          </a:xfrm>
                          <a:prstGeom prst="rect">
                            <a:avLst/>
                          </a:prstGeom>
                          <a:noFill/>
                        </pic:spPr>
                      </pic:pic>
                    </a:graphicData>
                  </a:graphic>
                </wp:inline>
              </w:drawing>
            </w:r>
          </w:p>
        </w:tc>
        <w:tc>
          <w:tcPr>
            <w:tcW w:w="4809" w:type="dxa"/>
            <w:shd w:val="clear" w:color="auto" w:fill="auto"/>
          </w:tcPr>
          <w:p w:rsidR="00643CB5" w:rsidRPr="00315335" w:rsidRDefault="00643CB5" w:rsidP="00916B06">
            <w:pPr>
              <w:spacing w:after="0" w:line="240" w:lineRule="auto"/>
              <w:jc w:val="both"/>
              <w:rPr>
                <w:rFonts w:ascii="Arial" w:hAnsi="Arial" w:cs="Arial"/>
                <w:sz w:val="24"/>
                <w:szCs w:val="24"/>
                <w:lang w:val="it-IT"/>
              </w:rPr>
            </w:pPr>
            <w:r w:rsidRPr="00315335">
              <w:rPr>
                <w:rFonts w:ascii="Arial" w:hAnsi="Arial" w:cs="Arial"/>
                <w:noProof/>
                <w:sz w:val="24"/>
                <w:szCs w:val="24"/>
              </w:rPr>
              <w:drawing>
                <wp:inline distT="0" distB="0" distL="0" distR="0" wp14:anchorId="7955EBE1" wp14:editId="7046FCCA">
                  <wp:extent cx="2780665" cy="1819275"/>
                  <wp:effectExtent l="19050" t="0" r="635" b="0"/>
                  <wp:docPr id="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2780665" cy="1819275"/>
                          </a:xfrm>
                          <a:prstGeom prst="rect">
                            <a:avLst/>
                          </a:prstGeom>
                          <a:noFill/>
                        </pic:spPr>
                      </pic:pic>
                    </a:graphicData>
                  </a:graphic>
                </wp:inline>
              </w:drawing>
            </w:r>
          </w:p>
        </w:tc>
      </w:tr>
    </w:tbl>
    <w:p w:rsidR="00643CB5" w:rsidRPr="00315335" w:rsidRDefault="00643CB5" w:rsidP="00643CB5">
      <w:pPr>
        <w:spacing w:after="0" w:line="240" w:lineRule="auto"/>
        <w:jc w:val="both"/>
        <w:rPr>
          <w:rFonts w:ascii="Arial" w:hAnsi="Arial" w:cs="Arial"/>
          <w:b/>
          <w:sz w:val="24"/>
          <w:szCs w:val="24"/>
          <w:lang w:val="it-IT"/>
        </w:rPr>
      </w:pPr>
    </w:p>
    <w:p w:rsidR="00643CB5" w:rsidRPr="00315335" w:rsidRDefault="00643CB5" w:rsidP="00643CB5">
      <w:pPr>
        <w:spacing w:after="0" w:line="240" w:lineRule="auto"/>
        <w:jc w:val="both"/>
        <w:rPr>
          <w:rFonts w:ascii="Arial" w:hAnsi="Arial" w:cs="Arial"/>
          <w:sz w:val="24"/>
          <w:szCs w:val="24"/>
          <w:lang w:val="it-IT"/>
        </w:rPr>
      </w:pPr>
      <w:r w:rsidRPr="00315335">
        <w:rPr>
          <w:rFonts w:ascii="Arial" w:hAnsi="Arial" w:cs="Arial"/>
          <w:sz w:val="24"/>
          <w:szCs w:val="24"/>
          <w:lang w:val="it-IT"/>
        </w:rPr>
        <w:t>Rezultatele aplicării scenariului de bază  pentru sursele de emisii ale fosforului (punctiforme și difuze)  în anul  2012 (stânga) și anul 2021 (dreapta)</w:t>
      </w:r>
    </w:p>
    <w:p w:rsidR="00643CB5" w:rsidRPr="00315335" w:rsidRDefault="00643CB5" w:rsidP="00643CB5">
      <w:pPr>
        <w:spacing w:after="0" w:line="240" w:lineRule="auto"/>
        <w:jc w:val="both"/>
        <w:rPr>
          <w:rFonts w:ascii="Arial" w:hAnsi="Arial" w:cs="Arial"/>
          <w:sz w:val="24"/>
          <w:szCs w:val="24"/>
          <w:lang w:val="it-IT"/>
        </w:rPr>
      </w:pPr>
      <w:r w:rsidRPr="00315335">
        <w:rPr>
          <w:rFonts w:ascii="Arial" w:hAnsi="Arial" w:cs="Arial"/>
          <w:b/>
          <w:sz w:val="24"/>
          <w:szCs w:val="24"/>
          <w:lang w:val="it-IT"/>
        </w:rPr>
        <w:t>Figura II.2.3.4</w:t>
      </w:r>
    </w:p>
    <w:p w:rsidR="00643CB5" w:rsidRPr="00315335" w:rsidRDefault="00643CB5" w:rsidP="00643CB5">
      <w:pPr>
        <w:spacing w:after="0" w:line="240" w:lineRule="auto"/>
        <w:jc w:val="both"/>
        <w:rPr>
          <w:rFonts w:ascii="Arial" w:hAnsi="Arial" w:cs="Arial"/>
          <w:b/>
          <w:sz w:val="24"/>
          <w:szCs w:val="24"/>
          <w:lang w:val="it-IT"/>
        </w:rPr>
      </w:pPr>
    </w:p>
    <w:tbl>
      <w:tblPr>
        <w:tblW w:w="0" w:type="auto"/>
        <w:jc w:val="center"/>
        <w:tblLook w:val="04A0" w:firstRow="1" w:lastRow="0" w:firstColumn="1" w:lastColumn="0" w:noHBand="0" w:noVBand="1"/>
      </w:tblPr>
      <w:tblGrid>
        <w:gridCol w:w="4806"/>
        <w:gridCol w:w="4956"/>
      </w:tblGrid>
      <w:tr w:rsidR="00315335" w:rsidRPr="00315335" w:rsidTr="00916B06">
        <w:trPr>
          <w:jc w:val="center"/>
        </w:trPr>
        <w:tc>
          <w:tcPr>
            <w:tcW w:w="4714" w:type="dxa"/>
            <w:shd w:val="clear" w:color="auto" w:fill="auto"/>
          </w:tcPr>
          <w:p w:rsidR="00643CB5" w:rsidRPr="00315335" w:rsidRDefault="00643CB5" w:rsidP="00916B06">
            <w:pPr>
              <w:spacing w:after="0" w:line="240" w:lineRule="auto"/>
              <w:jc w:val="both"/>
              <w:rPr>
                <w:rFonts w:ascii="Arial" w:hAnsi="Arial" w:cs="Arial"/>
                <w:sz w:val="24"/>
                <w:szCs w:val="24"/>
                <w:lang w:val="it-IT"/>
              </w:rPr>
            </w:pPr>
            <w:r w:rsidRPr="00315335">
              <w:rPr>
                <w:noProof/>
              </w:rPr>
              <w:drawing>
                <wp:inline distT="0" distB="0" distL="0" distR="0" wp14:anchorId="6E5CBA81" wp14:editId="766BE111">
                  <wp:extent cx="2895600" cy="1809750"/>
                  <wp:effectExtent l="19050" t="0" r="0" b="0"/>
                  <wp:docPr id="20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
                          <a:srcRect/>
                          <a:stretch>
                            <a:fillRect/>
                          </a:stretch>
                        </pic:blipFill>
                        <pic:spPr bwMode="auto">
                          <a:xfrm>
                            <a:off x="0" y="0"/>
                            <a:ext cx="2895600" cy="1809750"/>
                          </a:xfrm>
                          <a:prstGeom prst="rect">
                            <a:avLst/>
                          </a:prstGeom>
                          <a:noFill/>
                          <a:ln w="9525">
                            <a:noFill/>
                            <a:miter lim="800000"/>
                            <a:headEnd/>
                            <a:tailEnd/>
                          </a:ln>
                        </pic:spPr>
                      </pic:pic>
                    </a:graphicData>
                  </a:graphic>
                </wp:inline>
              </w:drawing>
            </w:r>
          </w:p>
        </w:tc>
        <w:tc>
          <w:tcPr>
            <w:tcW w:w="4856" w:type="dxa"/>
            <w:shd w:val="clear" w:color="auto" w:fill="auto"/>
          </w:tcPr>
          <w:p w:rsidR="00643CB5" w:rsidRPr="00315335" w:rsidRDefault="00643CB5" w:rsidP="00916B06">
            <w:pPr>
              <w:spacing w:after="0" w:line="240" w:lineRule="auto"/>
              <w:jc w:val="both"/>
              <w:rPr>
                <w:rFonts w:ascii="Arial" w:hAnsi="Arial" w:cs="Arial"/>
                <w:sz w:val="24"/>
                <w:szCs w:val="24"/>
                <w:lang w:val="it-IT"/>
              </w:rPr>
            </w:pPr>
            <w:r w:rsidRPr="00315335">
              <w:rPr>
                <w:noProof/>
              </w:rPr>
              <w:drawing>
                <wp:inline distT="0" distB="0" distL="0" distR="0" wp14:anchorId="23A65345" wp14:editId="3ED54EEA">
                  <wp:extent cx="2990850" cy="1809750"/>
                  <wp:effectExtent l="19050" t="0" r="0" b="0"/>
                  <wp:docPr id="20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srcRect/>
                          <a:stretch>
                            <a:fillRect/>
                          </a:stretch>
                        </pic:blipFill>
                        <pic:spPr bwMode="auto">
                          <a:xfrm>
                            <a:off x="0" y="0"/>
                            <a:ext cx="2990850" cy="1809750"/>
                          </a:xfrm>
                          <a:prstGeom prst="rect">
                            <a:avLst/>
                          </a:prstGeom>
                          <a:noFill/>
                          <a:ln w="9525">
                            <a:noFill/>
                            <a:miter lim="800000"/>
                            <a:headEnd/>
                            <a:tailEnd/>
                          </a:ln>
                        </pic:spPr>
                      </pic:pic>
                    </a:graphicData>
                  </a:graphic>
                </wp:inline>
              </w:drawing>
            </w:r>
          </w:p>
        </w:tc>
      </w:tr>
    </w:tbl>
    <w:p w:rsidR="00643CB5" w:rsidRPr="00315335" w:rsidRDefault="00643CB5" w:rsidP="00643CB5">
      <w:pPr>
        <w:spacing w:after="0" w:line="240" w:lineRule="auto"/>
        <w:jc w:val="both"/>
        <w:rPr>
          <w:rFonts w:ascii="Arial" w:hAnsi="Arial" w:cs="Arial"/>
          <w:i/>
          <w:sz w:val="24"/>
          <w:szCs w:val="24"/>
        </w:rPr>
      </w:pPr>
      <w:r w:rsidRPr="00315335">
        <w:rPr>
          <w:rFonts w:ascii="Arial" w:hAnsi="Arial" w:cs="Arial"/>
          <w:i/>
          <w:sz w:val="24"/>
          <w:szCs w:val="24"/>
        </w:rPr>
        <w:t>Sursa datelor: Administrația Națională „Apele Române”, Planul Național de Management actualizat aprobat prin HG nr. 859/2016 pentru aprobarea Planului naţional de management actualizat aferent porţiunii din bazinul hidrografic internaţional al fluviului Dunărea care este cuprinsă în teritoriul României)</w:t>
      </w:r>
    </w:p>
    <w:p w:rsidR="00643CB5" w:rsidRPr="00315335" w:rsidRDefault="00643CB5" w:rsidP="00643CB5">
      <w:pPr>
        <w:spacing w:after="0" w:line="240" w:lineRule="auto"/>
        <w:jc w:val="both"/>
        <w:rPr>
          <w:rFonts w:ascii="Arial" w:hAnsi="Arial" w:cs="Arial"/>
          <w:sz w:val="24"/>
          <w:szCs w:val="24"/>
        </w:rPr>
      </w:pPr>
    </w:p>
    <w:p w:rsidR="00643CB5" w:rsidRPr="00315335" w:rsidRDefault="00643CB5" w:rsidP="00643CB5">
      <w:pPr>
        <w:spacing w:after="0" w:line="240" w:lineRule="auto"/>
        <w:jc w:val="both"/>
        <w:rPr>
          <w:rFonts w:ascii="Arial" w:hAnsi="Arial" w:cs="Arial"/>
          <w:sz w:val="24"/>
          <w:szCs w:val="24"/>
          <w:lang w:val="it-IT"/>
        </w:rPr>
      </w:pPr>
      <w:r w:rsidRPr="00315335">
        <w:rPr>
          <w:rFonts w:ascii="Arial" w:hAnsi="Arial" w:cs="Arial"/>
          <w:b/>
          <w:i/>
          <w:sz w:val="24"/>
          <w:szCs w:val="24"/>
          <w:lang w:val="it-IT"/>
        </w:rPr>
        <w:t>Poluarea cu substanțe chimice periculoase</w:t>
      </w:r>
      <w:r w:rsidRPr="00315335">
        <w:rPr>
          <w:rFonts w:ascii="Arial" w:hAnsi="Arial" w:cs="Arial"/>
          <w:sz w:val="24"/>
          <w:szCs w:val="24"/>
          <w:lang w:val="it-IT"/>
        </w:rPr>
        <w:t xml:space="preserve"> poate deteriora semnificativ starea corpurilor de apă și indirect poate avea efecte asupra stării de sănătate a populației. În conformitate cu prevederile directivelor europene în domeniul apelor,există 3 tipuri de substanțe chimice periculoase, și anume:</w:t>
      </w:r>
    </w:p>
    <w:p w:rsidR="00643CB5" w:rsidRPr="00315335" w:rsidRDefault="00643CB5" w:rsidP="00E14739">
      <w:pPr>
        <w:pStyle w:val="Listparagraf"/>
        <w:numPr>
          <w:ilvl w:val="0"/>
          <w:numId w:val="15"/>
        </w:numPr>
        <w:jc w:val="both"/>
        <w:rPr>
          <w:rFonts w:ascii="Arial" w:hAnsi="Arial" w:cs="Arial"/>
          <w:lang w:val="it-IT"/>
        </w:rPr>
      </w:pPr>
      <w:r w:rsidRPr="00315335">
        <w:rPr>
          <w:rFonts w:ascii="Arial" w:hAnsi="Arial" w:cs="Arial"/>
          <w:lang w:val="it-IT"/>
        </w:rPr>
        <w:t>substanțe prioritare – poluanți sau grupe de poluanți care prezintă risc semnificativ asupra mediului acvatic, incluzând și apele utilizate pentru captarea apei potabile;</w:t>
      </w:r>
    </w:p>
    <w:p w:rsidR="00643CB5" w:rsidRPr="00315335" w:rsidRDefault="00643CB5" w:rsidP="00E14739">
      <w:pPr>
        <w:pStyle w:val="Listparagraf"/>
        <w:numPr>
          <w:ilvl w:val="0"/>
          <w:numId w:val="15"/>
        </w:numPr>
        <w:jc w:val="both"/>
        <w:rPr>
          <w:rFonts w:ascii="Arial" w:hAnsi="Arial" w:cs="Arial"/>
          <w:lang w:val="it-IT"/>
        </w:rPr>
      </w:pPr>
      <w:r w:rsidRPr="00315335">
        <w:rPr>
          <w:rFonts w:ascii="Arial" w:hAnsi="Arial" w:cs="Arial"/>
          <w:lang w:val="it-IT"/>
        </w:rPr>
        <w:t>substanțe prioritare periculoase – poluanți sau grupe de poluanți care prezintă același risc ca și cele precedente și în plus sunte toxice, persistente și bioacumulabile;</w:t>
      </w:r>
    </w:p>
    <w:p w:rsidR="00643CB5" w:rsidRPr="00315335" w:rsidRDefault="00643CB5" w:rsidP="00E14739">
      <w:pPr>
        <w:pStyle w:val="Listparagraf"/>
        <w:numPr>
          <w:ilvl w:val="0"/>
          <w:numId w:val="15"/>
        </w:numPr>
        <w:jc w:val="both"/>
        <w:rPr>
          <w:rFonts w:ascii="Arial" w:hAnsi="Arial" w:cs="Arial"/>
          <w:lang w:val="it-IT"/>
        </w:rPr>
      </w:pPr>
      <w:r w:rsidRPr="00315335">
        <w:rPr>
          <w:rFonts w:ascii="Arial" w:hAnsi="Arial" w:cs="Arial"/>
          <w:lang w:val="it-IT"/>
        </w:rPr>
        <w:t>poluanți specifici la nivel de bazin hidrografic - poluanți sau grupe de poluanți specifice unui anumit bazin hidrografic.</w:t>
      </w:r>
    </w:p>
    <w:p w:rsidR="00643CB5" w:rsidRPr="00315335" w:rsidRDefault="00643CB5" w:rsidP="00643CB5">
      <w:pPr>
        <w:spacing w:after="0" w:line="240" w:lineRule="auto"/>
        <w:jc w:val="both"/>
        <w:rPr>
          <w:rFonts w:ascii="Arial" w:hAnsi="Arial" w:cs="Arial"/>
          <w:sz w:val="24"/>
          <w:szCs w:val="24"/>
          <w:lang w:val="it-IT"/>
        </w:rPr>
      </w:pPr>
      <w:r w:rsidRPr="00315335">
        <w:rPr>
          <w:rFonts w:ascii="Arial" w:hAnsi="Arial" w:cs="Arial"/>
          <w:sz w:val="24"/>
          <w:szCs w:val="24"/>
          <w:lang w:val="it-IT"/>
        </w:rPr>
        <w:t>Din categoria substanțelor periculoase fac parte produsele chimice artificiale, metalele, hidrocarburile aromatice policiclice, fenolii, disruptorii endocrini și pesticidele, etc. În vederea atingerii și menținerii stării bune a apelor este necesară conformarea cu standardele de calitate impuse la nivel european (Directiva 2013/39/CE), reducerea progresivă a poluării cauzate de substanțele prioritare și de poluanții specifici, cât și stoparea sau eliminarea emisiilor, descărcărilor și pierderilor de substanțe prioritare periculoase.</w:t>
      </w:r>
    </w:p>
    <w:p w:rsidR="00643CB5" w:rsidRPr="00315335" w:rsidRDefault="00643CB5" w:rsidP="00643CB5">
      <w:pPr>
        <w:spacing w:after="0" w:line="240" w:lineRule="auto"/>
        <w:ind w:firstLine="708"/>
        <w:jc w:val="both"/>
        <w:rPr>
          <w:rFonts w:ascii="Arial" w:hAnsi="Arial" w:cs="Arial"/>
          <w:b/>
          <w:sz w:val="24"/>
          <w:szCs w:val="24"/>
        </w:rPr>
      </w:pPr>
      <w:r w:rsidRPr="00315335">
        <w:rPr>
          <w:rFonts w:ascii="Arial" w:hAnsi="Arial" w:cs="Arial"/>
          <w:sz w:val="24"/>
          <w:szCs w:val="24"/>
          <w:lang w:val="it-IT"/>
        </w:rPr>
        <w:t xml:space="preserve">În </w:t>
      </w:r>
      <w:r w:rsidRPr="00315335">
        <w:rPr>
          <w:rFonts w:ascii="Arial" w:hAnsi="Arial" w:cs="Arial"/>
          <w:i/>
          <w:sz w:val="24"/>
          <w:szCs w:val="24"/>
          <w:lang w:val="it-IT"/>
        </w:rPr>
        <w:t xml:space="preserve">Figura II.2.3.5 </w:t>
      </w:r>
      <w:r w:rsidRPr="00315335">
        <w:rPr>
          <w:rFonts w:ascii="Arial" w:hAnsi="Arial" w:cs="Arial"/>
          <w:sz w:val="24"/>
          <w:szCs w:val="24"/>
          <w:lang w:val="it-IT"/>
        </w:rPr>
        <w:t>este ilustrată evoluţia stării ecologice/potenţialului ecologic al corpurilor de apă cuprinse în cel de-al doilea Plan de Management, comparativ cu primul Plan de Management, pentru cele două cicluri de planificare la 6 ani aferente.</w:t>
      </w:r>
    </w:p>
    <w:p w:rsidR="00643CB5" w:rsidRPr="00315335" w:rsidRDefault="00643CB5" w:rsidP="00643CB5">
      <w:pPr>
        <w:spacing w:after="0" w:line="240" w:lineRule="auto"/>
        <w:jc w:val="both"/>
        <w:rPr>
          <w:rFonts w:ascii="Arial" w:hAnsi="Arial" w:cs="Arial"/>
          <w:sz w:val="24"/>
          <w:szCs w:val="24"/>
        </w:rPr>
      </w:pPr>
      <w:r w:rsidRPr="00315335">
        <w:rPr>
          <w:rFonts w:ascii="Arial" w:hAnsi="Arial" w:cs="Arial"/>
          <w:sz w:val="24"/>
          <w:szCs w:val="24"/>
        </w:rPr>
        <w:t>Evoluţia stării ecologice/potenţialului ecologic al corpurilor de apă de suprafaţă –cel de al 2-lea Plan de Management (2021) şi primul Plan de Management (2015)</w:t>
      </w:r>
    </w:p>
    <w:p w:rsidR="00643CB5" w:rsidRPr="00315335" w:rsidRDefault="00643CB5" w:rsidP="00643CB5">
      <w:pPr>
        <w:spacing w:after="0" w:line="240" w:lineRule="auto"/>
        <w:jc w:val="center"/>
        <w:rPr>
          <w:rFonts w:ascii="Arial" w:hAnsi="Arial" w:cs="Arial"/>
          <w:sz w:val="24"/>
          <w:szCs w:val="24"/>
          <w:lang w:val="it-IT"/>
        </w:rPr>
      </w:pPr>
      <w:r w:rsidRPr="00315335">
        <w:rPr>
          <w:rFonts w:ascii="Arial" w:hAnsi="Arial" w:cs="Arial"/>
          <w:noProof/>
          <w:sz w:val="24"/>
          <w:szCs w:val="24"/>
        </w:rPr>
        <w:drawing>
          <wp:inline distT="0" distB="0" distL="0" distR="0" wp14:anchorId="1841407A" wp14:editId="1A533727">
            <wp:extent cx="5438775" cy="3020572"/>
            <wp:effectExtent l="19050" t="0" r="9525" b="0"/>
            <wp:docPr id="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srcRect/>
                    <a:stretch>
                      <a:fillRect/>
                    </a:stretch>
                  </pic:blipFill>
                  <pic:spPr bwMode="auto">
                    <a:xfrm>
                      <a:off x="0" y="0"/>
                      <a:ext cx="5438775" cy="3020572"/>
                    </a:xfrm>
                    <a:prstGeom prst="rect">
                      <a:avLst/>
                    </a:prstGeom>
                    <a:solidFill>
                      <a:schemeClr val="tx2">
                        <a:lumMod val="20000"/>
                        <a:lumOff val="80000"/>
                      </a:schemeClr>
                    </a:solidFill>
                    <a:ln w="9525">
                      <a:noFill/>
                      <a:miter lim="800000"/>
                      <a:headEnd/>
                      <a:tailEnd/>
                    </a:ln>
                  </pic:spPr>
                </pic:pic>
              </a:graphicData>
            </a:graphic>
          </wp:inline>
        </w:drawing>
      </w:r>
    </w:p>
    <w:p w:rsidR="00643CB5" w:rsidRPr="00315335" w:rsidRDefault="00643CB5" w:rsidP="00643CB5">
      <w:pPr>
        <w:spacing w:after="0" w:line="240" w:lineRule="auto"/>
        <w:jc w:val="both"/>
        <w:rPr>
          <w:rFonts w:ascii="Arial" w:hAnsi="Arial" w:cs="Arial"/>
          <w:b/>
          <w:sz w:val="24"/>
          <w:szCs w:val="24"/>
          <w:lang w:val="it-IT"/>
        </w:rPr>
      </w:pPr>
      <w:r w:rsidRPr="00315335">
        <w:rPr>
          <w:rFonts w:ascii="Arial" w:hAnsi="Arial" w:cs="Arial"/>
          <w:b/>
          <w:sz w:val="24"/>
          <w:szCs w:val="24"/>
          <w:lang w:val="it-IT"/>
        </w:rPr>
        <w:t>Figura II.2.3.5</w:t>
      </w:r>
    </w:p>
    <w:p w:rsidR="00643CB5" w:rsidRPr="00315335" w:rsidRDefault="00643CB5" w:rsidP="00643CB5">
      <w:pPr>
        <w:spacing w:after="0" w:line="240" w:lineRule="auto"/>
        <w:jc w:val="both"/>
        <w:rPr>
          <w:rFonts w:ascii="Arial" w:hAnsi="Arial" w:cs="Arial"/>
          <w:i/>
          <w:sz w:val="20"/>
          <w:szCs w:val="20"/>
        </w:rPr>
      </w:pPr>
      <w:r w:rsidRPr="00315335">
        <w:rPr>
          <w:rFonts w:ascii="Arial" w:hAnsi="Arial" w:cs="Arial"/>
          <w:i/>
          <w:sz w:val="20"/>
          <w:szCs w:val="20"/>
        </w:rPr>
        <w:lastRenderedPageBreak/>
        <w:t>(Sursa datelor: Administrația Națională „Apele Române”, Planul Național de Management actualizat apobat prin HG nr. 859/2016 pentru aprobarea Planului Naţional de management actualizat aferent porţiunii din bazinul hidrografic internaţional al fluviului Dunărea care este cuprinsă în teritoriul României)</w:t>
      </w:r>
    </w:p>
    <w:p w:rsidR="00643CB5" w:rsidRPr="00315335" w:rsidRDefault="00643CB5" w:rsidP="00643CB5">
      <w:pPr>
        <w:spacing w:after="0" w:line="240" w:lineRule="auto"/>
        <w:ind w:firstLine="708"/>
        <w:jc w:val="both"/>
        <w:rPr>
          <w:rFonts w:ascii="Arial" w:hAnsi="Arial" w:cs="Arial"/>
          <w:sz w:val="24"/>
          <w:szCs w:val="24"/>
          <w:lang w:val="it-IT"/>
        </w:rPr>
      </w:pPr>
    </w:p>
    <w:p w:rsidR="00643CB5" w:rsidRPr="00315335" w:rsidRDefault="00643CB5" w:rsidP="00643CB5">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În cadrul Planului Național de management aprobat prin HG nr. 859/2016 pentru aprobarea Planului naţional de management actualizat aferent porţiunii din bazinul hidrografic internaţional al fluviului Dunărea care este cuprinsă în teritoriul României, s-au stabilit măsuri pentru fiecare categorie de probleme importante de gospodărirea apelor, pe baza progreselor înregistrate în implementarea măsurilor prevăzute în primul Plan de management, a rezultatelor privind caracterizarea bazinelor/spaţiilor hidrografice, impactului activitățílor umane și analizei economice a utilizării apei, atât pentru apele de suprafață, cât și pentru cele subterane, la nivelul anului 2013. Cel de-al doilea plan de management include  în continuarea primului plan de management, măsuri de bază și suplimentare care se implementează până în anul 2021 și sunt stabilite, dacă este cazul, și măsuri pentru următorul ciclu de planificare pentru anul 2027, în vederea atingerii obiectivelor de mediu ale corpurilor de apă.</w:t>
      </w:r>
    </w:p>
    <w:p w:rsidR="00643CB5" w:rsidRPr="00315335" w:rsidRDefault="00643CB5" w:rsidP="00643CB5">
      <w:pPr>
        <w:spacing w:before="120" w:after="120" w:line="240" w:lineRule="auto"/>
        <w:ind w:firstLine="567"/>
        <w:jc w:val="both"/>
        <w:rPr>
          <w:rFonts w:ascii="Arial" w:hAnsi="Arial" w:cs="Arial"/>
          <w:sz w:val="24"/>
          <w:szCs w:val="24"/>
          <w:lang w:val="it-IT"/>
        </w:rPr>
      </w:pPr>
      <w:r w:rsidRPr="00315335">
        <w:rPr>
          <w:rFonts w:ascii="Arial" w:hAnsi="Arial" w:cs="Arial"/>
          <w:sz w:val="24"/>
          <w:szCs w:val="24"/>
          <w:lang w:val="it-IT"/>
        </w:rPr>
        <w:t xml:space="preserve">Articolul 11 alineatele (7) și (8) din DCA stabilește că măsurile trebuie să fie operaționale în decembrie 2018. Articolul 15 alineatul (3) prevede că, în termen de trei ani de la data publicării fiecărui plan de management al bazinelor hidrografice, statele membre ale UE trebuie să prezinte Comisiei Europene </w:t>
      </w:r>
      <w:r w:rsidRPr="00315335">
        <w:rPr>
          <w:rFonts w:ascii="Arial" w:hAnsi="Arial" w:cs="Arial"/>
          <w:b/>
          <w:bCs/>
          <w:sz w:val="24"/>
          <w:szCs w:val="24"/>
          <w:lang w:val="it-IT"/>
        </w:rPr>
        <w:t>un raport interimar care să descrie progresele înregistrate în implementarea  programului de măsuri planificat</w:t>
      </w:r>
      <w:r w:rsidRPr="00315335">
        <w:rPr>
          <w:rFonts w:ascii="Arial" w:hAnsi="Arial" w:cs="Arial"/>
          <w:sz w:val="24"/>
          <w:szCs w:val="24"/>
          <w:lang w:val="it-IT"/>
        </w:rPr>
        <w:t xml:space="preserve">. </w:t>
      </w:r>
    </w:p>
    <w:p w:rsidR="00643CB5" w:rsidRPr="00315335" w:rsidRDefault="00643CB5" w:rsidP="00643CB5">
      <w:pPr>
        <w:spacing w:before="120" w:after="120" w:line="240" w:lineRule="auto"/>
        <w:ind w:firstLine="567"/>
        <w:jc w:val="both"/>
        <w:rPr>
          <w:rFonts w:ascii="Arial" w:hAnsi="Arial" w:cs="Arial"/>
          <w:sz w:val="24"/>
          <w:szCs w:val="24"/>
          <w:lang w:val="it-IT"/>
        </w:rPr>
      </w:pPr>
      <w:r w:rsidRPr="00315335">
        <w:rPr>
          <w:rFonts w:ascii="Arial" w:hAnsi="Arial" w:cs="Arial"/>
          <w:sz w:val="24"/>
          <w:szCs w:val="24"/>
          <w:lang w:val="it-IT"/>
        </w:rPr>
        <w:t>Obiectivul Raportului interimar privind stadiul implementării programului de masuri la sfârșitul anului 2018 este acela de a furniza o vedere de ansamblu asupra implementării programelor de măsuri și măsurilor  stabilite în cadrul Planurilor de management ale bazinelor/spațiilor hidrografice actualizate pentru cel de-al doilea ciclu de planificare și aprobate prin Hotararea de Guvern nr. 859/2016 pentru aprobarea Planului naţional de management actualizat aferent porţiunii din bazinul hidrografic internaţional al fluviului Dunărea care este cuprinsă în teritoriul României. În acest sens raportul se axează în principal pe măsurile relevante a căror implementare a fost deja finalizată până în anul 2018 sau este în curs de planificare sau realizare pentru termene ulterioare anul 2018.</w:t>
      </w:r>
    </w:p>
    <w:p w:rsidR="00643CB5" w:rsidRPr="00315335" w:rsidRDefault="00643CB5" w:rsidP="00643CB5">
      <w:pPr>
        <w:spacing w:before="120" w:after="120" w:line="240" w:lineRule="auto"/>
        <w:ind w:firstLine="567"/>
        <w:jc w:val="both"/>
        <w:rPr>
          <w:rFonts w:ascii="Arial" w:hAnsi="Arial" w:cs="Arial"/>
          <w:sz w:val="24"/>
          <w:szCs w:val="24"/>
          <w:lang w:val="it-IT"/>
        </w:rPr>
      </w:pPr>
      <w:r w:rsidRPr="00315335">
        <w:rPr>
          <w:rFonts w:ascii="Arial" w:hAnsi="Arial" w:cs="Arial"/>
          <w:sz w:val="24"/>
          <w:szCs w:val="24"/>
          <w:lang w:val="it-IT"/>
        </w:rPr>
        <w:t xml:space="preserve">În ceea ce privește </w:t>
      </w:r>
      <w:r w:rsidRPr="00315335">
        <w:rPr>
          <w:rFonts w:ascii="Arial" w:hAnsi="Arial" w:cs="Arial"/>
          <w:b/>
          <w:bCs/>
          <w:sz w:val="24"/>
          <w:szCs w:val="24"/>
          <w:lang w:val="it-IT"/>
        </w:rPr>
        <w:t>situația realizării programului de măsuri la sfârșitul anului 2018</w:t>
      </w:r>
      <w:r w:rsidRPr="00315335">
        <w:rPr>
          <w:rFonts w:ascii="Arial" w:hAnsi="Arial" w:cs="Arial"/>
          <w:sz w:val="24"/>
          <w:szCs w:val="24"/>
          <w:lang w:val="it-IT"/>
        </w:rPr>
        <w:t>, comparativ cu cea planificată în Planurile de management actualizate ale bazinelor /spațiilor hidrografice, se constată desfășurarea conform planificării și finalizarea cu precădere a măsurilor de bază pentru aglomerările umane (apă potabilă, apă uzată, nămoluri de la stații de epurare) și a activităților industriale și agro-zootehnice (IED), precum și a altor măsuri de bază referitoare la reglementarea / autorizarea, controlul și monitorizarea surselor semnificative de poluare și alterărilor hidromorfologice, aplicarea recuperării costurilor pentru servicii de apă. De asemenea, o serie de măsuri suplimentare planificate au fost realizate sau sunt în curs de implementare.</w:t>
      </w:r>
    </w:p>
    <w:p w:rsidR="00643CB5" w:rsidRPr="00315335" w:rsidRDefault="00643CB5" w:rsidP="00643CB5">
      <w:pPr>
        <w:spacing w:before="120" w:after="120" w:line="240" w:lineRule="auto"/>
        <w:ind w:firstLine="567"/>
        <w:jc w:val="both"/>
        <w:rPr>
          <w:rFonts w:ascii="Arial" w:hAnsi="Arial" w:cs="Arial"/>
          <w:sz w:val="24"/>
          <w:szCs w:val="24"/>
          <w:lang w:val="it-IT"/>
        </w:rPr>
      </w:pPr>
      <w:r w:rsidRPr="00315335">
        <w:rPr>
          <w:rFonts w:ascii="Arial" w:hAnsi="Arial" w:cs="Arial"/>
          <w:sz w:val="24"/>
          <w:szCs w:val="24"/>
          <w:lang w:val="it-IT"/>
        </w:rPr>
        <w:t>Având în vedere actualizarea măsurilor planificate a se implementa în perioada 2016 – 2021, precum și evaluarea măsurilor implementate în perioada 2016 – 2018, s-au evaluat  progresele înregistrate în ceea ce privește numărul de măsuri finalizate. Față de cele 4.933 măsuri de bază și suplimentare planificate a se realiza până în anul 2018, prin reevaluare a reieșit faptul că: cca. 80% dintre măsuri au fost măsuri identice cu cele planificate, 11% măsuri au fost modificate, 7% sunt măsuri noi și 2% sunt măsuri la care s-a renunțat.  În ceea ce privește măsurile realizate în perioada 2016-2018, se constată că au fost implementate 2.879 (cca. 60%) din 4.826 măsuri planificate (s-au exclus măsurile la care s-a renunțat), din care majoritatea (cca. 74%)  sunt măsuri implementate pentru aglomerările umane, respectiv pentru alimentarea cu apă potabilă, colectarea și epurarea ape uzate.</w:t>
      </w:r>
    </w:p>
    <w:p w:rsidR="00643CB5" w:rsidRPr="00315335" w:rsidRDefault="00643CB5" w:rsidP="00643CB5">
      <w:pPr>
        <w:spacing w:before="120" w:after="120" w:line="240" w:lineRule="auto"/>
        <w:ind w:firstLine="567"/>
        <w:rPr>
          <w:rFonts w:ascii="Arial" w:hAnsi="Arial" w:cs="Arial"/>
          <w:bCs/>
          <w:sz w:val="24"/>
          <w:szCs w:val="24"/>
          <w:lang w:val="it-IT"/>
        </w:rPr>
      </w:pPr>
      <w:r w:rsidRPr="00315335">
        <w:rPr>
          <w:rFonts w:ascii="Arial" w:hAnsi="Arial" w:cs="Arial"/>
          <w:bCs/>
          <w:sz w:val="24"/>
          <w:szCs w:val="24"/>
          <w:lang w:val="it-IT"/>
        </w:rPr>
        <w:t xml:space="preserve">   Figura nr. II.2.3.6.Ponderea măsurilor implementate în perioada 2016 – 2018, pe categorii de presiuni</w:t>
      </w:r>
    </w:p>
    <w:p w:rsidR="00643CB5" w:rsidRPr="00315335" w:rsidRDefault="00643CB5" w:rsidP="00643CB5">
      <w:pPr>
        <w:spacing w:before="120" w:after="120" w:line="240" w:lineRule="auto"/>
        <w:jc w:val="center"/>
        <w:rPr>
          <w:rFonts w:ascii="Arial" w:hAnsi="Arial" w:cs="Arial"/>
          <w:sz w:val="24"/>
          <w:szCs w:val="24"/>
          <w:lang w:val="it-IT"/>
        </w:rPr>
      </w:pPr>
      <w:r w:rsidRPr="00315335">
        <w:rPr>
          <w:noProof/>
        </w:rPr>
        <w:lastRenderedPageBreak/>
        <w:drawing>
          <wp:inline distT="0" distB="0" distL="0" distR="0" wp14:anchorId="05779ACE" wp14:editId="587A76D3">
            <wp:extent cx="4972050" cy="2725420"/>
            <wp:effectExtent l="0" t="0" r="0" b="17780"/>
            <wp:docPr id="1"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43CB5" w:rsidRPr="00315335" w:rsidRDefault="00643CB5" w:rsidP="00643CB5">
      <w:pPr>
        <w:spacing w:before="120" w:after="120" w:line="240" w:lineRule="auto"/>
        <w:ind w:firstLine="567"/>
        <w:jc w:val="both"/>
        <w:rPr>
          <w:rFonts w:ascii="Arial" w:hAnsi="Arial" w:cs="Arial"/>
          <w:sz w:val="24"/>
          <w:szCs w:val="24"/>
          <w:lang w:val="it-IT"/>
        </w:rPr>
      </w:pPr>
    </w:p>
    <w:p w:rsidR="00643CB5" w:rsidRPr="00315335" w:rsidRDefault="00643CB5" w:rsidP="00643CB5">
      <w:pPr>
        <w:spacing w:after="0" w:line="240" w:lineRule="auto"/>
        <w:ind w:firstLine="630"/>
        <w:jc w:val="both"/>
        <w:rPr>
          <w:rFonts w:ascii="Arial" w:hAnsi="Arial" w:cs="Arial"/>
          <w:sz w:val="24"/>
          <w:szCs w:val="24"/>
        </w:rPr>
      </w:pPr>
      <w:r w:rsidRPr="00315335">
        <w:rPr>
          <w:rFonts w:ascii="Arial" w:hAnsi="Arial" w:cs="Arial"/>
          <w:sz w:val="24"/>
          <w:szCs w:val="24"/>
        </w:rPr>
        <w:t xml:space="preserve">Pentru evaluarea stadiului implementării Programelor de măsuri la sfârșitul anului 2018, măsuri planificate în Planul de management actualizat, s-au monitorizat în perioada 2016-2018 indicatorii aferenți implementării măsurilor de bază și suplimentare pentru reducerea poluării datorate presiunilor (potențial semnificative și presiunilor semnificative), având în principal ca activități generatoare de presiuni aglomerările umane, activitățile industriale și activitățile agricole, precum și alterările hidromorfologice. </w:t>
      </w:r>
    </w:p>
    <w:p w:rsidR="00643CB5" w:rsidRPr="00315335" w:rsidRDefault="00643CB5" w:rsidP="00643CB5">
      <w:pPr>
        <w:spacing w:before="120" w:after="0" w:line="240" w:lineRule="auto"/>
        <w:ind w:firstLine="634"/>
        <w:jc w:val="both"/>
        <w:rPr>
          <w:rFonts w:ascii="Arial" w:hAnsi="Arial" w:cs="Arial"/>
          <w:sz w:val="24"/>
          <w:szCs w:val="24"/>
        </w:rPr>
      </w:pPr>
      <w:r w:rsidRPr="00315335">
        <w:rPr>
          <w:rFonts w:ascii="Arial" w:hAnsi="Arial" w:cs="Arial"/>
          <w:sz w:val="24"/>
          <w:szCs w:val="24"/>
        </w:rPr>
        <w:t xml:space="preserve">Cheltuielile de investiții și alte costuri pentru PoM planificate au fost de cca. </w:t>
      </w:r>
      <w:r w:rsidRPr="00315335">
        <w:rPr>
          <w:rFonts w:ascii="Arial" w:hAnsi="Arial" w:cs="Arial"/>
          <w:b/>
          <w:sz w:val="24"/>
          <w:szCs w:val="24"/>
        </w:rPr>
        <w:t>6,282 miliarde Euro</w:t>
      </w:r>
      <w:r w:rsidRPr="00315335">
        <w:rPr>
          <w:rFonts w:ascii="Arial" w:hAnsi="Arial" w:cs="Arial"/>
          <w:sz w:val="24"/>
          <w:szCs w:val="24"/>
        </w:rPr>
        <w:t>, la care se adaugă costuri de operare–întreținere de cca.</w:t>
      </w:r>
      <w:r w:rsidRPr="00315335">
        <w:rPr>
          <w:rFonts w:ascii="Arial" w:hAnsi="Arial" w:cs="Arial"/>
          <w:b/>
          <w:sz w:val="24"/>
          <w:szCs w:val="24"/>
        </w:rPr>
        <w:t>159 milioane Euro/an</w:t>
      </w:r>
      <w:r w:rsidRPr="00315335">
        <w:rPr>
          <w:rFonts w:ascii="Arial" w:hAnsi="Arial" w:cs="Arial"/>
          <w:sz w:val="24"/>
          <w:szCs w:val="24"/>
        </w:rPr>
        <w:t>, asigurate în principal din fonduri europene (41%), bugetele național și local (28%), alte surse (31%). Costul total de 6,282 miliarde Euro este constituit din:</w:t>
      </w:r>
    </w:p>
    <w:p w:rsidR="00643CB5" w:rsidRPr="00315335" w:rsidRDefault="00643CB5" w:rsidP="00643CB5">
      <w:pPr>
        <w:spacing w:after="0" w:line="240" w:lineRule="auto"/>
        <w:ind w:left="270" w:hanging="270"/>
        <w:jc w:val="both"/>
        <w:rPr>
          <w:rFonts w:ascii="Arial" w:hAnsi="Arial" w:cs="Arial"/>
          <w:sz w:val="24"/>
          <w:szCs w:val="24"/>
        </w:rPr>
      </w:pPr>
      <w:r w:rsidRPr="00315335">
        <w:rPr>
          <w:rFonts w:ascii="Arial" w:hAnsi="Arial" w:cs="Arial"/>
          <w:sz w:val="24"/>
          <w:szCs w:val="24"/>
        </w:rPr>
        <w:t>-  costurile programului de măsuri realizate până în anul 2018, de cca. 3.401 milioane Euro și</w:t>
      </w:r>
    </w:p>
    <w:p w:rsidR="00643CB5" w:rsidRPr="00315335" w:rsidRDefault="00643CB5" w:rsidP="00643CB5">
      <w:pPr>
        <w:spacing w:after="0" w:line="240" w:lineRule="auto"/>
        <w:ind w:left="270" w:hanging="270"/>
        <w:jc w:val="both"/>
        <w:rPr>
          <w:rFonts w:ascii="Arial" w:hAnsi="Arial" w:cs="Arial"/>
          <w:sz w:val="24"/>
          <w:szCs w:val="24"/>
        </w:rPr>
      </w:pPr>
      <w:r w:rsidRPr="00315335">
        <w:rPr>
          <w:rFonts w:ascii="Arial" w:hAnsi="Arial" w:cs="Arial"/>
          <w:sz w:val="24"/>
          <w:szCs w:val="24"/>
        </w:rPr>
        <w:t>-  costurile realizate prin implementarea măsurilor din cadrul Programului Național de Dezvoltare Rurală 2014-2020, în valoare de aprox. 2.881 milioane Euro (din care 39% pentru costuri de investiții și 61% alte costuri, exclusiv costurile de operare-întreținere), măsuri care se referă la protecția apelor împotriva poluării provenite din agricultură, finanțate din Fondul European Agricol pentru Dezvoltare Rurală (FEADR).</w:t>
      </w:r>
    </w:p>
    <w:p w:rsidR="00643CB5" w:rsidRPr="00315335" w:rsidRDefault="00643CB5" w:rsidP="00643CB5">
      <w:pPr>
        <w:spacing w:before="120" w:after="0" w:line="240" w:lineRule="auto"/>
        <w:ind w:firstLine="720"/>
        <w:jc w:val="both"/>
        <w:rPr>
          <w:rFonts w:ascii="Arial" w:hAnsi="Arial" w:cs="Arial"/>
          <w:bCs/>
          <w:sz w:val="24"/>
          <w:szCs w:val="24"/>
          <w:lang w:val="en-US"/>
        </w:rPr>
      </w:pPr>
      <w:r w:rsidRPr="00315335">
        <w:rPr>
          <w:rFonts w:ascii="Arial" w:hAnsi="Arial" w:cs="Arial"/>
          <w:sz w:val="24"/>
          <w:szCs w:val="24"/>
        </w:rPr>
        <w:t xml:space="preserve">Având în vedere măsurile planificate în Planului de management actualizat, până la sfârșitul anului 2018 s-au realizat măsuri de bază și suplimentare din cadrul programului de măsuri, care, din punct de vedere financiar, se situeză la valoarea de aprox. </w:t>
      </w:r>
      <w:r w:rsidRPr="00315335">
        <w:rPr>
          <w:rFonts w:ascii="Arial" w:hAnsi="Arial" w:cs="Arial"/>
          <w:b/>
          <w:bCs/>
          <w:sz w:val="24"/>
          <w:szCs w:val="24"/>
        </w:rPr>
        <w:t>3,401 miliarde</w:t>
      </w:r>
      <w:r w:rsidRPr="00315335">
        <w:rPr>
          <w:rFonts w:ascii="Arial" w:hAnsi="Arial" w:cs="Arial"/>
          <w:b/>
          <w:sz w:val="24"/>
          <w:szCs w:val="24"/>
        </w:rPr>
        <w:t xml:space="preserve"> Euro, </w:t>
      </w:r>
      <w:r w:rsidRPr="00315335">
        <w:rPr>
          <w:rFonts w:ascii="Arial" w:hAnsi="Arial" w:cs="Arial"/>
          <w:sz w:val="24"/>
          <w:szCs w:val="24"/>
        </w:rPr>
        <w:t xml:space="preserve">care reprezintă costuri de investiții (94,1%), precum și alte costuri (5,9%). La acestea se adaugă alte </w:t>
      </w:r>
      <w:r w:rsidRPr="00315335">
        <w:rPr>
          <w:rFonts w:ascii="Arial" w:hAnsi="Arial" w:cs="Arial"/>
          <w:b/>
          <w:sz w:val="24"/>
          <w:szCs w:val="24"/>
        </w:rPr>
        <w:t>159 milioane Euro/an</w:t>
      </w:r>
      <w:r w:rsidRPr="00315335">
        <w:rPr>
          <w:rFonts w:ascii="Arial" w:hAnsi="Arial" w:cs="Arial"/>
          <w:sz w:val="24"/>
          <w:szCs w:val="24"/>
        </w:rPr>
        <w:t xml:space="preserve"> reprezentând costurile de operare-întreținere anuale. Dintre acestea, ponderea măsurilor de bază și suplimentare a costurilor realizate din costul total al măsurilor realizate până în anul 2018</w:t>
      </w:r>
      <w:r w:rsidRPr="00315335">
        <w:rPr>
          <w:rFonts w:ascii="Arial" w:eastAsia="Times New Roman" w:hAnsi="Arial" w:cs="Arial"/>
          <w:b/>
          <w:bCs/>
          <w:sz w:val="24"/>
          <w:szCs w:val="24"/>
        </w:rPr>
        <w:t xml:space="preserve"> </w:t>
      </w:r>
      <w:r w:rsidRPr="00315335">
        <w:rPr>
          <w:rFonts w:ascii="Arial" w:eastAsia="Times New Roman" w:hAnsi="Arial" w:cs="Arial"/>
          <w:bCs/>
          <w:sz w:val="24"/>
          <w:szCs w:val="24"/>
        </w:rPr>
        <w:t xml:space="preserve">(exclusiv costurile de operare – întreținere) </w:t>
      </w:r>
      <w:r w:rsidRPr="00315335">
        <w:rPr>
          <w:rFonts w:ascii="Arial" w:hAnsi="Arial" w:cs="Arial"/>
          <w:sz w:val="24"/>
          <w:szCs w:val="24"/>
        </w:rPr>
        <w:t xml:space="preserve">indică faptul că s-au realizat preponderent măsuri de bază al căror costuri reprezintă cca. </w:t>
      </w:r>
      <w:r w:rsidRPr="00315335">
        <w:rPr>
          <w:rFonts w:ascii="Arial" w:hAnsi="Arial" w:cs="Arial"/>
          <w:bCs/>
          <w:sz w:val="24"/>
          <w:szCs w:val="24"/>
        </w:rPr>
        <w:t xml:space="preserve">80,5% din costurile totale realizate în perioada 2016-2018. </w:t>
      </w:r>
    </w:p>
    <w:p w:rsidR="00643CB5" w:rsidRPr="00315335" w:rsidRDefault="00643CB5" w:rsidP="00643CB5">
      <w:pPr>
        <w:spacing w:before="120" w:after="120" w:line="240" w:lineRule="auto"/>
        <w:ind w:left="187" w:firstLine="547"/>
        <w:jc w:val="both"/>
        <w:rPr>
          <w:rFonts w:ascii="Arial" w:hAnsi="Arial" w:cs="Arial"/>
          <w:bCs/>
          <w:sz w:val="24"/>
          <w:szCs w:val="24"/>
          <w:lang w:val="en-US"/>
        </w:rPr>
      </w:pPr>
      <w:r w:rsidRPr="00315335">
        <w:rPr>
          <w:rFonts w:ascii="Arial" w:hAnsi="Arial" w:cs="Arial"/>
          <w:bCs/>
          <w:sz w:val="24"/>
          <w:szCs w:val="24"/>
          <w:lang w:val="en-US"/>
        </w:rPr>
        <w:t xml:space="preserve">În ceea ce privește cheltuielile totale realizate pentru măsurile aferente categoriilor de presiuni (exclusiv costurile de operare – înreținere) din costul total al măsurilor realizate până in anul 2018, cea mai mare pondere o reprezintă costurile pentru realziarea măsurilor aferente aglomerărilor umane, de cca. 78%. </w:t>
      </w:r>
    </w:p>
    <w:p w:rsidR="00643CB5" w:rsidRPr="00315335" w:rsidRDefault="00643CB5" w:rsidP="00643CB5">
      <w:pPr>
        <w:spacing w:before="120" w:after="120" w:line="240" w:lineRule="auto"/>
        <w:ind w:left="187" w:firstLine="547"/>
        <w:jc w:val="both"/>
        <w:rPr>
          <w:rFonts w:ascii="Arial" w:hAnsi="Arial" w:cs="Arial"/>
          <w:sz w:val="24"/>
          <w:szCs w:val="24"/>
          <w:lang w:val="it-IT"/>
        </w:rPr>
      </w:pPr>
      <w:r w:rsidRPr="00315335">
        <w:rPr>
          <w:rFonts w:ascii="Arial" w:hAnsi="Arial" w:cs="Arial"/>
          <w:bCs/>
          <w:sz w:val="24"/>
          <w:szCs w:val="24"/>
          <w:lang w:val="en-US"/>
        </w:rPr>
        <w:t>Măsurile monitorizate se adresează tuturor presiunilor potențial semnificative pentru care se implementează măsuri de reducere a poluării, în vederea conservării sau atingerii obiectivelor de mediu ale corpurilor de apă. De asemenea, măsurile suplimentare se adresează în special activităților agricole și aglomerărilor umane, în vederea atingerii obiectivelor de mediu, acolo unde implementarea măsurile de bază nu este suficientă.</w:t>
      </w:r>
    </w:p>
    <w:p w:rsidR="00643CB5" w:rsidRPr="00315335" w:rsidRDefault="00643CB5" w:rsidP="00643CB5">
      <w:pPr>
        <w:pStyle w:val="Default"/>
        <w:jc w:val="both"/>
        <w:rPr>
          <w:rFonts w:ascii="Arial" w:hAnsi="Arial" w:cs="Arial"/>
          <w:b/>
          <w:bCs/>
          <w:iCs/>
          <w:color w:val="auto"/>
          <w:u w:val="single"/>
        </w:rPr>
      </w:pPr>
    </w:p>
    <w:p w:rsidR="00E32613" w:rsidRDefault="00E32613" w:rsidP="00643CB5">
      <w:pPr>
        <w:pStyle w:val="Default"/>
        <w:jc w:val="both"/>
        <w:rPr>
          <w:rFonts w:ascii="Arial" w:hAnsi="Arial" w:cs="Arial"/>
          <w:b/>
          <w:bCs/>
          <w:i/>
          <w:iCs/>
          <w:color w:val="auto"/>
        </w:rPr>
      </w:pPr>
    </w:p>
    <w:p w:rsidR="00643CB5" w:rsidRPr="00315335" w:rsidRDefault="00643CB5" w:rsidP="00643CB5">
      <w:pPr>
        <w:pStyle w:val="Default"/>
        <w:jc w:val="both"/>
        <w:rPr>
          <w:rFonts w:ascii="Arial" w:hAnsi="Arial" w:cs="Arial"/>
          <w:bCs/>
          <w:i/>
          <w:iCs/>
          <w:color w:val="auto"/>
        </w:rPr>
      </w:pPr>
      <w:r w:rsidRPr="00315335">
        <w:rPr>
          <w:rFonts w:ascii="Arial" w:hAnsi="Arial" w:cs="Arial"/>
          <w:b/>
          <w:bCs/>
          <w:i/>
          <w:iCs/>
          <w:color w:val="auto"/>
        </w:rPr>
        <w:lastRenderedPageBreak/>
        <w:t xml:space="preserve">II.2.4. </w:t>
      </w:r>
      <w:r w:rsidRPr="00315335">
        <w:rPr>
          <w:rFonts w:ascii="Arial" w:hAnsi="Arial" w:cs="Arial"/>
          <w:b/>
          <w:bCs/>
          <w:iCs/>
          <w:color w:val="auto"/>
        </w:rPr>
        <w:t>Politici, acţiuni şi măsuri privind îmbunătăţirea stării de calitate a apelor</w:t>
      </w:r>
      <w:r w:rsidRPr="00315335">
        <w:rPr>
          <w:rFonts w:ascii="Arial" w:hAnsi="Arial" w:cs="Arial"/>
          <w:b/>
          <w:bCs/>
          <w:i/>
          <w:iCs/>
          <w:color w:val="auto"/>
        </w:rPr>
        <w:t xml:space="preserve"> – </w:t>
      </w:r>
      <w:r w:rsidRPr="00315335">
        <w:rPr>
          <w:rFonts w:ascii="Arial" w:hAnsi="Arial" w:cs="Arial"/>
          <w:bCs/>
          <w:i/>
          <w:iCs/>
          <w:color w:val="auto"/>
        </w:rPr>
        <w:t xml:space="preserve">date de la </w:t>
      </w:r>
      <w:r w:rsidR="00E32613">
        <w:rPr>
          <w:rFonts w:ascii="Arial" w:hAnsi="Arial" w:cs="Arial"/>
          <w:bCs/>
          <w:i/>
          <w:iCs/>
          <w:color w:val="auto"/>
        </w:rPr>
        <w:t xml:space="preserve">ANAR- </w:t>
      </w:r>
      <w:r w:rsidRPr="00315335">
        <w:rPr>
          <w:rFonts w:ascii="Arial" w:hAnsi="Arial" w:cs="Arial"/>
          <w:bCs/>
          <w:i/>
          <w:iCs/>
          <w:color w:val="auto"/>
        </w:rPr>
        <w:t>INHGA – 2018</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Măsurile impuse de legislaţia naţională care implementează Directivele Europene au ca obiectiv general conformarea cu cerinţele Uniunii Europene în domeniul calităţii apei, prin îndeplinirea obligaţiilor asumate prin Tratatul de Aderare la Uniunea Europeană şi documentul “Poziţia Comună a Uniunii Europene (CONF-RO 52/04), Bruxelles, 24 Noiembrie 2004, Capitolul 22 Mediu”. Documentele naţionale de aplicare cuprind atât planurile de implementare a directivelor europene în domeniul calităţii apei, cât şi documentele strategice naţionale care asigură cadrul de realizare a acestora.</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Managementul resurselor de apă necesită o abordare integrată a prevederilor Directivei Cadru Apă 2000/60/CE cu cele ale altor directive europene în domeniul apelor, precum și cu alte politici și strategii relevante ale anumitor sectoare, respectiv Directiva 2007/60/CE privind evaluarea și gestionarea riscului la inundații, Directiva Cadru Strategia pentru Mediul Marin 2008/56/CE, sectorul hidroenergetic, protecția naturii, schimbările climatice, etc.</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Procesul de integrare a managementului resurselor de apă din districtul bazinului hidrografic al Dunării cu alte politici, este promovat de către Declarația Dunării din 2010 și de documentele Uniunii Europene pentru salvgardarea resurselor de apă ale Europei (Blueprint - 2012). Aceste documente sunt avute în vedere și de România, în calitate de stat semnatar al Convenției privind cooperarea pentru protecţia şi utilizarea durabilă a fluviului Dunărea (Convenţia pentru protecţia fluviului Dunărea) și ca stat membru al Uniunii Europene.</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În România, elaborarea strategiei şi politicii naţionale în domeniul gospodăririi apelor, asigurarea coordonării pentru aplicarea reglementărilor interne și internaţionale din acest domeniu se realizează de către Ministerul Mediului, Apelor și Pădurilor – Direcția Managementul Resurselor de Apă. Gestionarea cantitativă și calitativă a resurselor de apă, administrarea lucrărilor de gospodărire a apelor, precum și aplicarea strategiei şi politicii naţionale, cu respectarea reglementărilor naţionale în domeniu, se realizează de Administraţia Naţională "Apele Române", prin Administraţiile Bazinale de Apă din subordinea acesteia. Cadrul legislativ pentru gestionarea durabilă a resurselor de apă este asigurat prin Legea Apelor nr.107/1996, cu modificările și completările ulterioare.</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În România conform Legii Apelor, Schema Directoare de Amenajare și Management ale Bazinelor Hidrografice este instrumentul principal de planificare, dezvoltare şi gestionare a resurselor de apă la nivelul districtului de bazin hidrografic şi este alcatuită din Planul de amenajare a bazinului hidrografic (PABH) - componentă de gospodarire cantitativă şi Planul de management al bazinului hidrografic (PMBH) - componenta de gospodărire calitativă. Schemele Directoare de Amenajare și Management ale Bazinelor Hidrografice se întocmesc în conformitate cu Ordinul ministrului mediului şi gospodăririi apelor nr. 1.258/2006 care aprobă Metodologia şi Instrucţiunile tehnice de elaborare.</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Strategia şi politica naţională în domeniul gospodăririi apelor are drept scop realizarea unei politici de gospodărire durabilă a apelor prin asigurarea protecţiei cantitativă și calitativă a apelor, apărarea împotriva acţiunilor distructive ale apelor, precum și valorificarea potenţialului apelor în raport cu cerinţele dezvoltării durabile a societăţii şi în acord cu directivele europene în domeniul apelor. Pentru realizarea acestei politici se au în vedere următoarele obiective specifice:</w:t>
      </w:r>
    </w:p>
    <w:p w:rsidR="00643CB5" w:rsidRPr="00315335" w:rsidRDefault="00643CB5" w:rsidP="00E14739">
      <w:pPr>
        <w:numPr>
          <w:ilvl w:val="0"/>
          <w:numId w:val="16"/>
        </w:numPr>
        <w:spacing w:before="120" w:after="120" w:line="240" w:lineRule="auto"/>
        <w:ind w:left="360"/>
        <w:jc w:val="both"/>
        <w:rPr>
          <w:rFonts w:ascii="Arial" w:hAnsi="Arial" w:cs="Arial"/>
          <w:sz w:val="24"/>
          <w:szCs w:val="24"/>
        </w:rPr>
      </w:pPr>
      <w:r w:rsidRPr="00315335">
        <w:rPr>
          <w:rFonts w:ascii="Arial" w:hAnsi="Arial" w:cs="Arial"/>
          <w:sz w:val="24"/>
          <w:szCs w:val="24"/>
        </w:rPr>
        <w:t>Îmbunătăţirea stării apelor de suprafaţă şi a apelor subterane prin implementarea planurilor de management ale bazinelor hidrografice, în conformitate cu prevederile Directivei Cadru Apă a Uniunii Europene;</w:t>
      </w:r>
    </w:p>
    <w:p w:rsidR="00643CB5" w:rsidRPr="00315335" w:rsidRDefault="00643CB5" w:rsidP="00E14739">
      <w:pPr>
        <w:numPr>
          <w:ilvl w:val="0"/>
          <w:numId w:val="16"/>
        </w:numPr>
        <w:spacing w:before="120" w:after="120" w:line="240" w:lineRule="auto"/>
        <w:ind w:left="360"/>
        <w:jc w:val="both"/>
        <w:rPr>
          <w:rFonts w:ascii="Arial" w:hAnsi="Arial" w:cs="Arial"/>
          <w:sz w:val="24"/>
          <w:szCs w:val="24"/>
        </w:rPr>
      </w:pPr>
      <w:r w:rsidRPr="00315335">
        <w:rPr>
          <w:rFonts w:ascii="Arial" w:hAnsi="Arial" w:cs="Arial"/>
          <w:sz w:val="24"/>
          <w:szCs w:val="24"/>
        </w:rPr>
        <w:t>Implementarea Strategiei Naționale de Management al Riscului la Inundaţii, a planurilor şi programelor necesare şi realizarea măsurilor ce derivă din acestea, în concordanţă cu prevederile legislaţiei europene în domeniu;</w:t>
      </w:r>
    </w:p>
    <w:p w:rsidR="00643CB5" w:rsidRPr="00315335" w:rsidRDefault="00643CB5" w:rsidP="00E14739">
      <w:pPr>
        <w:numPr>
          <w:ilvl w:val="0"/>
          <w:numId w:val="16"/>
        </w:numPr>
        <w:spacing w:before="120" w:after="120" w:line="240" w:lineRule="auto"/>
        <w:ind w:left="360"/>
        <w:jc w:val="both"/>
        <w:rPr>
          <w:rFonts w:ascii="Arial" w:hAnsi="Arial" w:cs="Arial"/>
          <w:sz w:val="24"/>
          <w:szCs w:val="24"/>
        </w:rPr>
      </w:pPr>
      <w:r w:rsidRPr="00315335">
        <w:rPr>
          <w:rFonts w:ascii="Arial" w:hAnsi="Arial" w:cs="Arial"/>
          <w:sz w:val="24"/>
          <w:szCs w:val="24"/>
        </w:rPr>
        <w:t>Elaborarea Schemelor Directoare de Amenajare a Bazinelor Hidrografice pentru folosinţele de apă, în scopul diminuării efectelor negative ale fenomenelor naturale asupra vieţii, bunurilor şi activităţilor umane în corelare cu dezvoltarea economică şi socială a ţării;</w:t>
      </w:r>
    </w:p>
    <w:p w:rsidR="00643CB5" w:rsidRPr="00315335" w:rsidRDefault="00643CB5" w:rsidP="00E14739">
      <w:pPr>
        <w:numPr>
          <w:ilvl w:val="0"/>
          <w:numId w:val="16"/>
        </w:numPr>
        <w:spacing w:before="120" w:after="120" w:line="240" w:lineRule="auto"/>
        <w:ind w:left="360"/>
        <w:jc w:val="both"/>
        <w:rPr>
          <w:rFonts w:ascii="Arial" w:hAnsi="Arial" w:cs="Arial"/>
          <w:sz w:val="24"/>
          <w:szCs w:val="24"/>
        </w:rPr>
      </w:pPr>
      <w:r w:rsidRPr="00315335">
        <w:rPr>
          <w:rFonts w:ascii="Arial" w:hAnsi="Arial" w:cs="Arial"/>
          <w:sz w:val="24"/>
          <w:szCs w:val="24"/>
        </w:rPr>
        <w:lastRenderedPageBreak/>
        <w:t>Implementarea Planului de protecţie şi reabilitate a ţărmului românesc al Mării Negre împotriva eroziunii şi promovarea unui management integrat al zonei costiere, conform recomandărilor europene în domeniu, inclusiv implementarea prevederilor Master Planului ― Protecţia şi reabilitarea zonei costiere;</w:t>
      </w:r>
    </w:p>
    <w:p w:rsidR="00643CB5" w:rsidRPr="00315335" w:rsidRDefault="00643CB5" w:rsidP="00E14739">
      <w:pPr>
        <w:numPr>
          <w:ilvl w:val="0"/>
          <w:numId w:val="16"/>
        </w:numPr>
        <w:spacing w:before="120" w:after="120" w:line="240" w:lineRule="auto"/>
        <w:ind w:left="360"/>
        <w:jc w:val="both"/>
        <w:rPr>
          <w:rFonts w:ascii="Arial" w:hAnsi="Arial" w:cs="Arial"/>
          <w:sz w:val="24"/>
          <w:szCs w:val="24"/>
        </w:rPr>
      </w:pPr>
      <w:r w:rsidRPr="00315335">
        <w:rPr>
          <w:rFonts w:ascii="Arial" w:hAnsi="Arial" w:cs="Arial"/>
          <w:sz w:val="24"/>
          <w:szCs w:val="24"/>
        </w:rPr>
        <w:t>Întărirea parteneriatului transfrontalier şi internaţional cu instituţii similare din alte ţări, în scopul monitorizării stadiului de implementare al înţelegerilor internaţionale şi promovării de proiecte comune.</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În prezent se urmăreşte gospodărirea durabilă a apelor pe baza aplicării legislaţiei Uniunii Europene şi în special a principiilor Directivei Cadru pentru Apă și Directivei Inundaţii, care au fost transpuse prin Legea Apelor 107/1996 cu modificările și completările ulterioare. În acest context, instrumentele de realizare a politicii şi strategiei în domeniul apelor includ Schema Directoare de Amenajare şi Management ale Bazinelor Hidrografice, managementul integrat al apelor pe bazine hidrografice și adaptarea capacităţii instituţionale la cerinţele managementului integrat. Pentru realizarea fiecărui obiectiv specific propus au fost planificate numeroase acţiuni. Unele dintre acestea au fost realizate până în prezent, altele sunt în curs de realizare sau vor fi realizate în etapa următoare.</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 xml:space="preserve">Acţiunile necesare pentru îmbunătăţirea stării apelor de suprafaţă şi a apelor subterane au fost stabilite în cadrul Planurilor de Management ale Bazinelor Hidrografice, ca parte a Planului de Management al districtului internaţional al Dunării, întocmit în conformitate cu prevederile Directivei Cadru Apa. Primele Planuri de Management ale bazinelor/spațiilor hidrografice, precum și Planul Naţional de Management, au fost aprobate prin H.G. nr. 80/26.01.2011 </w:t>
      </w:r>
      <w:r w:rsidRPr="00315335">
        <w:rPr>
          <w:rFonts w:ascii="Arial" w:hAnsi="Arial" w:cs="Arial"/>
          <w:i/>
          <w:sz w:val="24"/>
          <w:szCs w:val="24"/>
        </w:rPr>
        <w:t>pentru aprobarea Planului naţional de management aferent porţiunii din bazinul hidrografic internaţional al fluviului Dunărea care este cuprinsă în teritoriul României</w:t>
      </w:r>
      <w:r w:rsidRPr="00315335">
        <w:rPr>
          <w:rFonts w:ascii="Arial" w:hAnsi="Arial" w:cs="Arial"/>
          <w:sz w:val="24"/>
          <w:szCs w:val="24"/>
        </w:rPr>
        <w:t>, Monitorul Oficial nr. 265/14.04.2011. Conform ciclului de planificare următor de 6 ani, România a elaborat și făcut public la 22 decembrie 2014 proiectul Planului Național de Management aferent porţiunii din bazinul hidrografic internaţional al fluviului Dunărea care este cuprinsă în teritoriul României, pentru perioada 2016-2021. Ca și în cazul primului ciclu de planificare 2009-2015, în elaborarea proiectelor Planurilor de Management la nivel bazinal și național s-au luat în considerare recomandările ghidurilor și documentelor dezvoltate în cadrul Strategiei Comune de Implementare a Directivei Cadru Apă, precum și cerințele formulate în Ghidul de raportare a Directivei Cadru Apă 2016, elaborat de Comisia Europeană împreună cu Statele Membre în anul 2014.</w:t>
      </w:r>
    </w:p>
    <w:p w:rsidR="00643CB5" w:rsidRPr="00315335" w:rsidRDefault="00643CB5" w:rsidP="00643CB5">
      <w:pPr>
        <w:spacing w:before="120" w:after="120" w:line="240" w:lineRule="auto"/>
        <w:jc w:val="both"/>
        <w:rPr>
          <w:rFonts w:ascii="Arial" w:hAnsi="Arial" w:cs="Arial"/>
          <w:sz w:val="24"/>
          <w:szCs w:val="24"/>
        </w:rPr>
      </w:pPr>
      <w:r w:rsidRPr="00315335">
        <w:rPr>
          <w:rFonts w:ascii="Arial" w:hAnsi="Arial" w:cs="Arial"/>
          <w:sz w:val="24"/>
          <w:szCs w:val="24"/>
        </w:rPr>
        <w:t xml:space="preserve">Conform prevederilor legale, la 22 decembrie 2014, proiectele Planurilor de Management ale bazinelor/spațiilor hidrografice și a Planului Național de Management aferent porţiunii din bazinul hidrografic internaţional al fluviului Dunărea care este cuprinsă în teritoriul României au fost publicate pe website-urile Administrației Naționale „Apele Române” și ale  Administrațiilor Bazinale de Ape şi au fost  supuse consultării publice pentru cel puțin o perioadă de 6 luni (22 iunie 2015). </w:t>
      </w:r>
    </w:p>
    <w:p w:rsidR="00643CB5" w:rsidRPr="00315335" w:rsidRDefault="00643CB5" w:rsidP="00643CB5">
      <w:pPr>
        <w:spacing w:before="120" w:after="120" w:line="240" w:lineRule="auto"/>
        <w:jc w:val="both"/>
        <w:rPr>
          <w:rFonts w:ascii="Arial" w:hAnsi="Arial" w:cs="Arial"/>
          <w:sz w:val="24"/>
          <w:szCs w:val="24"/>
        </w:rPr>
      </w:pPr>
      <w:r w:rsidRPr="00315335">
        <w:rPr>
          <w:rFonts w:ascii="Arial" w:hAnsi="Arial" w:cs="Arial"/>
          <w:sz w:val="24"/>
          <w:szCs w:val="24"/>
        </w:rPr>
        <w:t>La sfârşitul anului 2015, cele 11 Planuri de Management Bazinale, au fost avizate de către Comitetele de Bazin, și au fost publicate la 22 decembrie 2015 pe website-urile Administraţiilor Bazinale de Apă și al Administrației Naționale ”Apele Române”, în conformitate cu prevederile Directivei Cadru Apă.</w:t>
      </w:r>
    </w:p>
    <w:p w:rsidR="00643CB5" w:rsidRPr="00315335" w:rsidRDefault="00643CB5" w:rsidP="00643CB5">
      <w:pPr>
        <w:spacing w:before="120" w:after="120" w:line="240" w:lineRule="auto"/>
        <w:jc w:val="both"/>
        <w:rPr>
          <w:rFonts w:ascii="Arial" w:hAnsi="Arial" w:cs="Arial"/>
          <w:i/>
          <w:sz w:val="24"/>
          <w:szCs w:val="24"/>
        </w:rPr>
      </w:pPr>
      <w:r w:rsidRPr="00315335">
        <w:rPr>
          <w:rFonts w:ascii="Arial" w:hAnsi="Arial" w:cs="Arial"/>
          <w:sz w:val="24"/>
          <w:szCs w:val="24"/>
        </w:rPr>
        <w:t>În  cadrul procesului de evaluare strategică de mediu, în conformitate cu prevederile HG nr. 1076/2004 privind stabilirea procedurii de realizare a evaluării de mediu pentru planuri şi programe, s-a stabilit că Planul Național de Management aferent porțiunii din Bazinul Hidrografic Internațional al fluviului Dunărea care este cuprinsă în teritoriul României pentru perioada 2016 – 2021 nu are efecte semnificative asupra mediului, nu necesită evaluare de mediu și poate fi supus procedurii de adoptare fără aviz de mediu.</w:t>
      </w:r>
    </w:p>
    <w:p w:rsidR="00643CB5" w:rsidRPr="00315335" w:rsidRDefault="00643CB5" w:rsidP="00643CB5">
      <w:pPr>
        <w:spacing w:before="120" w:after="120" w:line="240" w:lineRule="auto"/>
        <w:jc w:val="both"/>
        <w:rPr>
          <w:rFonts w:ascii="Arial" w:hAnsi="Arial" w:cs="Arial"/>
          <w:sz w:val="24"/>
          <w:szCs w:val="24"/>
        </w:rPr>
      </w:pPr>
      <w:r w:rsidRPr="00315335">
        <w:rPr>
          <w:rFonts w:ascii="Arial" w:hAnsi="Arial" w:cs="Arial"/>
          <w:sz w:val="24"/>
          <w:szCs w:val="24"/>
        </w:rPr>
        <w:t xml:space="preserve">Planul Naţional de Management aferent porţiunii româneşti a bazinului hidrografic internaţional al fluviului Dunărea, precum și cele 11 Planuri de management ale bazinelor hidrografice, elaborate în conformitate cu cerinţele art. 13 al  Directivei Cadru Apă 2000/60/CE, au fost actualizate și aprobate prin </w:t>
      </w:r>
      <w:r w:rsidRPr="00315335">
        <w:rPr>
          <w:rFonts w:ascii="Arial" w:hAnsi="Arial" w:cs="Arial"/>
          <w:b/>
          <w:i/>
          <w:sz w:val="24"/>
          <w:szCs w:val="24"/>
        </w:rPr>
        <w:t xml:space="preserve">Hotărârea de Guvern nr. 859 din 16 noiembrie 2016 pentru aprobarea Planului naţional de management actualizat aferent porţiunii din bazinul </w:t>
      </w:r>
      <w:r w:rsidRPr="00315335">
        <w:rPr>
          <w:rFonts w:ascii="Arial" w:hAnsi="Arial" w:cs="Arial"/>
          <w:b/>
          <w:i/>
          <w:sz w:val="24"/>
          <w:szCs w:val="24"/>
        </w:rPr>
        <w:lastRenderedPageBreak/>
        <w:t xml:space="preserve">hidrografic internaţional al fluviului Dunărea care este cuprinsă în teritoriul României și publicat în Monitorul Oficial nr. 1.004 din 14 decembrie 2016.  </w:t>
      </w:r>
      <w:r w:rsidRPr="00315335">
        <w:rPr>
          <w:rFonts w:ascii="Arial" w:hAnsi="Arial" w:cs="Arial"/>
          <w:sz w:val="24"/>
          <w:szCs w:val="24"/>
        </w:rPr>
        <w:t>Planul  Naţional de Management actualizat aferent porţiunii româneşti a bazinului hidrografic internaţional al fluviului Dunărea a fost raportat în  Sistemul European Informatic pentru Apă (WISE) și anvelopa de raportare a fost închisă (via Agenţia Europeană de Mediu - Reportnet) la data de 16 decembrie 2016.</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Prin implementarea şi monitorizarea programelor de măsuri se vor atinge obiectivele de mediu pentru corpurile de apă, respectiv starea ecologică bună și potenţialul ecologic bun. În vederea evaluării stadiului implementării programului de măsuri stabilit în cadrul Planurilor de Management ale bazinelor/spațiilor hidrografice (2009-2015) s-a avut în vederea realizarea măsurilor de bază și suplimentare prevăzute în anexele primului Plan de management ale căror termene de implementare se încadrează în perioada 2009-2015. De asemenea, au fost luate în considerare și măsurile din primul Plan de management care erau planificate să se realizeze după anul 2015, dar care au început să se implementeze în avans. În perioada 2009-2015 sunt implementate și se vor realiza măsuri de bază şi suplimentare pentru  aglomerările umane (apă potabilă, apă uzată, nămoluri de la stații de epurare) și activitățile industriale și agro-zootehnice (IED, Seveso III), precum și a altor măsuri de baza referitoare la reglementarea / autorizarea, controlul și monitorizarea surselor de poluare punctiforme și difuze și alterarilor hidromorfologice. De asemenea, o serie de măsuri suplimentare planificate au fost realizate sau sunt in curs de implementare până la sfârșitul anului 2018.</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În vederea atingerii obiectivelor de mediu și menținerii stării bune a corpurilor de apă de suprafață și subterane, în perioada 2016 – 2021 se continuă implementarea măsurilor pentru aglomerările umane, activitățile industriale și agricole, precum și pentru alterările hidromorfologice, al căror termen de realizare este perioada 2019 – 2020. Tipurile de măsuri sunt similare cu cele implementate pe parcursul primului ciclu de planificare, respectiv în principal măsuri pentru implementarea cerințelor directivelor europene, la care sunt adăugate noi tipuri de măsuri recomandate de Comisia Europeană în ghidurile Strategiei comune pentru implementarea Directivei cadru Apă ( CIS WFD): măsuri de stocare naturală a apelor (NWRM), măsuri de reducere a pierderilor de apă, măsuri de reutilizare a apelor, măsuri în contextul schimbărilor climatice, etc.</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 xml:space="preserve">Inundațiile reprezintă o amenințare la siguranța și sănătatea umană. Directiva 2007/60/CE privind evaluarea și gestionarea riscului la inundații și programul de acțiune al ICPDR cu privire la apărarea împotriva inundațiilor au stabilit cadrul pentru managementul inundațiilor în bazinul Dunării. Măsurile pentru protecția împotriva  inundațiilor pot afecta starea apelor de suprafață (ex. diguri și poldere), însă unele măsuri pot sprijini atingerea obiectivelor Directivei Inundații, cât și ale Directivei Cadru Apă (de ex. prin reconectarea zonelor umede adiacente și a luncii inundabile). Pentru a asigura cele mai bune soluții posibile, este necesară o elaborare coordonată a celui de-al doilea plan de Management și a primului Plan de management al riscului la inundații al Dunării până în anul 2015. </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În vederea stabilirii acţiunilor concrete pentru implementarea Directivei 60/2007 privind evaluarea şi gestionarea riscurilor la inundaţii, s-a elaborat Strategia naţională de management al riscului la inundaţii pe termen mediu si lung, aprobată prin H.G.  nr. 846/2010. Strategia are ca obiectiv principal prevenirea şi reducerea consecinţelor inundaţiilor asupra vieţii şi sănătăţii oamenilor, activităţilor socio-economice şi a mediului. Pe baza Strategiei Naționale de Management al Riscului la Inundații s-au elaborat Planurile pentru Prevenirea, Protecția și Diminuarea Efectelor Inundațiilor (PPPDEI), conform cerințelor Directivei 2007/60/CE  (Directiva Inundații), în scopul reducerii riscului de producere a dezastrelor naturale (inundaţii) cu efect asupra populației, prin implementarea măsurilor preventive în cele mai vulnerabile zone, pe termen mediu (2020). Pe baza acestora se vor actualiza/dezvolta Planurile de Amenajare ale bazinelor hidrografice şi Planurile de Management al Riscului la Inundaţii.</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 xml:space="preserve">De asemenea, Strategia naţională de management al riscului la inundaţii pe termen mediu si lung promovează aplicarea măsurilor de restaurare a zonelor naturale inundabile în scopul reactivării capacităţii zonelor umede şi a luncilor inundabile de a reţine apa şi de a diminua </w:t>
      </w:r>
      <w:r w:rsidRPr="00315335">
        <w:rPr>
          <w:rFonts w:ascii="Arial" w:hAnsi="Arial" w:cs="Arial"/>
          <w:sz w:val="24"/>
          <w:szCs w:val="24"/>
        </w:rPr>
        <w:lastRenderedPageBreak/>
        <w:t>impactul inundaţiilor, respectiv păstrarea zonelor inundabile actuale, cu vulnerabilitate scăzută, pentru atenuarea naturală a undelor de viitură, cu respectarea principiilor strategiei.</w:t>
      </w:r>
    </w:p>
    <w:p w:rsidR="00643CB5" w:rsidRPr="00315335" w:rsidRDefault="00643CB5" w:rsidP="00643CB5">
      <w:pPr>
        <w:spacing w:before="120" w:after="120" w:line="240" w:lineRule="auto"/>
        <w:ind w:firstLine="567"/>
        <w:jc w:val="both"/>
        <w:rPr>
          <w:rFonts w:ascii="Arial" w:hAnsi="Arial" w:cs="Arial"/>
          <w:sz w:val="24"/>
          <w:szCs w:val="24"/>
        </w:rPr>
      </w:pPr>
      <w:r w:rsidRPr="00315335">
        <w:rPr>
          <w:rFonts w:ascii="Arial" w:hAnsi="Arial" w:cs="Arial"/>
          <w:sz w:val="24"/>
          <w:szCs w:val="24"/>
        </w:rPr>
        <w:t>În vederea realizării obiectivelor strategice anuale, Guvernul României elaborează și implementează Planul de acţiuni pentru implementarea Programului Naţional de Reformă (PNR) și a Recomandărilor Specifice de Ţară (RST). Programul Naţional de Reformă (PNR) constituie o platformă-cadru pentru definirea priorităţilor de dezvoltare care ghidează evoluţia României până în anul 2020, în vederea atingerii obiectivelor Strategiei Europa 2020, dar şi pentru definirea unor reforme structurale care să răspundă provocărilor identificate de Comisia Europeană pentru România. PNR 2017 a fost elaborat în conformitate cu orientările europene, cu priorităţile stabilite prin Analiza Anuală a Creşterii 2017 (AAC)</w:t>
      </w:r>
      <w:r w:rsidRPr="00315335">
        <w:rPr>
          <w:rStyle w:val="Referinnotdesubsol"/>
          <w:rFonts w:ascii="Arial" w:hAnsi="Arial" w:cs="Arial"/>
          <w:sz w:val="24"/>
          <w:szCs w:val="24"/>
        </w:rPr>
        <w:footnoteReference w:id="1"/>
      </w:r>
      <w:r w:rsidRPr="00315335">
        <w:rPr>
          <w:rFonts w:ascii="Arial" w:hAnsi="Arial" w:cs="Arial"/>
          <w:sz w:val="24"/>
          <w:szCs w:val="24"/>
        </w:rPr>
        <w:t>, fiind luate în considerare Recomandările Specifice de Ţară 2016, precum şi Raportul de ţară al României din 2017. În ceea ce privește managementul apelor, în PNR 2017 sunt monitorizate cu atenție aspectele referitoare la protecţia resurselor de apă, realizarea şi reabilitarea staţiilor de tratare, canalizare şi a staţiilor de epurare, precum și îmbunătăţirea sistemelor de protecţie împotriva riscului de inundaţii.</w:t>
      </w:r>
    </w:p>
    <w:p w:rsidR="00643CB5" w:rsidRPr="00315335" w:rsidRDefault="00643CB5" w:rsidP="00A82794">
      <w:pPr>
        <w:tabs>
          <w:tab w:val="left" w:leader="dot" w:pos="9356"/>
        </w:tabs>
        <w:spacing w:after="0" w:line="240" w:lineRule="auto"/>
        <w:ind w:left="567"/>
        <w:rPr>
          <w:rFonts w:ascii="Arial" w:hAnsi="Arial" w:cs="Arial"/>
          <w:sz w:val="20"/>
          <w:szCs w:val="20"/>
        </w:rPr>
      </w:pPr>
    </w:p>
    <w:p w:rsidR="00F70541" w:rsidRPr="00315335" w:rsidRDefault="00F70541" w:rsidP="00F70541">
      <w:pPr>
        <w:spacing w:after="0" w:line="240" w:lineRule="auto"/>
        <w:rPr>
          <w:rFonts w:ascii="Arial" w:hAnsi="Arial" w:cs="Arial"/>
          <w:b/>
          <w:sz w:val="24"/>
          <w:szCs w:val="24"/>
        </w:rPr>
      </w:pPr>
      <w:r w:rsidRPr="00315335">
        <w:rPr>
          <w:rFonts w:ascii="Arial" w:hAnsi="Arial" w:cs="Arial"/>
          <w:b/>
          <w:sz w:val="24"/>
          <w:szCs w:val="24"/>
        </w:rPr>
        <w:t>III. SOLUL</w:t>
      </w:r>
    </w:p>
    <w:p w:rsidR="00F70541" w:rsidRPr="00315335" w:rsidRDefault="00F70541" w:rsidP="00F70541">
      <w:pPr>
        <w:spacing w:after="0" w:line="240" w:lineRule="auto"/>
        <w:rPr>
          <w:rFonts w:ascii="Arial" w:hAnsi="Arial" w:cs="Arial"/>
          <w:b/>
          <w:sz w:val="24"/>
          <w:szCs w:val="24"/>
        </w:rPr>
      </w:pP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 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b/>
          <w:sz w:val="24"/>
          <w:szCs w:val="24"/>
        </w:rPr>
      </w:pP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r w:rsidRPr="00315335">
        <w:rPr>
          <w:rFonts w:ascii="Arial" w:hAnsi="Arial" w:cs="Arial"/>
          <w:b/>
          <w:sz w:val="24"/>
          <w:szCs w:val="24"/>
          <w:lang w:val="ro-RO"/>
        </w:rPr>
        <w:t xml:space="preserve">    III.1.Calitatea solurilor: stare și tendințe</w:t>
      </w:r>
    </w:p>
    <w:p w:rsidR="00F70541" w:rsidRPr="00315335" w:rsidRDefault="00F70541" w:rsidP="00F70541">
      <w:pPr>
        <w:pStyle w:val="Indentcorptext"/>
        <w:spacing w:after="0" w:line="240" w:lineRule="auto"/>
        <w:ind w:left="0" w:firstLine="709"/>
        <w:jc w:val="both"/>
        <w:rPr>
          <w:rFonts w:ascii="Arial" w:hAnsi="Arial" w:cs="Arial"/>
          <w:b/>
          <w:sz w:val="24"/>
          <w:szCs w:val="24"/>
          <w:lang w:val="ro-RO"/>
        </w:rPr>
      </w:pPr>
      <w:r w:rsidRPr="00315335">
        <w:rPr>
          <w:rFonts w:ascii="Arial" w:hAnsi="Arial" w:cs="Arial"/>
          <w:b/>
          <w:sz w:val="24"/>
          <w:szCs w:val="24"/>
          <w:lang w:val="ro-RO"/>
        </w:rPr>
        <w:t>III.1.1.</w:t>
      </w:r>
      <w:r w:rsidRPr="00315335">
        <w:rPr>
          <w:rFonts w:ascii="Arial" w:hAnsi="Arial" w:cs="Arial"/>
          <w:b/>
          <w:i/>
          <w:sz w:val="24"/>
          <w:szCs w:val="24"/>
          <w:lang w:val="ro-RO"/>
        </w:rPr>
        <w:t xml:space="preserve"> Repartiția terenurilor pe clase de calitate </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Condiţiile pedoclimatice din judeţul Brăila au determinat apariţia şi evoluţia unei cuverturi de soluri, diversă, dominată de solurile zonale de tip cernoziom, soluri azonale, soluri aluvionare, coluviale, neevoluate, psamosoluri, lăcovişti etc.</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b/>
          <w:sz w:val="24"/>
          <w:szCs w:val="24"/>
        </w:rPr>
      </w:pPr>
      <w:r w:rsidRPr="00315335">
        <w:rPr>
          <w:rFonts w:ascii="Arial" w:hAnsi="Arial" w:cs="Arial"/>
          <w:sz w:val="24"/>
          <w:szCs w:val="24"/>
        </w:rPr>
        <w:t>Tipurile de sol caracteristice judeţului Brăila sunt prezentate în tabelul de mai jos:</w:t>
      </w:r>
    </w:p>
    <w:p w:rsidR="00F70541" w:rsidRPr="00315335" w:rsidRDefault="00F70541" w:rsidP="00F70541">
      <w:pPr>
        <w:spacing w:after="0" w:line="240" w:lineRule="auto"/>
        <w:jc w:val="both"/>
        <w:rPr>
          <w:rFonts w:ascii="Arial" w:hAnsi="Arial" w:cs="Arial"/>
          <w:sz w:val="24"/>
          <w:szCs w:val="24"/>
        </w:rPr>
      </w:pPr>
      <w:r w:rsidRPr="00315335">
        <w:rPr>
          <w:rFonts w:ascii="Arial" w:hAnsi="Arial" w:cs="Arial"/>
          <w:sz w:val="24"/>
          <w:szCs w:val="24"/>
        </w:rPr>
        <w:t>Tabelul III.1.1-1. Tipurile de sol caracteristice judeţului Brăila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1964"/>
        <w:gridCol w:w="2030"/>
      </w:tblGrid>
      <w:tr w:rsidR="00315335" w:rsidRPr="00315335" w:rsidTr="00916B06">
        <w:trPr>
          <w:trHeight w:val="567"/>
          <w:jc w:val="center"/>
        </w:trPr>
        <w:tc>
          <w:tcPr>
            <w:tcW w:w="29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pStyle w:val="Titlu4"/>
              <w:spacing w:before="0" w:after="0"/>
              <w:jc w:val="both"/>
              <w:rPr>
                <w:rFonts w:ascii="Arial" w:hAnsi="Arial" w:cs="Arial"/>
                <w:bCs w:val="0"/>
                <w:sz w:val="24"/>
                <w:szCs w:val="24"/>
              </w:rPr>
            </w:pPr>
            <w:r w:rsidRPr="00315335">
              <w:rPr>
                <w:rFonts w:ascii="Arial" w:hAnsi="Arial" w:cs="Arial"/>
                <w:bCs w:val="0"/>
                <w:sz w:val="24"/>
                <w:szCs w:val="24"/>
              </w:rPr>
              <w:t>Tipuri de  sol</w:t>
            </w:r>
          </w:p>
        </w:tc>
        <w:tc>
          <w:tcPr>
            <w:tcW w:w="19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Suprafaţa (ha)</w:t>
            </w:r>
          </w:p>
        </w:tc>
        <w:tc>
          <w:tcPr>
            <w:tcW w:w="20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Procentual (%)</w:t>
            </w:r>
          </w:p>
        </w:tc>
      </w:tr>
      <w:tr w:rsidR="00315335" w:rsidRPr="00315335" w:rsidTr="00916B06">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Protisoluri</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135.686,75</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34,65</w:t>
            </w:r>
          </w:p>
        </w:tc>
      </w:tr>
      <w:tr w:rsidR="00315335" w:rsidRPr="00315335" w:rsidTr="00916B06">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 xml:space="preserve">Cernisoluri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203.552,00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51,98</w:t>
            </w:r>
          </w:p>
        </w:tc>
      </w:tr>
      <w:tr w:rsidR="00315335" w:rsidRPr="00315335" w:rsidTr="00916B06">
        <w:trPr>
          <w:trHeight w:val="245"/>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 xml:space="preserve">Hidrisoluri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36.477,00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9,31</w:t>
            </w:r>
          </w:p>
        </w:tc>
      </w:tr>
      <w:tr w:rsidR="00315335" w:rsidRPr="00315335" w:rsidTr="00916B06">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 xml:space="preserve">Salsodisoluri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15.863,00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4,05</w:t>
            </w:r>
          </w:p>
        </w:tc>
      </w:tr>
      <w:tr w:rsidR="00315335" w:rsidRPr="00315335" w:rsidTr="00916B06">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70541" w:rsidRPr="00315335" w:rsidRDefault="00F70541" w:rsidP="00916B06">
            <w:pPr>
              <w:spacing w:after="0" w:line="240" w:lineRule="auto"/>
              <w:rPr>
                <w:rFonts w:ascii="Arial" w:hAnsi="Arial" w:cs="Arial"/>
                <w:sz w:val="24"/>
                <w:szCs w:val="24"/>
              </w:rPr>
            </w:pPr>
            <w:r w:rsidRPr="00315335">
              <w:rPr>
                <w:rFonts w:ascii="Arial" w:hAnsi="Arial" w:cs="Arial"/>
                <w:sz w:val="24"/>
                <w:szCs w:val="24"/>
              </w:rPr>
              <w:t xml:space="preserve">Antrisoluri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w:t>
            </w:r>
          </w:p>
        </w:tc>
      </w:tr>
      <w:tr w:rsidR="00315335" w:rsidRPr="00315335" w:rsidTr="00916B06">
        <w:trPr>
          <w:trHeight w:val="287"/>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70541" w:rsidRPr="00315335" w:rsidRDefault="00F70541" w:rsidP="00916B06">
            <w:pPr>
              <w:spacing w:after="0" w:line="240" w:lineRule="auto"/>
              <w:rPr>
                <w:rFonts w:ascii="Arial" w:hAnsi="Arial" w:cs="Arial"/>
                <w:b/>
                <w:sz w:val="24"/>
                <w:szCs w:val="24"/>
              </w:rPr>
            </w:pPr>
            <w:r w:rsidRPr="00315335">
              <w:rPr>
                <w:rFonts w:ascii="Arial" w:hAnsi="Arial" w:cs="Arial"/>
                <w:b/>
                <w:sz w:val="24"/>
                <w:szCs w:val="24"/>
              </w:rPr>
              <w:t>TOTAL JUDEŢ BRĂILA</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b/>
                <w:sz w:val="24"/>
                <w:szCs w:val="24"/>
              </w:rPr>
            </w:pPr>
            <w:r w:rsidRPr="00315335">
              <w:rPr>
                <w:rFonts w:ascii="Arial" w:hAnsi="Arial" w:cs="Arial"/>
                <w:b/>
                <w:sz w:val="24"/>
                <w:szCs w:val="24"/>
              </w:rPr>
              <w:t>391.578,75</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70541" w:rsidRPr="00315335" w:rsidRDefault="00F70541" w:rsidP="00916B06">
            <w:pPr>
              <w:spacing w:after="0" w:line="240" w:lineRule="auto"/>
              <w:jc w:val="right"/>
              <w:rPr>
                <w:rFonts w:ascii="Arial" w:hAnsi="Arial" w:cs="Arial"/>
                <w:b/>
                <w:sz w:val="24"/>
                <w:szCs w:val="24"/>
              </w:rPr>
            </w:pPr>
            <w:r w:rsidRPr="00315335">
              <w:rPr>
                <w:rFonts w:ascii="Arial" w:hAnsi="Arial" w:cs="Arial"/>
                <w:b/>
                <w:sz w:val="24"/>
                <w:szCs w:val="24"/>
              </w:rPr>
              <w:t>100</w:t>
            </w:r>
          </w:p>
        </w:tc>
      </w:tr>
    </w:tbl>
    <w:p w:rsidR="00F70541" w:rsidRPr="00315335" w:rsidRDefault="00F70541" w:rsidP="00F70541">
      <w:pPr>
        <w:spacing w:after="0" w:line="240" w:lineRule="auto"/>
        <w:jc w:val="both"/>
        <w:rPr>
          <w:rFonts w:ascii="Arial" w:hAnsi="Arial" w:cs="Arial"/>
          <w:sz w:val="24"/>
          <w:szCs w:val="24"/>
        </w:rPr>
      </w:pP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Unitatea de pretabilitate reprezintă arealul rezultat din gruparea unităţilor de teren conform unui anumit set de caracteristici specifice, în vederea stabilirii categoriilor de folosinţă.</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 xml:space="preserve">Calitatea terenurilor agricole este determinată atât de fertilitatea solului cât şi de modul de manifestare al celorlalţi factori de mediu faţă de plante. Din acest punct de vedere, terenurile agricole se grupează în cinci clase de calitate diferenţiate după nota medie de bonitare (clasa I: 81 -100 puncte; clasa a II-a: 61 – 80 puncte, clasa a III-a: 41 – 60 puncte, clasa a IV-a: 21 – 40 puncte, clasa a V-a: 1 – 20 puncte). Clasele de calitate a terenurilor stabilesc pretabilitatea acestora pentru folosinţele agricole. Numărul de puncte de bonitare se obţine printr-o operaţiune complexă de cunoaştere aprofundată a unui teren, exprimând favorabilitatea acestuia pentru </w:t>
      </w:r>
      <w:r w:rsidRPr="00315335">
        <w:rPr>
          <w:rFonts w:ascii="Arial" w:hAnsi="Arial" w:cs="Arial"/>
          <w:sz w:val="24"/>
          <w:szCs w:val="24"/>
        </w:rPr>
        <w:lastRenderedPageBreak/>
        <w:t>cerinţele de existenţă ale unor plante de cultură date, în condiţii climatice normale şi în cadrul folosirii raţionale.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 xml:space="preserve">Din punct de vedere al calităţii, pe baza notelor de bonitare, încadrarea terenurilor agricole din judeţul Brăila, pe clase de pretabilitate, se prezintă astfel (conform informaţiilor transmise de Oficiul Județean de Studii Pedologice și Agrochimice Brăila):    </w:t>
      </w:r>
    </w:p>
    <w:p w:rsidR="00F70541" w:rsidRPr="00315335" w:rsidRDefault="00F70541" w:rsidP="00F70541">
      <w:pPr>
        <w:pStyle w:val="Indentcorptext"/>
        <w:spacing w:after="0" w:line="240" w:lineRule="auto"/>
        <w:jc w:val="both"/>
        <w:rPr>
          <w:rFonts w:ascii="Arial" w:hAnsi="Arial" w:cs="Arial"/>
          <w:b/>
          <w:sz w:val="24"/>
          <w:szCs w:val="24"/>
        </w:rPr>
      </w:pPr>
    </w:p>
    <w:p w:rsidR="00F70541" w:rsidRPr="00315335" w:rsidRDefault="00F70541" w:rsidP="00F70541">
      <w:pPr>
        <w:pStyle w:val="Indentcorptext"/>
        <w:spacing w:after="0" w:line="240" w:lineRule="auto"/>
        <w:ind w:firstLine="425"/>
        <w:jc w:val="both"/>
        <w:rPr>
          <w:rFonts w:ascii="Arial" w:hAnsi="Arial" w:cs="Arial"/>
          <w:sz w:val="24"/>
          <w:szCs w:val="24"/>
        </w:rPr>
      </w:pPr>
      <w:r w:rsidRPr="00315335">
        <w:rPr>
          <w:rFonts w:ascii="Arial" w:hAnsi="Arial" w:cs="Arial"/>
          <w:sz w:val="24"/>
          <w:szCs w:val="24"/>
        </w:rPr>
        <w:t>Tabelul III.1.1- 2 Repartiţia terenurilor pe clase de pretabilitate în judeţul Brăila</w:t>
      </w:r>
    </w:p>
    <w:p w:rsidR="00F70541" w:rsidRPr="00315335" w:rsidRDefault="00F70541" w:rsidP="00F70541">
      <w:pPr>
        <w:pStyle w:val="Indentcorptext"/>
        <w:spacing w:after="0" w:line="240" w:lineRule="auto"/>
        <w:jc w:val="both"/>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1003"/>
        <w:gridCol w:w="723"/>
        <w:gridCol w:w="884"/>
        <w:gridCol w:w="1017"/>
        <w:gridCol w:w="1364"/>
        <w:gridCol w:w="884"/>
        <w:gridCol w:w="884"/>
        <w:gridCol w:w="236"/>
      </w:tblGrid>
      <w:tr w:rsidR="00315335" w:rsidRPr="00315335" w:rsidTr="00916B06">
        <w:trPr>
          <w:jc w:val="center"/>
        </w:trPr>
        <w:tc>
          <w:tcPr>
            <w:tcW w:w="67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Nr. crt.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Specif.</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U.M.</w:t>
            </w:r>
          </w:p>
        </w:tc>
        <w:tc>
          <w:tcPr>
            <w:tcW w:w="5269"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Clase de bonitate ale solurilor</w:t>
            </w:r>
          </w:p>
        </w:tc>
      </w:tr>
      <w:tr w:rsidR="00315335" w:rsidRPr="00315335" w:rsidTr="00916B0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I</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II</w:t>
            </w:r>
          </w:p>
        </w:tc>
        <w:tc>
          <w:tcPr>
            <w:tcW w:w="1364"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III</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IV</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V</w:t>
            </w:r>
          </w:p>
        </w:tc>
        <w:tc>
          <w:tcPr>
            <w:tcW w:w="236"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p>
        </w:tc>
      </w:tr>
      <w:tr w:rsidR="00315335" w:rsidRPr="00315335" w:rsidTr="00916B06">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Arabil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24230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146194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131086</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35734</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13920</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right"/>
              <w:rPr>
                <w:rFonts w:ascii="Arial" w:hAnsi="Arial" w:cs="Arial"/>
                <w:sz w:val="24"/>
                <w:szCs w:val="24"/>
              </w:rPr>
            </w:pPr>
          </w:p>
        </w:tc>
      </w:tr>
      <w:tr w:rsidR="00315335" w:rsidRPr="00315335" w:rsidTr="00916B06">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Păşuni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2347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11417</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1611</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7336</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right"/>
              <w:rPr>
                <w:rFonts w:ascii="Arial" w:hAnsi="Arial" w:cs="Arial"/>
                <w:sz w:val="24"/>
                <w:szCs w:val="24"/>
              </w:rPr>
            </w:pPr>
          </w:p>
        </w:tc>
      </w:tr>
      <w:tr w:rsidR="00315335" w:rsidRPr="00315335" w:rsidTr="00916B06">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Vii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247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1715</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1437</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3312</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30</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right"/>
              <w:rPr>
                <w:rFonts w:ascii="Arial" w:hAnsi="Arial" w:cs="Arial"/>
                <w:sz w:val="24"/>
                <w:szCs w:val="24"/>
              </w:rPr>
            </w:pPr>
          </w:p>
        </w:tc>
      </w:tr>
      <w:tr w:rsidR="00315335" w:rsidRPr="00315335" w:rsidTr="00916B06">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Livezi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293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315</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339</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right"/>
              <w:rPr>
                <w:rFonts w:ascii="Arial" w:hAnsi="Arial" w:cs="Arial"/>
                <w:sz w:val="24"/>
                <w:szCs w:val="24"/>
              </w:rPr>
            </w:pPr>
          </w:p>
        </w:tc>
      </w:tr>
      <w:tr w:rsidR="00315335" w:rsidRPr="00315335" w:rsidTr="00916B06">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tcPr>
          <w:p w:rsidR="00F70541" w:rsidRPr="00315335" w:rsidRDefault="00F70541" w:rsidP="00916B06">
            <w:pPr>
              <w:spacing w:after="0" w:line="240" w:lineRule="auto"/>
              <w:jc w:val="both"/>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rPr>
                <w:rFonts w:ascii="Arial" w:hAnsi="Arial" w:cs="Arial"/>
                <w:b/>
                <w:sz w:val="24"/>
                <w:szCs w:val="24"/>
              </w:rPr>
            </w:pPr>
            <w:r w:rsidRPr="00315335">
              <w:rPr>
                <w:rFonts w:ascii="Arial" w:hAnsi="Arial" w:cs="Arial"/>
                <w:b/>
                <w:sz w:val="24"/>
                <w:szCs w:val="24"/>
              </w:rPr>
              <w:t>24489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rPr>
                <w:rFonts w:ascii="Arial" w:hAnsi="Arial" w:cs="Arial"/>
                <w:b/>
                <w:sz w:val="24"/>
                <w:szCs w:val="24"/>
              </w:rPr>
            </w:pPr>
            <w:r w:rsidRPr="00315335">
              <w:rPr>
                <w:rFonts w:ascii="Arial" w:hAnsi="Arial" w:cs="Arial"/>
                <w:b/>
                <w:sz w:val="24"/>
                <w:szCs w:val="24"/>
              </w:rPr>
              <w:t>150549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rPr>
                <w:rFonts w:ascii="Arial" w:hAnsi="Arial" w:cs="Arial"/>
                <w:b/>
                <w:sz w:val="24"/>
                <w:szCs w:val="24"/>
              </w:rPr>
            </w:pPr>
            <w:r w:rsidRPr="00315335">
              <w:rPr>
                <w:rFonts w:ascii="Arial" w:hAnsi="Arial" w:cs="Arial"/>
                <w:b/>
                <w:sz w:val="24"/>
                <w:szCs w:val="24"/>
              </w:rPr>
              <w:t>144257</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rPr>
                <w:rFonts w:ascii="Arial" w:hAnsi="Arial" w:cs="Arial"/>
                <w:b/>
                <w:sz w:val="24"/>
                <w:szCs w:val="24"/>
              </w:rPr>
            </w:pPr>
            <w:r w:rsidRPr="00315335">
              <w:rPr>
                <w:rFonts w:ascii="Arial" w:hAnsi="Arial" w:cs="Arial"/>
                <w:b/>
                <w:sz w:val="24"/>
                <w:szCs w:val="24"/>
              </w:rPr>
              <w:t>50996</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rPr>
                <w:rFonts w:ascii="Arial" w:hAnsi="Arial" w:cs="Arial"/>
                <w:b/>
                <w:sz w:val="24"/>
                <w:szCs w:val="24"/>
              </w:rPr>
            </w:pPr>
            <w:r w:rsidRPr="00315335">
              <w:rPr>
                <w:rFonts w:ascii="Arial" w:hAnsi="Arial" w:cs="Arial"/>
                <w:b/>
                <w:sz w:val="24"/>
                <w:szCs w:val="24"/>
              </w:rPr>
              <w:t>21287</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F70541" w:rsidRPr="00315335" w:rsidRDefault="00F70541" w:rsidP="00916B06">
            <w:pPr>
              <w:spacing w:after="0" w:line="240" w:lineRule="auto"/>
              <w:jc w:val="right"/>
              <w:rPr>
                <w:rFonts w:ascii="Arial" w:hAnsi="Arial" w:cs="Arial"/>
                <w:b/>
                <w:sz w:val="24"/>
                <w:szCs w:val="24"/>
              </w:rPr>
            </w:pPr>
          </w:p>
        </w:tc>
      </w:tr>
    </w:tbl>
    <w:p w:rsidR="00F70541" w:rsidRPr="00315335" w:rsidRDefault="00F70541" w:rsidP="00F70541">
      <w:pPr>
        <w:tabs>
          <w:tab w:val="left" w:pos="2160"/>
          <w:tab w:val="left" w:leader="dot" w:pos="8820"/>
        </w:tabs>
        <w:spacing w:after="0" w:line="240" w:lineRule="auto"/>
        <w:ind w:left="1980" w:right="360"/>
        <w:jc w:val="both"/>
        <w:rPr>
          <w:rFonts w:ascii="Arial" w:hAnsi="Arial" w:cs="Arial"/>
          <w:sz w:val="24"/>
          <w:szCs w:val="24"/>
        </w:rPr>
      </w:pPr>
    </w:p>
    <w:p w:rsidR="00F70541" w:rsidRPr="00315335" w:rsidRDefault="00F70541" w:rsidP="00F70541">
      <w:pPr>
        <w:tabs>
          <w:tab w:val="left" w:pos="2160"/>
          <w:tab w:val="left" w:leader="dot" w:pos="8820"/>
        </w:tabs>
        <w:spacing w:after="0" w:line="240" w:lineRule="auto"/>
        <w:ind w:left="1980" w:right="360"/>
        <w:jc w:val="both"/>
        <w:rPr>
          <w:rFonts w:ascii="Arial" w:hAnsi="Arial" w:cs="Arial"/>
          <w:sz w:val="24"/>
          <w:szCs w:val="24"/>
        </w:rPr>
      </w:pPr>
    </w:p>
    <w:p w:rsidR="00F70541" w:rsidRPr="00315335" w:rsidRDefault="00F70541" w:rsidP="00F70541">
      <w:pPr>
        <w:tabs>
          <w:tab w:val="left" w:pos="2160"/>
          <w:tab w:val="left" w:leader="dot" w:pos="8820"/>
        </w:tabs>
        <w:spacing w:after="0" w:line="240" w:lineRule="auto"/>
        <w:ind w:left="1980" w:right="360"/>
        <w:jc w:val="both"/>
        <w:rPr>
          <w:rFonts w:ascii="Arial" w:hAnsi="Arial" w:cs="Arial"/>
          <w:sz w:val="24"/>
          <w:szCs w:val="24"/>
        </w:rPr>
      </w:pPr>
    </w:p>
    <w:p w:rsidR="00F70541" w:rsidRPr="00315335" w:rsidRDefault="00F70541" w:rsidP="00F70541">
      <w:pPr>
        <w:tabs>
          <w:tab w:val="left" w:pos="2160"/>
          <w:tab w:val="left" w:leader="dot" w:pos="8820"/>
        </w:tabs>
        <w:spacing w:after="0" w:line="240" w:lineRule="auto"/>
        <w:ind w:firstLine="851"/>
        <w:jc w:val="both"/>
        <w:rPr>
          <w:rFonts w:ascii="Arial" w:hAnsi="Arial" w:cs="Arial"/>
          <w:sz w:val="24"/>
          <w:szCs w:val="24"/>
          <w:lang w:val="it-IT"/>
        </w:rPr>
      </w:pPr>
      <w:r w:rsidRPr="00315335">
        <w:rPr>
          <w:rFonts w:ascii="Arial" w:hAnsi="Arial" w:cs="Arial"/>
          <w:sz w:val="24"/>
          <w:szCs w:val="24"/>
          <w:lang w:val="it-IT"/>
        </w:rPr>
        <w:t>Ponderea tipurilor de folosințe din totalul agricol la nivelul anului 2014 este redat în figura III.1.1-1:</w:t>
      </w:r>
    </w:p>
    <w:p w:rsidR="00F70541" w:rsidRPr="00315335" w:rsidRDefault="00F70541" w:rsidP="00F70541">
      <w:pPr>
        <w:tabs>
          <w:tab w:val="left" w:pos="2160"/>
          <w:tab w:val="left" w:leader="dot" w:pos="8820"/>
        </w:tabs>
        <w:spacing w:after="0" w:line="240" w:lineRule="auto"/>
        <w:ind w:firstLine="851"/>
        <w:jc w:val="both"/>
        <w:rPr>
          <w:rFonts w:ascii="Arial" w:hAnsi="Arial" w:cs="Arial"/>
          <w:sz w:val="24"/>
          <w:szCs w:val="24"/>
          <w:lang w:val="it-IT"/>
        </w:rPr>
      </w:pPr>
    </w:p>
    <w:p w:rsidR="00F70541" w:rsidRPr="00315335" w:rsidRDefault="00F70541" w:rsidP="00F70541">
      <w:pPr>
        <w:tabs>
          <w:tab w:val="left" w:pos="2160"/>
          <w:tab w:val="left" w:leader="dot" w:pos="8820"/>
        </w:tabs>
        <w:spacing w:after="0" w:line="240" w:lineRule="auto"/>
        <w:ind w:firstLine="851"/>
        <w:jc w:val="both"/>
        <w:rPr>
          <w:rFonts w:ascii="Arial" w:hAnsi="Arial" w:cs="Arial"/>
          <w:sz w:val="24"/>
          <w:szCs w:val="24"/>
          <w:lang w:val="it-IT"/>
        </w:rPr>
      </w:pPr>
      <w:r w:rsidRPr="00315335">
        <w:rPr>
          <w:rFonts w:ascii="Arial" w:hAnsi="Arial" w:cs="Arial"/>
          <w:noProof/>
          <w:sz w:val="24"/>
          <w:szCs w:val="24"/>
        </w:rPr>
        <w:drawing>
          <wp:inline distT="0" distB="0" distL="0" distR="0" wp14:anchorId="7A420567" wp14:editId="51D6396D">
            <wp:extent cx="5064125" cy="1800225"/>
            <wp:effectExtent l="0" t="0" r="3175" b="0"/>
            <wp:docPr id="55"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70541" w:rsidRPr="00315335" w:rsidRDefault="00F70541" w:rsidP="00F70541">
      <w:pPr>
        <w:tabs>
          <w:tab w:val="left" w:pos="2160"/>
          <w:tab w:val="left" w:leader="dot" w:pos="8820"/>
        </w:tabs>
        <w:spacing w:after="0" w:line="240" w:lineRule="auto"/>
        <w:ind w:firstLine="851"/>
        <w:jc w:val="both"/>
        <w:rPr>
          <w:rFonts w:ascii="Arial" w:hAnsi="Arial" w:cs="Arial"/>
          <w:sz w:val="24"/>
          <w:szCs w:val="24"/>
          <w:lang w:val="it-IT"/>
        </w:rPr>
      </w:pPr>
    </w:p>
    <w:p w:rsidR="00F70541" w:rsidRPr="00315335" w:rsidRDefault="00F70541" w:rsidP="00F70541">
      <w:pPr>
        <w:tabs>
          <w:tab w:val="left" w:pos="2160"/>
          <w:tab w:val="left" w:leader="dot" w:pos="8820"/>
        </w:tabs>
        <w:spacing w:after="0" w:line="240" w:lineRule="auto"/>
        <w:ind w:firstLine="851"/>
        <w:jc w:val="both"/>
        <w:rPr>
          <w:rFonts w:ascii="Arial" w:hAnsi="Arial" w:cs="Arial"/>
          <w:sz w:val="24"/>
          <w:szCs w:val="24"/>
          <w:lang w:val="it-IT"/>
        </w:rPr>
      </w:pPr>
      <w:r w:rsidRPr="00315335">
        <w:rPr>
          <w:rFonts w:ascii="Arial" w:hAnsi="Arial" w:cs="Arial"/>
          <w:sz w:val="24"/>
          <w:szCs w:val="24"/>
          <w:lang w:val="it-IT"/>
        </w:rPr>
        <w:t>Ponderea tipurilor de folosințe din totalul agricol la nivelul anului 2018 este redat în figura III.1.1-2:</w:t>
      </w:r>
    </w:p>
    <w:p w:rsidR="00F70541" w:rsidRPr="00315335" w:rsidRDefault="00F70541" w:rsidP="00F70541">
      <w:pPr>
        <w:tabs>
          <w:tab w:val="left" w:leader="dot" w:pos="9072"/>
        </w:tabs>
        <w:spacing w:after="0" w:line="240" w:lineRule="auto"/>
        <w:jc w:val="both"/>
        <w:rPr>
          <w:rFonts w:ascii="Arial" w:hAnsi="Arial" w:cs="Arial"/>
          <w:sz w:val="24"/>
          <w:szCs w:val="24"/>
          <w:lang w:val="it-IT"/>
        </w:rPr>
      </w:pPr>
    </w:p>
    <w:p w:rsidR="00F70541" w:rsidRPr="00315335" w:rsidRDefault="00F70541" w:rsidP="00F70541">
      <w:pPr>
        <w:tabs>
          <w:tab w:val="left" w:leader="dot" w:pos="9072"/>
        </w:tabs>
        <w:spacing w:after="0" w:line="240" w:lineRule="auto"/>
        <w:jc w:val="center"/>
        <w:rPr>
          <w:rFonts w:ascii="Arial" w:hAnsi="Arial" w:cs="Arial"/>
          <w:sz w:val="24"/>
          <w:szCs w:val="24"/>
          <w:lang w:val="it-IT"/>
        </w:rPr>
      </w:pPr>
      <w:r w:rsidRPr="00315335">
        <w:rPr>
          <w:rFonts w:ascii="Arial" w:hAnsi="Arial" w:cs="Arial"/>
          <w:noProof/>
          <w:sz w:val="24"/>
          <w:szCs w:val="24"/>
        </w:rPr>
        <w:drawing>
          <wp:inline distT="0" distB="0" distL="0" distR="0" wp14:anchorId="2265F1ED" wp14:editId="3BFED715">
            <wp:extent cx="5064125" cy="1800225"/>
            <wp:effectExtent l="0" t="0" r="3175" b="0"/>
            <wp:docPr id="236"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70541" w:rsidRPr="00315335" w:rsidRDefault="00F70541" w:rsidP="00F70541">
      <w:pPr>
        <w:tabs>
          <w:tab w:val="left" w:leader="dot" w:pos="9072"/>
        </w:tabs>
        <w:spacing w:after="0" w:line="240" w:lineRule="auto"/>
        <w:jc w:val="both"/>
        <w:rPr>
          <w:rFonts w:ascii="Arial" w:hAnsi="Arial" w:cs="Arial"/>
          <w:sz w:val="24"/>
          <w:szCs w:val="24"/>
          <w:lang w:val="it-IT"/>
        </w:rPr>
      </w:pPr>
    </w:p>
    <w:p w:rsidR="00F70541" w:rsidRPr="00315335" w:rsidRDefault="00F70541" w:rsidP="00F70541">
      <w:pPr>
        <w:tabs>
          <w:tab w:val="left" w:leader="dot" w:pos="9072"/>
        </w:tabs>
        <w:spacing w:after="0" w:line="240" w:lineRule="auto"/>
        <w:jc w:val="both"/>
        <w:rPr>
          <w:rFonts w:ascii="Arial" w:hAnsi="Arial" w:cs="Arial"/>
          <w:sz w:val="24"/>
          <w:szCs w:val="24"/>
          <w:lang w:val="it-IT"/>
        </w:rPr>
      </w:pPr>
    </w:p>
    <w:p w:rsidR="00F70541" w:rsidRPr="00315335" w:rsidRDefault="00F70541" w:rsidP="00F70541">
      <w:pPr>
        <w:tabs>
          <w:tab w:val="left" w:leader="dot" w:pos="9072"/>
        </w:tabs>
        <w:spacing w:after="0" w:line="240" w:lineRule="auto"/>
        <w:jc w:val="both"/>
        <w:rPr>
          <w:rFonts w:ascii="Arial" w:hAnsi="Arial" w:cs="Arial"/>
          <w:sz w:val="24"/>
          <w:szCs w:val="24"/>
          <w:lang w:val="it-IT"/>
        </w:rPr>
      </w:pPr>
      <w:r w:rsidRPr="00315335">
        <w:rPr>
          <w:rFonts w:ascii="Arial" w:hAnsi="Arial" w:cs="Arial"/>
          <w:sz w:val="24"/>
          <w:szCs w:val="24"/>
          <w:lang w:val="it-IT"/>
        </w:rPr>
        <w:t xml:space="preserve">Figura III.1.1-2:Ponderea tipurilor de folosințe din totalul agricol la nivelul anului 2018 </w:t>
      </w:r>
    </w:p>
    <w:p w:rsidR="00F70541" w:rsidRPr="00315335" w:rsidRDefault="00F70541" w:rsidP="00F70541">
      <w:pPr>
        <w:tabs>
          <w:tab w:val="left" w:pos="2160"/>
          <w:tab w:val="left" w:leader="dot" w:pos="8820"/>
        </w:tabs>
        <w:spacing w:after="0" w:line="240" w:lineRule="auto"/>
        <w:ind w:left="1134" w:right="360"/>
        <w:jc w:val="center"/>
        <w:rPr>
          <w:rFonts w:ascii="Arial" w:hAnsi="Arial" w:cs="Arial"/>
          <w:sz w:val="24"/>
          <w:szCs w:val="24"/>
        </w:rPr>
      </w:pP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 xml:space="preserve">Modificările în ponderea tipurilor de folosințe în perioada 2014- 2018 au fost foarte mici, </w:t>
      </w:r>
      <w:r w:rsidRPr="00315335">
        <w:rPr>
          <w:rFonts w:ascii="Arial" w:hAnsi="Arial" w:cs="Arial"/>
          <w:sz w:val="24"/>
          <w:szCs w:val="24"/>
          <w:lang w:val="it-IT"/>
        </w:rPr>
        <w:t>terenurile arabile având o ușoară scădere iar pășunile, livezile și viile o ușoară cre</w:t>
      </w:r>
      <w:r w:rsidRPr="00315335">
        <w:rPr>
          <w:rFonts w:ascii="Arial" w:hAnsi="Arial" w:cs="Arial"/>
          <w:sz w:val="24"/>
          <w:szCs w:val="24"/>
        </w:rPr>
        <w:t xml:space="preserve">ștere. </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b/>
          <w:sz w:val="24"/>
          <w:szCs w:val="24"/>
        </w:rPr>
      </w:pP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b/>
          <w:sz w:val="24"/>
          <w:szCs w:val="24"/>
        </w:rPr>
      </w:pPr>
      <w:r w:rsidRPr="00315335">
        <w:rPr>
          <w:rFonts w:ascii="Arial" w:hAnsi="Arial" w:cs="Arial"/>
          <w:b/>
          <w:sz w:val="24"/>
          <w:szCs w:val="24"/>
        </w:rPr>
        <w:t xml:space="preserve">III.1.2. Terenuri afectate de diverși factori limitativi </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 xml:space="preserve">Calitatea solului este afectată de una sau mai multe restricţii. Influenţele dăunătoare ale acestora se reflectă în deteriorarea caracteristicilor şi funcţiilor solului, respectiv în capacitatea </w:t>
      </w:r>
      <w:r w:rsidRPr="00315335">
        <w:rPr>
          <w:rFonts w:ascii="Arial" w:hAnsi="Arial" w:cs="Arial"/>
          <w:sz w:val="24"/>
          <w:szCs w:val="24"/>
        </w:rPr>
        <w:lastRenderedPageBreak/>
        <w:t>lor bioproductivă, dar ceea ce este şi mai grav, asupra calităţii produselor agricole şi a securităţii alimentare.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Restricţiile calităţii solurilor, cu referire la degradare şi potenţial productiv redus, se regăsesc în următoarele grupări de soluri:</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a) Soluri sărăturate sau afectate de sărăturare: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 soluri halomorfe (solonceacuri, soloneţuri, complex de solonceacuri-soloneţuri), având un potenţial productiv foarte redus (pajişti foarte slabe);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 cernozomuri sărăturate (salinizate şi alcalizate);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 soluri aluviale sărăturate (salinizate şi alcalizate).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Dacă solurile halomorfe în majoritate au origine primară, procesele de sărăturare pe cernozomuri şi soluri aluviale sunt de origine antropică (secundară) şi au apărut în condiţiile îndiguirii şi neaplicării lucrărilor ameliorative pe lunci şi în condiţiile pierderilor de apă din amenajările de irigaţie, ridicării pânzei freatice şi neaplicării tehnologiilor ameliorative corespunzătoare.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b) Soluri afectate de exces de umiditate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În luncă excesul periodic de apă se produce cu precădere în zonele controlate de fluviu şi râuri (lunci şi zone depresionare de câmpie) şi sub incidenţa aportului de apă din precipitaţii sau irigaţii.</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c) Soluri afectate de compactare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În luncă aceste soluri sunt frecvente. S-au format datorită configuraţiei litologice favorabile (prezenţa cu preponderenţă a fracţiunilor fine în stratul arabil) cât şi prin efectuarea lucrărilor agricole în condiţii de umiditate ridicată, toamna târziu.</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În câmpie procesele de compactare sunt localizate frecvent la adâncimea părţii inferioare a stratului arabil (talpa plugului) datorându-se agrotehnicii necorespunzătoare aplicate.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d) Soluri afectate de eroziune eoliană</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Sunt soluri nisipoase situate majoritatea în câmpia Călmăţuiului şi pe terasele râului Buzău. Datorită texturii grosiere, a fertilităţii reduse şi a vegetaţiei slab reprezentate, aceste soluri sunt frecvent supuse deflaţiei, reclamând intervenţii de fixare şi aplicarea unor sisteme de agricultură ameliorativă specifice. După anul 1991, odată cu defrişările intense ale plantaţiilor de vii şi tăierea necontrolată a perdelelor forestiere, fenomenul de eroziune prin deflaţie pe aceste soluri s-a accentuat.</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e) Zone vulnerabile şi potenţial vulnerabile la poluarea cu nitraţi din surse agricole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 xml:space="preserve">La sfârşitul anului </w:t>
      </w:r>
      <w:smartTag w:uri="urn:schemas-microsoft-com:office:smarttags" w:element="metricconverter">
        <w:smartTagPr>
          <w:attr w:name="ProductID" w:val="2008 a"/>
        </w:smartTagPr>
        <w:r w:rsidRPr="00315335">
          <w:rPr>
            <w:rFonts w:ascii="Arial" w:hAnsi="Arial" w:cs="Arial"/>
            <w:sz w:val="24"/>
            <w:szCs w:val="24"/>
          </w:rPr>
          <w:t>2008 a</w:t>
        </w:r>
      </w:smartTag>
      <w:r w:rsidRPr="00315335">
        <w:rPr>
          <w:rFonts w:ascii="Arial" w:hAnsi="Arial" w:cs="Arial"/>
          <w:sz w:val="24"/>
          <w:szCs w:val="24"/>
        </w:rPr>
        <w:t xml:space="preserve"> fost emis Ordinul nr. 1.552/743  al Ministrului Mediului şi Dezvoltării Durabile şi al Ministrului Agriculturii şi Dezvoltării Rurale pentru aprobarea listei localităţilor, pe judeţe, unde există surse de nitraţi din activităţi agricole. În judeţul Brăila acestă listă cuprinde 40 de localităţi. </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Pentru exploataţiile agricole cu un număr de animale cuprins între 8 şi 100 UVM de pe raza localităţilor vulnerabile la poluarea cu nitraţi este obligatorie aplicarea măsurilor din Programul de acţiune pentru zonele vulnerabile la nitraţi din surse agricole. Consiliile locale au elaborat planuri de acţiune locale care cuprind măsuri pentru protecţia apelor şi solului împotriva poluării cu nitraţi pentru localităţile respective.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Pentru o mai bună gospodărire a solului în zonele identificate drept vulnerabile se aplică obligatoriu „Codul de bune practici agricole”. Totodată, s-a organizat „Sistemul naţional de monitoring integrat al solului, de supraveghere, control şi decizii pentru reducerea aportului de poluanţi proveniţi din surse agricole şi de management al reziduurilor organice provenite din zootehnie în zone vulnerabile şi potenţial vulnerabile la poluarea cu nitraţi” .</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Pentru două comune – Vădeni și Chiscani - au fost realizate două platforme de depozitare și gospodărire a gunoiului de grajd în cadrul proiectului „Controlul Integrat al Poluării cu Nutrienţi,” derulat de autoritatea centrală pentru protecția mediului, lucrările fiind deja finalizate și recepționate în 2015.</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p>
    <w:p w:rsidR="00E32613" w:rsidRDefault="00E32613" w:rsidP="00F70541">
      <w:pPr>
        <w:tabs>
          <w:tab w:val="left" w:pos="709"/>
          <w:tab w:val="left" w:pos="2160"/>
          <w:tab w:val="left" w:leader="dot" w:pos="8640"/>
        </w:tabs>
        <w:spacing w:after="0" w:line="240" w:lineRule="auto"/>
        <w:ind w:right="-38" w:firstLine="851"/>
        <w:jc w:val="both"/>
        <w:rPr>
          <w:rFonts w:ascii="Arial" w:hAnsi="Arial" w:cs="Arial"/>
          <w:b/>
          <w:sz w:val="24"/>
          <w:szCs w:val="24"/>
        </w:rPr>
      </w:pPr>
    </w:p>
    <w:p w:rsidR="00E32613" w:rsidRDefault="00E32613" w:rsidP="00F70541">
      <w:pPr>
        <w:tabs>
          <w:tab w:val="left" w:pos="709"/>
          <w:tab w:val="left" w:pos="2160"/>
          <w:tab w:val="left" w:leader="dot" w:pos="8640"/>
        </w:tabs>
        <w:spacing w:after="0" w:line="240" w:lineRule="auto"/>
        <w:ind w:right="-38" w:firstLine="851"/>
        <w:jc w:val="both"/>
        <w:rPr>
          <w:rFonts w:ascii="Arial" w:hAnsi="Arial" w:cs="Arial"/>
          <w:b/>
          <w:sz w:val="24"/>
          <w:szCs w:val="24"/>
        </w:rPr>
      </w:pPr>
    </w:p>
    <w:p w:rsidR="00E32613" w:rsidRDefault="00E32613" w:rsidP="00F70541">
      <w:pPr>
        <w:tabs>
          <w:tab w:val="left" w:pos="709"/>
          <w:tab w:val="left" w:pos="2160"/>
          <w:tab w:val="left" w:leader="dot" w:pos="8640"/>
        </w:tabs>
        <w:spacing w:after="0" w:line="240" w:lineRule="auto"/>
        <w:ind w:right="-38" w:firstLine="851"/>
        <w:jc w:val="both"/>
        <w:rPr>
          <w:rFonts w:ascii="Arial" w:hAnsi="Arial" w:cs="Arial"/>
          <w:b/>
          <w:sz w:val="24"/>
          <w:szCs w:val="24"/>
        </w:rPr>
      </w:pPr>
    </w:p>
    <w:p w:rsidR="00E32613" w:rsidRDefault="00E32613" w:rsidP="00F70541">
      <w:pPr>
        <w:tabs>
          <w:tab w:val="left" w:pos="709"/>
          <w:tab w:val="left" w:pos="2160"/>
          <w:tab w:val="left" w:leader="dot" w:pos="8640"/>
        </w:tabs>
        <w:spacing w:after="0" w:line="240" w:lineRule="auto"/>
        <w:ind w:right="-38" w:firstLine="851"/>
        <w:jc w:val="both"/>
        <w:rPr>
          <w:rFonts w:ascii="Arial" w:hAnsi="Arial" w:cs="Arial"/>
          <w:b/>
          <w:sz w:val="24"/>
          <w:szCs w:val="24"/>
        </w:rPr>
      </w:pP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b/>
          <w:sz w:val="24"/>
          <w:szCs w:val="24"/>
        </w:rPr>
      </w:pPr>
      <w:r w:rsidRPr="00315335">
        <w:rPr>
          <w:rFonts w:ascii="Arial" w:hAnsi="Arial" w:cs="Arial"/>
          <w:b/>
          <w:sz w:val="24"/>
          <w:szCs w:val="24"/>
        </w:rPr>
        <w:lastRenderedPageBreak/>
        <w:t>III.2. Zone critice sub aspectul deteriorării solurilor</w:t>
      </w:r>
    </w:p>
    <w:p w:rsidR="00F70541" w:rsidRPr="00315335" w:rsidRDefault="00E32613" w:rsidP="00F70541">
      <w:pPr>
        <w:tabs>
          <w:tab w:val="left" w:pos="709"/>
          <w:tab w:val="left" w:pos="2160"/>
          <w:tab w:val="left" w:leader="dot" w:pos="8640"/>
        </w:tabs>
        <w:spacing w:after="0" w:line="240" w:lineRule="auto"/>
        <w:ind w:right="-38" w:firstLine="851"/>
        <w:jc w:val="both"/>
        <w:rPr>
          <w:rFonts w:ascii="Arial" w:hAnsi="Arial" w:cs="Arial"/>
          <w:b/>
          <w:sz w:val="24"/>
          <w:szCs w:val="24"/>
        </w:rPr>
      </w:pPr>
      <w:r>
        <w:rPr>
          <w:rFonts w:ascii="Arial" w:hAnsi="Arial" w:cs="Arial"/>
          <w:b/>
          <w:sz w:val="24"/>
          <w:szCs w:val="24"/>
        </w:rPr>
        <w:t xml:space="preserve">  </w:t>
      </w:r>
      <w:r w:rsidR="00F70541" w:rsidRPr="00315335">
        <w:rPr>
          <w:rFonts w:ascii="Arial" w:hAnsi="Arial" w:cs="Arial"/>
          <w:b/>
          <w:sz w:val="24"/>
          <w:szCs w:val="24"/>
        </w:rPr>
        <w:t>III.2.1 Zone afectate de procese naturale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Din inventarierea efectuată de Oficiul Judeţean pentru Studii Pedologice şi Agrochimice Brăila, calitatea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Aceste restricţii sunt determinate fie de factori naturali (climă, forme de relief, caracteristici edafice etc.), fie de acţiuni antropice agricole şi industriale. Factorii menţionaţi pot acţiona sinergic în sens negativ, având ca efect scăderea calităţii solurilor şi chiar anularea funcţiilor acestora.</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r w:rsidRPr="00315335">
        <w:rPr>
          <w:rFonts w:ascii="Arial" w:hAnsi="Arial" w:cs="Arial"/>
          <w:sz w:val="24"/>
          <w:szCs w:val="24"/>
        </w:rPr>
        <w:t>Inventarul terenurilor afectate de diferite procese este redat în tabelul de mai jos, conform informațiilor furnizate de OSPA Brăila pentru anul 2013 este redat în tabelul de mai jos:</w:t>
      </w:r>
    </w:p>
    <w:p w:rsidR="00F70541" w:rsidRPr="00315335" w:rsidRDefault="00F70541" w:rsidP="00F70541">
      <w:pPr>
        <w:tabs>
          <w:tab w:val="left" w:pos="709"/>
          <w:tab w:val="left" w:pos="2160"/>
          <w:tab w:val="left" w:leader="dot" w:pos="8640"/>
        </w:tabs>
        <w:spacing w:after="0" w:line="240" w:lineRule="auto"/>
        <w:ind w:right="-38" w:firstLine="851"/>
        <w:jc w:val="both"/>
        <w:rPr>
          <w:rFonts w:ascii="Arial" w:hAnsi="Arial" w:cs="Arial"/>
          <w:sz w:val="24"/>
          <w:szCs w:val="24"/>
        </w:rPr>
      </w:pPr>
    </w:p>
    <w:p w:rsidR="00F70541" w:rsidRPr="00315335" w:rsidRDefault="00F70541" w:rsidP="00F70541">
      <w:pPr>
        <w:spacing w:after="0" w:line="240" w:lineRule="auto"/>
        <w:ind w:firstLine="709"/>
        <w:jc w:val="both"/>
        <w:rPr>
          <w:rFonts w:ascii="Arial" w:hAnsi="Arial" w:cs="Arial"/>
          <w:sz w:val="24"/>
          <w:szCs w:val="24"/>
        </w:rPr>
      </w:pPr>
      <w:r w:rsidRPr="00315335">
        <w:rPr>
          <w:rFonts w:ascii="Arial" w:hAnsi="Arial" w:cs="Arial"/>
          <w:sz w:val="24"/>
          <w:szCs w:val="24"/>
        </w:rPr>
        <w:t>Tabelul III.2.1-1 Inventarul terenurilor afectate de diferite procese</w:t>
      </w:r>
      <w:r w:rsidRPr="00315335">
        <w:rPr>
          <w:rFonts w:ascii="Arial" w:hAnsi="Arial" w:cs="Arial"/>
          <w:sz w:val="24"/>
          <w:szCs w:val="24"/>
          <w:lang w:val="it-IT"/>
        </w:rPr>
        <w:t xml:space="preserve"> naturale</w:t>
      </w:r>
    </w:p>
    <w:p w:rsidR="00F70541" w:rsidRPr="00315335" w:rsidRDefault="00F70541" w:rsidP="00F70541">
      <w:pPr>
        <w:pStyle w:val="BodyTextIndent2BodyTextIndent2Char"/>
        <w:ind w:left="0" w:firstLine="720"/>
        <w:rPr>
          <w:rFonts w:ascii="Arial" w:hAnsi="Arial" w:cs="Arial"/>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1471"/>
        <w:gridCol w:w="1620"/>
        <w:gridCol w:w="1800"/>
      </w:tblGrid>
      <w:tr w:rsidR="00315335" w:rsidRPr="00315335" w:rsidTr="00916B06">
        <w:tc>
          <w:tcPr>
            <w:tcW w:w="26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pStyle w:val="BodyTextIndent2BodyTextIndent2Char"/>
              <w:ind w:left="0"/>
              <w:jc w:val="center"/>
              <w:rPr>
                <w:rFonts w:ascii="Arial" w:hAnsi="Arial" w:cs="Arial"/>
                <w:b/>
                <w:sz w:val="24"/>
                <w:szCs w:val="24"/>
              </w:rPr>
            </w:pPr>
            <w:r w:rsidRPr="00315335">
              <w:rPr>
                <w:rFonts w:ascii="Arial" w:hAnsi="Arial" w:cs="Arial"/>
                <w:b/>
                <w:sz w:val="24"/>
                <w:szCs w:val="24"/>
              </w:rPr>
              <w:t>Tip de proces</w:t>
            </w:r>
          </w:p>
        </w:tc>
        <w:tc>
          <w:tcPr>
            <w:tcW w:w="1471" w:type="dxa"/>
            <w:tcBorders>
              <w:top w:val="single" w:sz="4" w:space="0" w:color="auto"/>
              <w:left w:val="single" w:sz="4" w:space="0" w:color="auto"/>
              <w:bottom w:val="nil"/>
              <w:right w:val="single" w:sz="4" w:space="0" w:color="auto"/>
            </w:tcBorders>
            <w:shd w:val="clear" w:color="auto" w:fill="D9D9D9"/>
            <w:vAlign w:val="center"/>
          </w:tcPr>
          <w:p w:rsidR="00F70541" w:rsidRPr="00315335" w:rsidRDefault="00F70541" w:rsidP="00916B06">
            <w:pPr>
              <w:pStyle w:val="BodyTextIndent2BodyTextIndent2Char"/>
              <w:ind w:left="0"/>
              <w:jc w:val="center"/>
              <w:rPr>
                <w:rFonts w:ascii="Arial" w:hAnsi="Arial" w:cs="Arial"/>
                <w:b/>
                <w:sz w:val="24"/>
                <w:szCs w:val="24"/>
              </w:rPr>
            </w:pPr>
          </w:p>
        </w:tc>
        <w:tc>
          <w:tcPr>
            <w:tcW w:w="1620" w:type="dxa"/>
            <w:tcBorders>
              <w:top w:val="single" w:sz="4" w:space="0" w:color="auto"/>
              <w:left w:val="single" w:sz="4" w:space="0" w:color="auto"/>
              <w:bottom w:val="nil"/>
              <w:right w:val="single" w:sz="4" w:space="0" w:color="auto"/>
            </w:tcBorders>
            <w:shd w:val="clear" w:color="auto" w:fill="D9D9D9"/>
            <w:vAlign w:val="center"/>
          </w:tcPr>
          <w:p w:rsidR="00F70541" w:rsidRPr="00315335" w:rsidRDefault="00F70541" w:rsidP="00916B06">
            <w:pPr>
              <w:pStyle w:val="BodyTextIndent2BodyTextIndent2Char"/>
              <w:ind w:left="0"/>
              <w:jc w:val="center"/>
              <w:rPr>
                <w:rFonts w:ascii="Arial" w:hAnsi="Arial" w:cs="Arial"/>
                <w:b/>
                <w:sz w:val="24"/>
                <w:szCs w:val="24"/>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70541" w:rsidRPr="00315335" w:rsidRDefault="00F70541" w:rsidP="00916B06">
            <w:pPr>
              <w:pStyle w:val="BodyTextIndent2BodyTextIndent2Char"/>
              <w:ind w:left="0"/>
              <w:jc w:val="center"/>
              <w:rPr>
                <w:rFonts w:ascii="Arial" w:hAnsi="Arial" w:cs="Arial"/>
                <w:b/>
                <w:sz w:val="24"/>
                <w:szCs w:val="24"/>
              </w:rPr>
            </w:pPr>
          </w:p>
          <w:p w:rsidR="00F70541" w:rsidRPr="00315335" w:rsidRDefault="00F70541" w:rsidP="00916B06">
            <w:pPr>
              <w:pStyle w:val="BodyTextIndent2BodyTextIndent2Char"/>
              <w:ind w:left="0"/>
              <w:jc w:val="center"/>
              <w:rPr>
                <w:rFonts w:ascii="Arial" w:hAnsi="Arial" w:cs="Arial"/>
                <w:b/>
                <w:sz w:val="24"/>
                <w:szCs w:val="24"/>
              </w:rPr>
            </w:pPr>
            <w:r w:rsidRPr="00315335">
              <w:rPr>
                <w:rFonts w:ascii="Arial" w:hAnsi="Arial" w:cs="Arial"/>
                <w:b/>
                <w:sz w:val="24"/>
                <w:szCs w:val="24"/>
              </w:rPr>
              <w:t>%</w:t>
            </w:r>
          </w:p>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b/>
                <w:sz w:val="24"/>
                <w:szCs w:val="24"/>
              </w:rPr>
              <w:t>din totalul suprafeţei agricole</w:t>
            </w:r>
          </w:p>
        </w:tc>
      </w:tr>
      <w:tr w:rsidR="00315335" w:rsidRPr="00315335" w:rsidTr="00916B06">
        <w:trPr>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eastAsia="Times New Roman" w:hAnsi="Arial" w:cs="Arial"/>
                <w:b/>
                <w:sz w:val="24"/>
                <w:szCs w:val="24"/>
              </w:rPr>
            </w:pPr>
          </w:p>
        </w:tc>
        <w:tc>
          <w:tcPr>
            <w:tcW w:w="1471" w:type="dxa"/>
            <w:tcBorders>
              <w:top w:val="nil"/>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bCs/>
                <w:sz w:val="24"/>
                <w:szCs w:val="24"/>
              </w:rPr>
            </w:pPr>
            <w:r w:rsidRPr="00315335">
              <w:rPr>
                <w:rFonts w:ascii="Arial" w:hAnsi="Arial" w:cs="Arial"/>
                <w:b/>
                <w:bCs/>
                <w:sz w:val="24"/>
                <w:szCs w:val="24"/>
              </w:rPr>
              <w:t>Suprafață</w:t>
            </w:r>
          </w:p>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b/>
                <w:sz w:val="24"/>
                <w:szCs w:val="24"/>
              </w:rPr>
              <w:t>ha</w:t>
            </w:r>
          </w:p>
        </w:tc>
        <w:tc>
          <w:tcPr>
            <w:tcW w:w="1620" w:type="dxa"/>
            <w:tcBorders>
              <w:top w:val="nil"/>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pStyle w:val="BodyTextIndent2BodyTextIndent2Char"/>
              <w:ind w:left="0"/>
              <w:jc w:val="center"/>
              <w:rPr>
                <w:rFonts w:ascii="Arial" w:hAnsi="Arial" w:cs="Arial"/>
                <w:b/>
                <w:sz w:val="24"/>
                <w:szCs w:val="24"/>
              </w:rPr>
            </w:pPr>
            <w:r w:rsidRPr="00315335">
              <w:rPr>
                <w:rFonts w:ascii="Arial" w:hAnsi="Arial" w:cs="Arial"/>
                <w:b/>
                <w:sz w:val="24"/>
                <w:szCs w:val="24"/>
              </w:rPr>
              <w:t>%</w:t>
            </w:r>
          </w:p>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b/>
                <w:sz w:val="24"/>
                <w:szCs w:val="24"/>
              </w:rPr>
              <w:t>din suprafaţa afectată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eastAsia="Times New Roman" w:hAnsi="Arial" w:cs="Arial"/>
                <w:sz w:val="24"/>
                <w:szCs w:val="24"/>
              </w:rPr>
            </w:pPr>
          </w:p>
        </w:tc>
      </w:tr>
      <w:tr w:rsidR="00315335" w:rsidRPr="00315335" w:rsidTr="00916B06">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left"/>
              <w:rPr>
                <w:rFonts w:ascii="Arial" w:hAnsi="Arial" w:cs="Arial"/>
                <w:sz w:val="24"/>
                <w:szCs w:val="24"/>
              </w:rPr>
            </w:pPr>
            <w:r w:rsidRPr="00315335">
              <w:rPr>
                <w:rFonts w:ascii="Arial" w:hAnsi="Arial" w:cs="Arial"/>
                <w:sz w:val="24"/>
                <w:szCs w:val="24"/>
              </w:rPr>
              <w:t>Gleizare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33687,12</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29,18</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8,70</w:t>
            </w:r>
          </w:p>
        </w:tc>
      </w:tr>
      <w:tr w:rsidR="00315335" w:rsidRPr="00315335" w:rsidTr="00916B06">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left"/>
              <w:rPr>
                <w:rFonts w:ascii="Arial" w:hAnsi="Arial" w:cs="Arial"/>
                <w:sz w:val="24"/>
                <w:szCs w:val="24"/>
              </w:rPr>
            </w:pPr>
            <w:r w:rsidRPr="00315335">
              <w:rPr>
                <w:rFonts w:ascii="Arial" w:hAnsi="Arial" w:cs="Arial"/>
                <w:sz w:val="24"/>
                <w:szCs w:val="24"/>
              </w:rPr>
              <w:t>Salinizate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17469,75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15,13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4,51</w:t>
            </w:r>
          </w:p>
        </w:tc>
      </w:tr>
      <w:tr w:rsidR="00315335" w:rsidRPr="00315335" w:rsidTr="00916B06">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left"/>
              <w:rPr>
                <w:rFonts w:ascii="Arial" w:hAnsi="Arial" w:cs="Arial"/>
                <w:sz w:val="24"/>
                <w:szCs w:val="24"/>
              </w:rPr>
            </w:pPr>
            <w:r w:rsidRPr="00315335">
              <w:rPr>
                <w:rFonts w:ascii="Arial" w:hAnsi="Arial" w:cs="Arial"/>
                <w:sz w:val="24"/>
                <w:szCs w:val="24"/>
              </w:rPr>
              <w:t>Sodizate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6042,95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5,23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1,56</w:t>
            </w:r>
          </w:p>
        </w:tc>
      </w:tr>
      <w:tr w:rsidR="00315335" w:rsidRPr="00315335" w:rsidTr="00916B06">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left"/>
              <w:rPr>
                <w:rFonts w:ascii="Arial" w:hAnsi="Arial" w:cs="Arial"/>
                <w:sz w:val="24"/>
                <w:szCs w:val="24"/>
              </w:rPr>
            </w:pPr>
            <w:r w:rsidRPr="00315335">
              <w:rPr>
                <w:rFonts w:ascii="Arial" w:hAnsi="Arial" w:cs="Arial"/>
                <w:sz w:val="24"/>
                <w:szCs w:val="24"/>
              </w:rPr>
              <w:t>Salinizare + sodizare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35939,99</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31,13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9,28</w:t>
            </w:r>
          </w:p>
        </w:tc>
      </w:tr>
      <w:tr w:rsidR="00315335" w:rsidRPr="00315335" w:rsidTr="00916B06">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left"/>
              <w:rPr>
                <w:rFonts w:ascii="Arial" w:hAnsi="Arial" w:cs="Arial"/>
                <w:sz w:val="24"/>
                <w:szCs w:val="24"/>
              </w:rPr>
            </w:pPr>
            <w:r w:rsidRPr="00315335">
              <w:rPr>
                <w:rFonts w:ascii="Arial" w:hAnsi="Arial" w:cs="Arial"/>
                <w:sz w:val="24"/>
                <w:szCs w:val="24"/>
              </w:rPr>
              <w:t>Eroziune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770,00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0,67</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0,20</w:t>
            </w:r>
          </w:p>
        </w:tc>
      </w:tr>
      <w:tr w:rsidR="00315335" w:rsidRPr="00315335" w:rsidTr="00916B06">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left"/>
              <w:rPr>
                <w:rFonts w:ascii="Arial" w:hAnsi="Arial" w:cs="Arial"/>
                <w:sz w:val="24"/>
                <w:szCs w:val="24"/>
              </w:rPr>
            </w:pPr>
            <w:r w:rsidRPr="00315335">
              <w:rPr>
                <w:rFonts w:ascii="Arial" w:hAnsi="Arial" w:cs="Arial"/>
                <w:sz w:val="24"/>
                <w:szCs w:val="24"/>
              </w:rPr>
              <w:t>Relief de dune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21540,00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18,66</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sz w:val="24"/>
                <w:szCs w:val="24"/>
              </w:rPr>
            </w:pPr>
            <w:r w:rsidRPr="00315335">
              <w:rPr>
                <w:rFonts w:ascii="Arial" w:hAnsi="Arial" w:cs="Arial"/>
                <w:sz w:val="24"/>
                <w:szCs w:val="24"/>
              </w:rPr>
              <w:t>5,60</w:t>
            </w:r>
          </w:p>
        </w:tc>
      </w:tr>
      <w:tr w:rsidR="00315335" w:rsidRPr="00315335" w:rsidTr="00916B06">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b/>
                <w:sz w:val="24"/>
                <w:szCs w:val="24"/>
              </w:rPr>
            </w:pPr>
            <w:r w:rsidRPr="00315335">
              <w:rPr>
                <w:rFonts w:ascii="Arial" w:hAnsi="Arial" w:cs="Arial"/>
                <w:b/>
                <w:sz w:val="24"/>
                <w:szCs w:val="24"/>
              </w:rPr>
              <w:t>Total</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b/>
                <w:sz w:val="24"/>
                <w:szCs w:val="24"/>
              </w:rPr>
            </w:pPr>
            <w:r w:rsidRPr="00315335">
              <w:rPr>
                <w:rFonts w:ascii="Arial" w:hAnsi="Arial" w:cs="Arial"/>
                <w:b/>
                <w:sz w:val="24"/>
                <w:szCs w:val="24"/>
              </w:rPr>
              <w:t>115451,81</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b/>
                <w:sz w:val="24"/>
                <w:szCs w:val="24"/>
              </w:rPr>
            </w:pPr>
            <w:r w:rsidRPr="00315335">
              <w:rPr>
                <w:rFonts w:ascii="Arial" w:hAnsi="Arial" w:cs="Arial"/>
                <w:b/>
                <w:sz w:val="24"/>
                <w:szCs w:val="24"/>
              </w:rPr>
              <w:t>100,00</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F70541" w:rsidRPr="00315335" w:rsidRDefault="00F70541" w:rsidP="00916B06">
            <w:pPr>
              <w:pStyle w:val="BodyTextIndent2BodyTextIndent2Char"/>
              <w:ind w:left="0"/>
              <w:jc w:val="center"/>
              <w:rPr>
                <w:rFonts w:ascii="Arial" w:hAnsi="Arial" w:cs="Arial"/>
                <w:b/>
                <w:sz w:val="24"/>
                <w:szCs w:val="24"/>
              </w:rPr>
            </w:pPr>
            <w:r w:rsidRPr="00315335">
              <w:rPr>
                <w:rFonts w:ascii="Arial" w:hAnsi="Arial" w:cs="Arial"/>
                <w:b/>
                <w:sz w:val="24"/>
                <w:szCs w:val="24"/>
              </w:rPr>
              <w:t>29,82</w:t>
            </w:r>
          </w:p>
        </w:tc>
      </w:tr>
    </w:tbl>
    <w:p w:rsidR="00F70541" w:rsidRPr="00315335" w:rsidRDefault="00F70541" w:rsidP="00F70541">
      <w:pPr>
        <w:tabs>
          <w:tab w:val="left" w:pos="2160"/>
          <w:tab w:val="left" w:leader="dot" w:pos="8820"/>
        </w:tabs>
        <w:spacing w:after="0" w:line="240" w:lineRule="auto"/>
        <w:ind w:right="360"/>
        <w:jc w:val="both"/>
        <w:rPr>
          <w:rFonts w:ascii="Arial" w:hAnsi="Arial" w:cs="Arial"/>
          <w:sz w:val="24"/>
          <w:szCs w:val="24"/>
        </w:rPr>
      </w:pPr>
    </w:p>
    <w:p w:rsidR="00F70541" w:rsidRPr="00315335" w:rsidRDefault="00F70541" w:rsidP="00F70541">
      <w:pPr>
        <w:tabs>
          <w:tab w:val="left" w:leader="dot" w:pos="8820"/>
        </w:tabs>
        <w:spacing w:after="0" w:line="240" w:lineRule="auto"/>
        <w:ind w:right="360"/>
        <w:jc w:val="both"/>
        <w:rPr>
          <w:rFonts w:ascii="Arial" w:hAnsi="Arial" w:cs="Arial"/>
          <w:b/>
          <w:sz w:val="24"/>
          <w:szCs w:val="24"/>
          <w:lang w:val="it-IT"/>
        </w:rPr>
      </w:pPr>
    </w:p>
    <w:p w:rsidR="00F70541" w:rsidRPr="00315335" w:rsidRDefault="00F70541" w:rsidP="00F70541">
      <w:pPr>
        <w:tabs>
          <w:tab w:val="left" w:leader="dot" w:pos="8820"/>
        </w:tabs>
        <w:spacing w:after="0" w:line="240" w:lineRule="auto"/>
        <w:ind w:right="360"/>
        <w:jc w:val="both"/>
        <w:rPr>
          <w:rFonts w:ascii="Arial" w:hAnsi="Arial" w:cs="Arial"/>
          <w:b/>
          <w:sz w:val="24"/>
          <w:szCs w:val="24"/>
          <w:lang w:val="it-IT"/>
        </w:rPr>
      </w:pPr>
      <w:r w:rsidRPr="00315335">
        <w:rPr>
          <w:rFonts w:ascii="Arial" w:hAnsi="Arial" w:cs="Arial"/>
          <w:b/>
          <w:sz w:val="24"/>
          <w:szCs w:val="24"/>
          <w:lang w:val="it-IT"/>
        </w:rPr>
        <w:t>III.3. Presiuni ale unor factori asupra stării de calitate a solurilor din județul Brăila</w:t>
      </w:r>
    </w:p>
    <w:p w:rsidR="00F70541" w:rsidRDefault="00F70541" w:rsidP="00E32613">
      <w:pPr>
        <w:spacing w:after="0" w:line="240" w:lineRule="auto"/>
        <w:jc w:val="both"/>
        <w:rPr>
          <w:rFonts w:ascii="Arial" w:hAnsi="Arial" w:cs="Arial"/>
          <w:b/>
          <w:i/>
          <w:sz w:val="24"/>
          <w:szCs w:val="24"/>
          <w:lang w:val="it-IT"/>
        </w:rPr>
      </w:pPr>
      <w:r w:rsidRPr="00315335">
        <w:rPr>
          <w:rFonts w:ascii="Arial" w:hAnsi="Arial" w:cs="Arial"/>
          <w:b/>
          <w:sz w:val="24"/>
          <w:szCs w:val="24"/>
          <w:lang w:val="it-IT"/>
        </w:rPr>
        <w:t xml:space="preserve">              III.3.1. </w:t>
      </w:r>
      <w:r w:rsidRPr="00315335">
        <w:rPr>
          <w:rFonts w:ascii="Arial" w:hAnsi="Arial" w:cs="Arial"/>
          <w:b/>
          <w:i/>
          <w:sz w:val="24"/>
          <w:szCs w:val="24"/>
          <w:lang w:val="it-IT"/>
        </w:rPr>
        <w:t>Utilizarea și consumul de îngrăşăminte</w:t>
      </w:r>
    </w:p>
    <w:p w:rsidR="00E32613" w:rsidRPr="00315335" w:rsidRDefault="00E32613" w:rsidP="00E32613">
      <w:pPr>
        <w:spacing w:after="0" w:line="240" w:lineRule="auto"/>
        <w:jc w:val="both"/>
        <w:rPr>
          <w:rFonts w:ascii="Arial" w:hAnsi="Arial" w:cs="Arial"/>
          <w:sz w:val="24"/>
          <w:szCs w:val="24"/>
        </w:rPr>
      </w:pPr>
    </w:p>
    <w:p w:rsidR="00F70541" w:rsidRDefault="00F70541" w:rsidP="00EF5CE1">
      <w:pPr>
        <w:pStyle w:val="BodyTextIndent2BodyTextIndent2Char"/>
        <w:ind w:left="0" w:firstLine="708"/>
        <w:rPr>
          <w:rFonts w:ascii="Arial" w:hAnsi="Arial" w:cs="Arial"/>
          <w:sz w:val="24"/>
          <w:szCs w:val="24"/>
        </w:rPr>
      </w:pPr>
      <w:r w:rsidRPr="00315335">
        <w:rPr>
          <w:rFonts w:ascii="Arial" w:hAnsi="Arial" w:cs="Arial"/>
          <w:sz w:val="24"/>
          <w:szCs w:val="24"/>
        </w:rPr>
        <w:t>Îngrăşămintele de orice natură, aplicate în mod raţional, ocupă un loc prioritar pentru menţinerea şi sporirea fertilităţii solului, pentru creşterea producţiilor agricole. În cazul în care sunt folosite fără a se lua în considerare natura solurilor, condiţiile meteorologice concrete şi necesităţile plantelor, pot provoca dereglarea echiliBRului ecologic.</w:t>
      </w:r>
    </w:p>
    <w:p w:rsidR="00EF5CE1" w:rsidRPr="00315335" w:rsidRDefault="00EF5CE1" w:rsidP="00EF5CE1">
      <w:pPr>
        <w:pStyle w:val="BodyTextIndent2BodyTextIndent2Char"/>
        <w:ind w:left="0" w:firstLine="708"/>
        <w:rPr>
          <w:rFonts w:ascii="Arial" w:hAnsi="Arial" w:cs="Arial"/>
          <w:sz w:val="24"/>
          <w:szCs w:val="24"/>
        </w:rPr>
      </w:pPr>
    </w:p>
    <w:p w:rsidR="00F70541" w:rsidRPr="00315335" w:rsidRDefault="00F70541" w:rsidP="00F70541">
      <w:pPr>
        <w:spacing w:after="0" w:line="240" w:lineRule="auto"/>
        <w:jc w:val="both"/>
        <w:rPr>
          <w:rFonts w:ascii="Arial" w:hAnsi="Arial" w:cs="Arial"/>
          <w:b/>
          <w:sz w:val="24"/>
          <w:szCs w:val="24"/>
        </w:rPr>
      </w:pPr>
      <w:r w:rsidRPr="00315335">
        <w:rPr>
          <w:rFonts w:ascii="Arial" w:hAnsi="Arial" w:cs="Arial"/>
          <w:b/>
          <w:sz w:val="24"/>
          <w:szCs w:val="24"/>
          <w:lang w:val="pt-BR"/>
        </w:rPr>
        <w:t>Utilizarea îngrăşămintelor în anii 2014-2018 este redată în tabelul și graficele de mai jos.</w:t>
      </w:r>
    </w:p>
    <w:p w:rsidR="00F70541" w:rsidRDefault="00F70541" w:rsidP="00F70541">
      <w:pPr>
        <w:spacing w:after="0" w:line="240" w:lineRule="auto"/>
        <w:rPr>
          <w:rFonts w:ascii="Arial" w:hAnsi="Arial" w:cs="Arial"/>
          <w:sz w:val="24"/>
          <w:szCs w:val="24"/>
          <w:lang w:val="pt-BR"/>
        </w:rPr>
      </w:pPr>
      <w:r w:rsidRPr="00315335">
        <w:rPr>
          <w:rFonts w:ascii="Arial" w:hAnsi="Arial" w:cs="Arial"/>
          <w:sz w:val="24"/>
          <w:szCs w:val="24"/>
          <w:lang w:val="pt-BR"/>
        </w:rPr>
        <w:t xml:space="preserve"> Tabelul III.3.1-1 </w:t>
      </w:r>
    </w:p>
    <w:p w:rsidR="00EF5CE1" w:rsidRPr="00315335" w:rsidRDefault="00EF5CE1" w:rsidP="00F70541">
      <w:pPr>
        <w:spacing w:after="0" w:line="240" w:lineRule="auto"/>
        <w:rPr>
          <w:rFonts w:ascii="Arial" w:hAnsi="Arial" w:cs="Arial"/>
          <w:sz w:val="24"/>
          <w:szCs w:val="24"/>
          <w:lang w:val="pt-BR"/>
        </w:rPr>
      </w:pPr>
    </w:p>
    <w:tbl>
      <w:tblPr>
        <w:tblpPr w:leftFromText="180" w:rightFromText="180" w:vertAnchor="text" w:horzAnchor="page" w:tblpX="2063"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951"/>
        <w:gridCol w:w="951"/>
        <w:gridCol w:w="896"/>
        <w:gridCol w:w="1033"/>
        <w:gridCol w:w="1777"/>
        <w:gridCol w:w="1710"/>
      </w:tblGrid>
      <w:tr w:rsidR="00315335" w:rsidRPr="00315335" w:rsidTr="00916B06">
        <w:tc>
          <w:tcPr>
            <w:tcW w:w="89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tabs>
                <w:tab w:val="left" w:pos="770"/>
                <w:tab w:val="left" w:pos="3801"/>
              </w:tabs>
              <w:spacing w:after="0" w:line="240" w:lineRule="auto"/>
              <w:jc w:val="both"/>
              <w:rPr>
                <w:rFonts w:ascii="Arial" w:hAnsi="Arial" w:cs="Arial"/>
                <w:b/>
                <w:sz w:val="24"/>
                <w:szCs w:val="24"/>
              </w:rPr>
            </w:pPr>
            <w:r w:rsidRPr="00315335">
              <w:rPr>
                <w:rFonts w:ascii="Arial" w:hAnsi="Arial" w:cs="Arial"/>
                <w:b/>
                <w:sz w:val="24"/>
                <w:szCs w:val="24"/>
              </w:rPr>
              <w:t>Anul</w:t>
            </w:r>
          </w:p>
        </w:tc>
        <w:tc>
          <w:tcPr>
            <w:tcW w:w="3831" w:type="dxa"/>
            <w:gridSpan w:val="4"/>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tabs>
                <w:tab w:val="left" w:pos="770"/>
                <w:tab w:val="left" w:pos="3801"/>
              </w:tabs>
              <w:spacing w:after="0" w:line="240" w:lineRule="auto"/>
              <w:jc w:val="both"/>
              <w:rPr>
                <w:rFonts w:ascii="Arial" w:hAnsi="Arial" w:cs="Arial"/>
                <w:b/>
                <w:sz w:val="24"/>
                <w:szCs w:val="24"/>
              </w:rPr>
            </w:pPr>
            <w:r w:rsidRPr="00315335">
              <w:rPr>
                <w:rFonts w:ascii="Arial" w:hAnsi="Arial" w:cs="Arial"/>
                <w:b/>
                <w:sz w:val="24"/>
                <w:szCs w:val="24"/>
              </w:rPr>
              <w:t>Îngrăşăminte chimice folosite</w:t>
            </w:r>
          </w:p>
          <w:p w:rsidR="00F70541" w:rsidRPr="00315335" w:rsidRDefault="00F70541" w:rsidP="00916B06">
            <w:pPr>
              <w:tabs>
                <w:tab w:val="left" w:pos="770"/>
                <w:tab w:val="left" w:pos="3801"/>
              </w:tabs>
              <w:spacing w:after="0" w:line="240" w:lineRule="auto"/>
              <w:jc w:val="both"/>
              <w:rPr>
                <w:rFonts w:ascii="Arial" w:hAnsi="Arial" w:cs="Arial"/>
                <w:b/>
                <w:sz w:val="24"/>
                <w:szCs w:val="24"/>
              </w:rPr>
            </w:pPr>
            <w:r w:rsidRPr="00315335">
              <w:rPr>
                <w:rFonts w:ascii="Arial" w:hAnsi="Arial" w:cs="Arial"/>
                <w:b/>
                <w:sz w:val="24"/>
                <w:szCs w:val="24"/>
              </w:rPr>
              <w:t>(tone substanţă activă)</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tabs>
                <w:tab w:val="left" w:pos="770"/>
                <w:tab w:val="left" w:pos="3801"/>
              </w:tabs>
              <w:spacing w:after="0" w:line="240" w:lineRule="auto"/>
              <w:jc w:val="both"/>
              <w:rPr>
                <w:rFonts w:ascii="Arial" w:hAnsi="Arial" w:cs="Arial"/>
                <w:b/>
                <w:sz w:val="24"/>
                <w:szCs w:val="24"/>
              </w:rPr>
            </w:pPr>
            <w:r w:rsidRPr="00315335">
              <w:rPr>
                <w:rFonts w:ascii="Arial" w:hAnsi="Arial" w:cs="Arial"/>
                <w:b/>
                <w:sz w:val="24"/>
                <w:szCs w:val="24"/>
              </w:rPr>
              <w:t>N+P2O5+K2O</w:t>
            </w:r>
          </w:p>
          <w:p w:rsidR="00F70541" w:rsidRPr="00315335" w:rsidRDefault="00F70541" w:rsidP="00916B06">
            <w:pPr>
              <w:tabs>
                <w:tab w:val="left" w:pos="770"/>
                <w:tab w:val="left" w:pos="3801"/>
              </w:tabs>
              <w:spacing w:after="0" w:line="240" w:lineRule="auto"/>
              <w:jc w:val="both"/>
              <w:rPr>
                <w:rFonts w:ascii="Arial" w:hAnsi="Arial" w:cs="Arial"/>
                <w:b/>
                <w:sz w:val="24"/>
                <w:szCs w:val="24"/>
              </w:rPr>
            </w:pPr>
            <w:r w:rsidRPr="00315335">
              <w:rPr>
                <w:rFonts w:ascii="Arial" w:hAnsi="Arial" w:cs="Arial"/>
                <w:b/>
                <w:sz w:val="24"/>
                <w:szCs w:val="24"/>
              </w:rPr>
              <w:t>( kg/ha )</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tabs>
                <w:tab w:val="left" w:pos="770"/>
                <w:tab w:val="left" w:pos="3801"/>
              </w:tabs>
              <w:spacing w:after="0" w:line="240" w:lineRule="auto"/>
              <w:jc w:val="both"/>
              <w:rPr>
                <w:rFonts w:ascii="Arial" w:hAnsi="Arial" w:cs="Arial"/>
                <w:b/>
                <w:sz w:val="24"/>
                <w:szCs w:val="24"/>
              </w:rPr>
            </w:pPr>
            <w:r w:rsidRPr="00315335">
              <w:rPr>
                <w:rFonts w:ascii="Arial" w:hAnsi="Arial" w:cs="Arial"/>
                <w:b/>
                <w:sz w:val="24"/>
                <w:szCs w:val="24"/>
              </w:rPr>
              <w:t>Îngrăşăminte</w:t>
            </w:r>
          </w:p>
          <w:p w:rsidR="00F70541" w:rsidRPr="00315335" w:rsidRDefault="00F70541" w:rsidP="00916B06">
            <w:pPr>
              <w:tabs>
                <w:tab w:val="left" w:pos="770"/>
                <w:tab w:val="left" w:pos="3801"/>
              </w:tabs>
              <w:spacing w:after="0" w:line="240" w:lineRule="auto"/>
              <w:jc w:val="both"/>
              <w:rPr>
                <w:rFonts w:ascii="Arial" w:hAnsi="Arial" w:cs="Arial"/>
                <w:b/>
                <w:sz w:val="24"/>
                <w:szCs w:val="24"/>
              </w:rPr>
            </w:pPr>
            <w:r w:rsidRPr="00315335">
              <w:rPr>
                <w:rFonts w:ascii="Arial" w:hAnsi="Arial" w:cs="Arial"/>
                <w:b/>
                <w:sz w:val="24"/>
                <w:szCs w:val="24"/>
              </w:rPr>
              <w:t>organice</w:t>
            </w:r>
          </w:p>
          <w:p w:rsidR="00F70541" w:rsidRPr="00315335" w:rsidRDefault="00F70541" w:rsidP="00916B06">
            <w:pPr>
              <w:tabs>
                <w:tab w:val="left" w:pos="770"/>
                <w:tab w:val="left" w:pos="3801"/>
              </w:tabs>
              <w:spacing w:after="0" w:line="240" w:lineRule="auto"/>
              <w:jc w:val="both"/>
              <w:rPr>
                <w:rFonts w:ascii="Arial" w:hAnsi="Arial" w:cs="Arial"/>
                <w:sz w:val="24"/>
                <w:szCs w:val="24"/>
              </w:rPr>
            </w:pPr>
            <w:r w:rsidRPr="00315335">
              <w:rPr>
                <w:rFonts w:ascii="Arial" w:hAnsi="Arial" w:cs="Arial"/>
                <w:b/>
                <w:sz w:val="24"/>
                <w:szCs w:val="24"/>
              </w:rPr>
              <w:t>(tone)</w:t>
            </w:r>
          </w:p>
        </w:tc>
      </w:tr>
      <w:tr w:rsidR="00315335" w:rsidRPr="00315335" w:rsidTr="00916B06">
        <w:tc>
          <w:tcPr>
            <w:tcW w:w="890" w:type="dxa"/>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N</w:t>
            </w:r>
          </w:p>
        </w:tc>
        <w:tc>
          <w:tcPr>
            <w:tcW w:w="951"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P2O5</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K2O</w:t>
            </w:r>
          </w:p>
        </w:tc>
        <w:tc>
          <w:tcPr>
            <w:tcW w:w="1033"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Total</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Arabil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sz w:val="24"/>
                <w:szCs w:val="24"/>
              </w:rPr>
            </w:pPr>
          </w:p>
        </w:tc>
      </w:tr>
      <w:tr w:rsidR="00315335" w:rsidRPr="00315335" w:rsidTr="00916B06">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2014</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8.085</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6.290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429</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14.804</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62,40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668.700</w:t>
            </w:r>
          </w:p>
        </w:tc>
      </w:tr>
      <w:tr w:rsidR="00315335" w:rsidRPr="00315335" w:rsidTr="00916B06">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2015</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12005</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9150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7131</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27.701</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78,74</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668.700</w:t>
            </w:r>
          </w:p>
        </w:tc>
      </w:tr>
      <w:tr w:rsidR="00315335" w:rsidRPr="00315335" w:rsidTr="00916B06">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2016</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14.762</w:t>
            </w:r>
          </w:p>
        </w:tc>
        <w:tc>
          <w:tcPr>
            <w:tcW w:w="951"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11.437</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8.257</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34.456</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w:t>
            </w:r>
          </w:p>
        </w:tc>
      </w:tr>
      <w:tr w:rsidR="00315335" w:rsidRPr="00315335" w:rsidTr="00916B06">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2017</w:t>
            </w:r>
          </w:p>
        </w:tc>
        <w:tc>
          <w:tcPr>
            <w:tcW w:w="951"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14.982</w:t>
            </w:r>
          </w:p>
        </w:tc>
        <w:tc>
          <w:tcPr>
            <w:tcW w:w="951"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11.594</w:t>
            </w:r>
          </w:p>
        </w:tc>
        <w:tc>
          <w:tcPr>
            <w:tcW w:w="896"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1.542</w:t>
            </w:r>
          </w:p>
        </w:tc>
        <w:tc>
          <w:tcPr>
            <w:tcW w:w="1033"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28.118</w:t>
            </w:r>
          </w:p>
        </w:tc>
        <w:tc>
          <w:tcPr>
            <w:tcW w:w="1777"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710"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w:t>
            </w:r>
          </w:p>
        </w:tc>
      </w:tr>
      <w:tr w:rsidR="00315335" w:rsidRPr="00315335" w:rsidTr="00916B06">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2018</w:t>
            </w:r>
          </w:p>
        </w:tc>
        <w:tc>
          <w:tcPr>
            <w:tcW w:w="951"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14.685</w:t>
            </w:r>
          </w:p>
        </w:tc>
        <w:tc>
          <w:tcPr>
            <w:tcW w:w="951"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11.504</w:t>
            </w:r>
          </w:p>
        </w:tc>
        <w:tc>
          <w:tcPr>
            <w:tcW w:w="896"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1.613</w:t>
            </w:r>
          </w:p>
        </w:tc>
        <w:tc>
          <w:tcPr>
            <w:tcW w:w="1033"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27.802</w:t>
            </w:r>
          </w:p>
        </w:tc>
        <w:tc>
          <w:tcPr>
            <w:tcW w:w="1777"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w:t>
            </w:r>
          </w:p>
        </w:tc>
        <w:tc>
          <w:tcPr>
            <w:tcW w:w="1710" w:type="dxa"/>
            <w:tcBorders>
              <w:top w:val="single" w:sz="4" w:space="0" w:color="auto"/>
              <w:left w:val="single" w:sz="4" w:space="0" w:color="auto"/>
              <w:bottom w:val="single" w:sz="4" w:space="0" w:color="auto"/>
              <w:right w:val="single" w:sz="4" w:space="0" w:color="auto"/>
            </w:tcBorders>
            <w:shd w:val="clear" w:color="auto" w:fill="FEF6F0"/>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w:t>
            </w:r>
          </w:p>
        </w:tc>
      </w:tr>
      <w:tr w:rsidR="00315335" w:rsidRPr="00315335" w:rsidTr="00916B06">
        <w:tc>
          <w:tcPr>
            <w:tcW w:w="890" w:type="dxa"/>
            <w:tcBorders>
              <w:top w:val="single" w:sz="4" w:space="0" w:color="auto"/>
              <w:left w:val="single" w:sz="4" w:space="0" w:color="auto"/>
              <w:bottom w:val="single" w:sz="4" w:space="0" w:color="auto"/>
              <w:right w:val="single" w:sz="4" w:space="0" w:color="auto"/>
            </w:tcBorders>
            <w:hideMark/>
          </w:tcPr>
          <w:p w:rsidR="00F70541" w:rsidRPr="00315335" w:rsidRDefault="00F70541" w:rsidP="00916B06">
            <w:pPr>
              <w:spacing w:after="0" w:line="240" w:lineRule="auto"/>
              <w:jc w:val="both"/>
              <w:rPr>
                <w:rFonts w:ascii="Arial" w:hAnsi="Arial" w:cs="Arial"/>
                <w:sz w:val="24"/>
                <w:szCs w:val="24"/>
              </w:rPr>
            </w:pPr>
          </w:p>
        </w:tc>
        <w:tc>
          <w:tcPr>
            <w:tcW w:w="951" w:type="dxa"/>
            <w:tcBorders>
              <w:top w:val="single" w:sz="4" w:space="0" w:color="auto"/>
              <w:left w:val="single" w:sz="4" w:space="0" w:color="auto"/>
              <w:bottom w:val="single" w:sz="4" w:space="0" w:color="auto"/>
              <w:right w:val="single" w:sz="4" w:space="0" w:color="auto"/>
            </w:tcBorders>
            <w:hideMark/>
          </w:tcPr>
          <w:p w:rsidR="00F70541" w:rsidRPr="00315335" w:rsidRDefault="00F70541" w:rsidP="00916B06">
            <w:pPr>
              <w:spacing w:after="0" w:line="240" w:lineRule="auto"/>
              <w:jc w:val="right"/>
              <w:rPr>
                <w:rFonts w:ascii="Arial" w:hAnsi="Arial" w:cs="Arial"/>
                <w:sz w:val="24"/>
                <w:szCs w:val="24"/>
              </w:rPr>
            </w:pPr>
          </w:p>
        </w:tc>
        <w:tc>
          <w:tcPr>
            <w:tcW w:w="951" w:type="dxa"/>
            <w:tcBorders>
              <w:top w:val="single" w:sz="4" w:space="0" w:color="auto"/>
              <w:left w:val="single" w:sz="4" w:space="0" w:color="auto"/>
              <w:bottom w:val="single" w:sz="4" w:space="0" w:color="auto"/>
              <w:right w:val="single" w:sz="4" w:space="0" w:color="auto"/>
            </w:tcBorders>
            <w:hideMark/>
          </w:tcPr>
          <w:p w:rsidR="00F70541" w:rsidRPr="00315335" w:rsidRDefault="00F70541" w:rsidP="00916B06">
            <w:pPr>
              <w:spacing w:after="0" w:line="240" w:lineRule="auto"/>
              <w:jc w:val="right"/>
              <w:rPr>
                <w:rFonts w:ascii="Arial" w:hAnsi="Arial" w:cs="Arial"/>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rsidR="00F70541" w:rsidRPr="00315335" w:rsidRDefault="00F70541" w:rsidP="00916B06">
            <w:pPr>
              <w:spacing w:after="0" w:line="240" w:lineRule="auto"/>
              <w:jc w:val="center"/>
              <w:rPr>
                <w:rFonts w:ascii="Arial" w:hAnsi="Arial" w:cs="Arial"/>
                <w:sz w:val="24"/>
                <w:szCs w:val="24"/>
              </w:rPr>
            </w:pPr>
          </w:p>
        </w:tc>
        <w:tc>
          <w:tcPr>
            <w:tcW w:w="1033" w:type="dxa"/>
            <w:tcBorders>
              <w:top w:val="single" w:sz="4" w:space="0" w:color="auto"/>
              <w:left w:val="single" w:sz="4" w:space="0" w:color="auto"/>
              <w:bottom w:val="single" w:sz="4" w:space="0" w:color="auto"/>
              <w:right w:val="single" w:sz="4" w:space="0" w:color="auto"/>
            </w:tcBorders>
            <w:hideMark/>
          </w:tcPr>
          <w:p w:rsidR="00F70541" w:rsidRPr="00315335" w:rsidRDefault="00F70541" w:rsidP="00916B06">
            <w:pPr>
              <w:spacing w:after="0" w:line="240" w:lineRule="auto"/>
              <w:jc w:val="center"/>
              <w:rPr>
                <w:rFonts w:ascii="Arial" w:hAnsi="Arial" w:cs="Arial"/>
                <w:sz w:val="24"/>
                <w:szCs w:val="24"/>
              </w:rPr>
            </w:pPr>
          </w:p>
        </w:tc>
        <w:tc>
          <w:tcPr>
            <w:tcW w:w="1777" w:type="dxa"/>
            <w:tcBorders>
              <w:top w:val="single" w:sz="4" w:space="0" w:color="auto"/>
              <w:left w:val="single" w:sz="4" w:space="0" w:color="auto"/>
              <w:bottom w:val="single" w:sz="4" w:space="0" w:color="auto"/>
              <w:right w:val="single" w:sz="4" w:space="0" w:color="auto"/>
            </w:tcBorders>
            <w:hideMark/>
          </w:tcPr>
          <w:p w:rsidR="00F70541" w:rsidRPr="00315335" w:rsidRDefault="00F70541" w:rsidP="00916B06">
            <w:pPr>
              <w:spacing w:after="0" w:line="240" w:lineRule="auto"/>
              <w:jc w:val="center"/>
              <w:rPr>
                <w:rFonts w:ascii="Arial" w:hAnsi="Arial" w:cs="Arial"/>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F70541" w:rsidRPr="00315335" w:rsidRDefault="00F70541" w:rsidP="00916B06">
            <w:pPr>
              <w:spacing w:after="0" w:line="240" w:lineRule="auto"/>
              <w:jc w:val="center"/>
              <w:rPr>
                <w:rFonts w:ascii="Arial" w:hAnsi="Arial" w:cs="Arial"/>
                <w:sz w:val="24"/>
                <w:szCs w:val="24"/>
              </w:rPr>
            </w:pPr>
          </w:p>
        </w:tc>
      </w:tr>
    </w:tbl>
    <w:p w:rsidR="00F70541" w:rsidRDefault="00F70541" w:rsidP="00F70541">
      <w:pPr>
        <w:spacing w:after="0" w:line="240" w:lineRule="auto"/>
        <w:jc w:val="both"/>
        <w:rPr>
          <w:rFonts w:ascii="Arial" w:hAnsi="Arial" w:cs="Arial"/>
        </w:rPr>
      </w:pPr>
    </w:p>
    <w:p w:rsidR="00EF5CE1" w:rsidRPr="00315335" w:rsidRDefault="00EF5CE1" w:rsidP="00F70541">
      <w:pPr>
        <w:spacing w:after="0" w:line="240" w:lineRule="auto"/>
        <w:jc w:val="both"/>
        <w:rPr>
          <w:rFonts w:ascii="Arial" w:hAnsi="Arial" w:cs="Arial"/>
        </w:rPr>
      </w:pPr>
    </w:p>
    <w:p w:rsidR="00F70541" w:rsidRPr="00315335" w:rsidRDefault="00F70541" w:rsidP="00F70541">
      <w:pPr>
        <w:spacing w:after="0" w:line="240" w:lineRule="auto"/>
        <w:jc w:val="both"/>
        <w:rPr>
          <w:rFonts w:ascii="Arial" w:hAnsi="Arial" w:cs="Arial"/>
        </w:rPr>
      </w:pPr>
    </w:p>
    <w:p w:rsidR="00F70541" w:rsidRPr="00315335" w:rsidRDefault="00F70541" w:rsidP="00F70541">
      <w:pPr>
        <w:spacing w:after="0" w:line="240" w:lineRule="auto"/>
        <w:jc w:val="both"/>
        <w:rPr>
          <w:rFonts w:ascii="Arial" w:hAnsi="Arial" w:cs="Arial"/>
        </w:rPr>
      </w:pPr>
    </w:p>
    <w:p w:rsidR="00F70541" w:rsidRPr="00315335" w:rsidRDefault="00F70541" w:rsidP="00F70541">
      <w:pPr>
        <w:spacing w:after="0" w:line="240" w:lineRule="auto"/>
        <w:jc w:val="both"/>
        <w:rPr>
          <w:rFonts w:ascii="Arial" w:hAnsi="Arial" w:cs="Arial"/>
          <w:sz w:val="24"/>
          <w:szCs w:val="24"/>
        </w:rPr>
      </w:pPr>
    </w:p>
    <w:p w:rsidR="00F70541" w:rsidRPr="00315335" w:rsidRDefault="00F70541" w:rsidP="00F70541">
      <w:pPr>
        <w:spacing w:after="0" w:line="240" w:lineRule="auto"/>
        <w:jc w:val="center"/>
        <w:rPr>
          <w:rFonts w:ascii="Arial" w:hAnsi="Arial" w:cs="Arial"/>
          <w:b/>
          <w:sz w:val="24"/>
          <w:szCs w:val="24"/>
          <w:lang w:val="pt-BR"/>
        </w:rPr>
      </w:pPr>
    </w:p>
    <w:p w:rsidR="00F70541" w:rsidRPr="00315335" w:rsidRDefault="00F70541" w:rsidP="00F70541">
      <w:pPr>
        <w:spacing w:after="0" w:line="240" w:lineRule="auto"/>
        <w:jc w:val="center"/>
        <w:rPr>
          <w:rFonts w:ascii="Arial" w:hAnsi="Arial" w:cs="Arial"/>
          <w:b/>
          <w:sz w:val="24"/>
          <w:szCs w:val="24"/>
          <w:lang w:val="pt-BR"/>
        </w:rPr>
      </w:pPr>
    </w:p>
    <w:p w:rsidR="00F70541" w:rsidRPr="00315335" w:rsidRDefault="00F70541" w:rsidP="00F70541">
      <w:pPr>
        <w:spacing w:after="0" w:line="240" w:lineRule="auto"/>
        <w:jc w:val="center"/>
        <w:rPr>
          <w:rFonts w:ascii="Arial" w:hAnsi="Arial" w:cs="Arial"/>
          <w:b/>
          <w:sz w:val="24"/>
          <w:szCs w:val="24"/>
          <w:lang w:val="pt-BR"/>
        </w:rPr>
      </w:pPr>
    </w:p>
    <w:p w:rsidR="00F70541" w:rsidRPr="00315335" w:rsidRDefault="00F70541" w:rsidP="00F70541">
      <w:pPr>
        <w:spacing w:after="0" w:line="240" w:lineRule="auto"/>
        <w:jc w:val="center"/>
        <w:rPr>
          <w:rFonts w:ascii="Arial" w:hAnsi="Arial" w:cs="Arial"/>
          <w:b/>
          <w:sz w:val="24"/>
          <w:szCs w:val="24"/>
          <w:lang w:val="pt-BR"/>
        </w:rPr>
      </w:pPr>
    </w:p>
    <w:p w:rsidR="00F70541" w:rsidRPr="00315335" w:rsidRDefault="00F70541" w:rsidP="00F70541">
      <w:pPr>
        <w:spacing w:after="0" w:line="240" w:lineRule="auto"/>
        <w:jc w:val="center"/>
        <w:rPr>
          <w:rFonts w:ascii="Arial" w:hAnsi="Arial" w:cs="Arial"/>
          <w:b/>
          <w:sz w:val="24"/>
          <w:szCs w:val="24"/>
          <w:lang w:val="pt-BR"/>
        </w:rPr>
      </w:pPr>
    </w:p>
    <w:p w:rsidR="00F70541" w:rsidRPr="00315335" w:rsidRDefault="00F70541" w:rsidP="00F70541">
      <w:pPr>
        <w:spacing w:after="0" w:line="240" w:lineRule="auto"/>
        <w:rPr>
          <w:rFonts w:ascii="Arial" w:hAnsi="Arial" w:cs="Arial"/>
          <w:b/>
          <w:sz w:val="24"/>
          <w:szCs w:val="24"/>
          <w:lang w:val="pt-BR"/>
        </w:rPr>
      </w:pPr>
    </w:p>
    <w:p w:rsidR="00F70541" w:rsidRPr="00315335" w:rsidRDefault="00F70541" w:rsidP="00F70541">
      <w:pPr>
        <w:spacing w:after="0" w:line="240" w:lineRule="auto"/>
        <w:jc w:val="center"/>
        <w:rPr>
          <w:rFonts w:ascii="Arial" w:hAnsi="Arial" w:cs="Arial"/>
          <w:b/>
          <w:sz w:val="24"/>
          <w:szCs w:val="24"/>
          <w:lang w:val="pt-BR"/>
        </w:rPr>
      </w:pPr>
      <w:r w:rsidRPr="00315335">
        <w:rPr>
          <w:rFonts w:ascii="Arial" w:hAnsi="Arial" w:cs="Arial"/>
          <w:b/>
          <w:noProof/>
          <w:sz w:val="24"/>
          <w:szCs w:val="24"/>
        </w:rPr>
        <w:lastRenderedPageBreak/>
        <w:drawing>
          <wp:inline distT="0" distB="0" distL="0" distR="0" wp14:anchorId="3A8E0D22" wp14:editId="769A9648">
            <wp:extent cx="4724400" cy="2381250"/>
            <wp:effectExtent l="57150" t="0" r="57150" b="114300"/>
            <wp:docPr id="4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70541" w:rsidRPr="00315335" w:rsidRDefault="00F70541" w:rsidP="00F70541">
      <w:pPr>
        <w:spacing w:after="0" w:line="240" w:lineRule="auto"/>
        <w:jc w:val="center"/>
        <w:rPr>
          <w:rFonts w:ascii="Arial" w:hAnsi="Arial" w:cs="Arial"/>
          <w:sz w:val="24"/>
          <w:szCs w:val="24"/>
          <w:lang w:val="pt-BR"/>
        </w:rPr>
      </w:pPr>
      <w:r w:rsidRPr="00315335">
        <w:rPr>
          <w:rFonts w:ascii="Arial" w:hAnsi="Arial" w:cs="Arial"/>
          <w:sz w:val="24"/>
          <w:szCs w:val="24"/>
          <w:lang w:val="pt-BR"/>
        </w:rPr>
        <w:t>Fig. III.3.1-1Utilizarea îngrăşămintelor în anii 2014-2018</w:t>
      </w:r>
    </w:p>
    <w:p w:rsidR="00F70541" w:rsidRPr="00315335" w:rsidRDefault="00F70541" w:rsidP="00F70541">
      <w:pPr>
        <w:spacing w:after="0" w:line="240" w:lineRule="auto"/>
        <w:jc w:val="center"/>
        <w:rPr>
          <w:rFonts w:ascii="Arial" w:hAnsi="Arial" w:cs="Arial"/>
          <w:b/>
          <w:sz w:val="24"/>
          <w:szCs w:val="24"/>
          <w:lang w:val="pt-BR"/>
        </w:rPr>
      </w:pPr>
    </w:p>
    <w:p w:rsidR="00F70541" w:rsidRPr="00315335" w:rsidRDefault="00F70541" w:rsidP="00F70541">
      <w:pPr>
        <w:spacing w:after="0" w:line="240" w:lineRule="auto"/>
        <w:jc w:val="center"/>
        <w:rPr>
          <w:rFonts w:ascii="Arial" w:hAnsi="Arial" w:cs="Arial"/>
          <w:b/>
          <w:sz w:val="24"/>
          <w:szCs w:val="24"/>
          <w:lang w:val="pt-BR"/>
        </w:rPr>
      </w:pPr>
      <w:r w:rsidRPr="00315335">
        <w:rPr>
          <w:rFonts w:ascii="Arial" w:hAnsi="Arial" w:cs="Arial"/>
          <w:b/>
          <w:noProof/>
          <w:sz w:val="24"/>
          <w:szCs w:val="24"/>
        </w:rPr>
        <w:drawing>
          <wp:inline distT="0" distB="0" distL="0" distR="0" wp14:anchorId="23844C8E" wp14:editId="2579BBEE">
            <wp:extent cx="4924425" cy="2076450"/>
            <wp:effectExtent l="19050" t="0" r="9525" b="0"/>
            <wp:docPr id="4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70541" w:rsidRPr="00315335" w:rsidRDefault="00F70541" w:rsidP="00F70541">
      <w:pPr>
        <w:spacing w:after="0" w:line="240" w:lineRule="auto"/>
        <w:jc w:val="center"/>
        <w:rPr>
          <w:rFonts w:ascii="Arial" w:hAnsi="Arial" w:cs="Arial"/>
          <w:b/>
          <w:sz w:val="24"/>
          <w:szCs w:val="24"/>
          <w:lang w:val="pt-BR"/>
        </w:rPr>
      </w:pPr>
    </w:p>
    <w:p w:rsidR="00F70541" w:rsidRPr="00315335" w:rsidRDefault="00F70541" w:rsidP="00F70541">
      <w:pPr>
        <w:spacing w:after="0" w:line="240" w:lineRule="auto"/>
        <w:jc w:val="center"/>
        <w:rPr>
          <w:rFonts w:ascii="Arial" w:hAnsi="Arial" w:cs="Arial"/>
          <w:sz w:val="24"/>
          <w:szCs w:val="24"/>
          <w:lang w:val="pt-BR"/>
        </w:rPr>
      </w:pPr>
      <w:r w:rsidRPr="00315335">
        <w:rPr>
          <w:rFonts w:ascii="Arial" w:hAnsi="Arial" w:cs="Arial"/>
          <w:sz w:val="24"/>
          <w:szCs w:val="24"/>
          <w:lang w:val="pt-BR"/>
        </w:rPr>
        <w:t xml:space="preserve">Fig. III.3.1-2 Tendințele în utilizarea îngrășămintelor chimice în agricultură în perioada </w:t>
      </w:r>
    </w:p>
    <w:p w:rsidR="00F70541" w:rsidRPr="00315335" w:rsidRDefault="00F70541" w:rsidP="00F70541">
      <w:pPr>
        <w:spacing w:after="0" w:line="240" w:lineRule="auto"/>
        <w:jc w:val="center"/>
        <w:rPr>
          <w:rFonts w:ascii="Arial" w:hAnsi="Arial" w:cs="Arial"/>
          <w:sz w:val="24"/>
          <w:szCs w:val="24"/>
          <w:lang w:val="pt-BR"/>
        </w:rPr>
      </w:pPr>
      <w:r w:rsidRPr="00315335">
        <w:rPr>
          <w:rFonts w:ascii="Arial" w:hAnsi="Arial" w:cs="Arial"/>
          <w:sz w:val="24"/>
          <w:szCs w:val="24"/>
          <w:lang w:val="pt-BR"/>
        </w:rPr>
        <w:t>2014</w:t>
      </w:r>
      <w:r w:rsidR="004841D9" w:rsidRPr="00315335">
        <w:rPr>
          <w:rFonts w:ascii="Arial" w:hAnsi="Arial" w:cs="Arial"/>
          <w:sz w:val="24"/>
          <w:szCs w:val="24"/>
          <w:lang w:val="pt-BR"/>
        </w:rPr>
        <w:t xml:space="preserve"> </w:t>
      </w:r>
      <w:r w:rsidRPr="00315335">
        <w:rPr>
          <w:rFonts w:ascii="Arial" w:hAnsi="Arial" w:cs="Arial"/>
          <w:sz w:val="24"/>
          <w:szCs w:val="24"/>
          <w:lang w:val="pt-BR"/>
        </w:rPr>
        <w:t>-</w:t>
      </w:r>
      <w:r w:rsidR="004841D9" w:rsidRPr="00315335">
        <w:rPr>
          <w:rFonts w:ascii="Arial" w:hAnsi="Arial" w:cs="Arial"/>
          <w:sz w:val="24"/>
          <w:szCs w:val="24"/>
          <w:lang w:val="pt-BR"/>
        </w:rPr>
        <w:t xml:space="preserve"> </w:t>
      </w:r>
      <w:r w:rsidRPr="00315335">
        <w:rPr>
          <w:rFonts w:ascii="Arial" w:hAnsi="Arial" w:cs="Arial"/>
          <w:sz w:val="24"/>
          <w:szCs w:val="24"/>
          <w:lang w:val="pt-BR"/>
        </w:rPr>
        <w:t>2018</w:t>
      </w:r>
    </w:p>
    <w:p w:rsidR="00F70541" w:rsidRPr="00315335" w:rsidRDefault="00F70541" w:rsidP="00F70541">
      <w:pPr>
        <w:spacing w:after="0" w:line="240" w:lineRule="auto"/>
        <w:rPr>
          <w:rFonts w:ascii="Arial" w:hAnsi="Arial" w:cs="Arial"/>
          <w:sz w:val="24"/>
          <w:szCs w:val="24"/>
          <w:lang w:val="pt-BR"/>
        </w:rPr>
      </w:pPr>
      <w:r w:rsidRPr="00315335">
        <w:rPr>
          <w:rFonts w:ascii="Arial" w:hAnsi="Arial" w:cs="Arial"/>
          <w:sz w:val="24"/>
          <w:szCs w:val="24"/>
          <w:lang w:val="pt-BR"/>
        </w:rPr>
        <w:t>Tabelul III.3.1- 2 Utilizarea îngrăşămintelor pe tipuri de culturi</w:t>
      </w:r>
    </w:p>
    <w:tbl>
      <w:tblPr>
        <w:tblpPr w:leftFromText="180" w:rightFromText="180" w:vertAnchor="text" w:horzAnchor="margin" w:tblpXSpec="center" w:tblpY="10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4174"/>
        <w:gridCol w:w="1360"/>
        <w:gridCol w:w="1134"/>
        <w:gridCol w:w="1050"/>
        <w:gridCol w:w="1134"/>
      </w:tblGrid>
      <w:tr w:rsidR="00F70541" w:rsidRPr="00315335" w:rsidTr="00916B06">
        <w:tc>
          <w:tcPr>
            <w:tcW w:w="6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Nr</w:t>
            </w:r>
          </w:p>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crt.</w:t>
            </w:r>
          </w:p>
        </w:tc>
        <w:tc>
          <w:tcPr>
            <w:tcW w:w="4174" w:type="dxa"/>
            <w:vMerge w:val="restart"/>
            <w:tcBorders>
              <w:top w:val="single" w:sz="4" w:space="0" w:color="auto"/>
              <w:left w:val="single" w:sz="4" w:space="0" w:color="auto"/>
              <w:bottom w:val="single" w:sz="4" w:space="0" w:color="auto"/>
              <w:right w:val="single" w:sz="4" w:space="0" w:color="auto"/>
            </w:tcBorders>
            <w:shd w:val="clear" w:color="auto" w:fill="D9D9D9"/>
          </w:tcPr>
          <w:p w:rsidR="00F70541" w:rsidRPr="00315335" w:rsidRDefault="00F70541" w:rsidP="00916B06">
            <w:pPr>
              <w:spacing w:after="0" w:line="240" w:lineRule="auto"/>
              <w:jc w:val="both"/>
              <w:rPr>
                <w:rFonts w:ascii="Arial" w:hAnsi="Arial" w:cs="Arial"/>
                <w:b/>
                <w:sz w:val="24"/>
                <w:szCs w:val="24"/>
              </w:rPr>
            </w:pPr>
          </w:p>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Tipuri de culturi</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Suprafaţa</w:t>
            </w:r>
          </w:p>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 ha )</w:t>
            </w:r>
          </w:p>
        </w:tc>
        <w:tc>
          <w:tcPr>
            <w:tcW w:w="331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Îngrăşăminte chimice</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4174" w:type="dxa"/>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N</w:t>
            </w:r>
          </w:p>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(kg s.a./ha)</w:t>
            </w:r>
          </w:p>
        </w:tc>
        <w:tc>
          <w:tcPr>
            <w:tcW w:w="1050"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P2O5</w:t>
            </w:r>
          </w:p>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(kg s.a./ha)</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K2O</w:t>
            </w:r>
          </w:p>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(kg s.a./ha)</w:t>
            </w:r>
          </w:p>
        </w:tc>
      </w:tr>
      <w:tr w:rsidR="00F70541" w:rsidRPr="00315335" w:rsidTr="00916B06">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b/>
                <w:i/>
                <w:sz w:val="24"/>
                <w:szCs w:val="24"/>
              </w:rPr>
            </w:pPr>
            <w:r w:rsidRPr="00315335">
              <w:rPr>
                <w:rFonts w:ascii="Arial" w:hAnsi="Arial" w:cs="Arial"/>
                <w:b/>
                <w:i/>
                <w:sz w:val="24"/>
                <w:szCs w:val="24"/>
              </w:rPr>
              <w:t>Cereale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Grâu</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63.824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10</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Porumb</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80.959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66</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Orz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20.574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50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Orzoaică de toamnă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1.504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Orzoaică de primăvară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625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Ovăz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Sorg pentru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62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r>
      <w:tr w:rsidR="00F70541" w:rsidRPr="00315335" w:rsidTr="00916B06">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b/>
                <w:i/>
                <w:sz w:val="24"/>
                <w:szCs w:val="24"/>
              </w:rPr>
            </w:pPr>
            <w:r w:rsidRPr="00315335">
              <w:rPr>
                <w:rFonts w:ascii="Arial" w:hAnsi="Arial" w:cs="Arial"/>
                <w:b/>
                <w:i/>
                <w:sz w:val="24"/>
                <w:szCs w:val="24"/>
              </w:rPr>
              <w:t>Plante uleioase: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Floarea soarelui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82.607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30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Rapiţă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21.828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20</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Soia</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18.310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20</w:t>
            </w:r>
          </w:p>
        </w:tc>
      </w:tr>
      <w:tr w:rsidR="00F70541" w:rsidRPr="00315335" w:rsidTr="00916B06">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b/>
                <w:i/>
                <w:sz w:val="24"/>
                <w:szCs w:val="24"/>
              </w:rPr>
              <w:t>Leguminoase pentru boabe</w:t>
            </w:r>
            <w:r w:rsidRPr="00315335">
              <w:rPr>
                <w:rFonts w:ascii="Arial" w:hAnsi="Arial" w:cs="Arial"/>
                <w:sz w:val="24"/>
                <w:szCs w:val="24"/>
              </w:rPr>
              <w:t>:</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Mazăre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8.559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15</w:t>
            </w:r>
          </w:p>
        </w:tc>
      </w:tr>
      <w:tr w:rsidR="00F70541" w:rsidRPr="00315335" w:rsidTr="00916B06">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Fasole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368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15</w:t>
            </w:r>
          </w:p>
        </w:tc>
      </w:tr>
      <w:tr w:rsidR="00F70541" w:rsidRPr="00315335" w:rsidTr="00916B06">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4.</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Cartofi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90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45</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45</w:t>
            </w:r>
          </w:p>
        </w:tc>
      </w:tr>
      <w:tr w:rsidR="00F70541" w:rsidRPr="00315335" w:rsidTr="00916B06">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5.</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Legume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787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45</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45</w:t>
            </w:r>
          </w:p>
        </w:tc>
      </w:tr>
      <w:tr w:rsidR="00F70541" w:rsidRPr="00315335" w:rsidTr="00916B06">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Plante medicinale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39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5</w:t>
            </w:r>
          </w:p>
        </w:tc>
      </w:tr>
      <w:tr w:rsidR="00F70541" w:rsidRPr="00315335" w:rsidTr="00916B06">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7.</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Pepeni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1.280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r>
      <w:tr w:rsidR="00F70541" w:rsidRPr="00315335" w:rsidTr="00916B06">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lastRenderedPageBreak/>
              <w:t>8.</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Plante de nutreţ</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tabs>
                <w:tab w:val="left" w:pos="3015"/>
              </w:tabs>
              <w:spacing w:after="0" w:line="240" w:lineRule="auto"/>
              <w:jc w:val="right"/>
              <w:rPr>
                <w:rFonts w:ascii="Arial" w:hAnsi="Arial" w:cs="Arial"/>
                <w:sz w:val="24"/>
                <w:szCs w:val="24"/>
              </w:rPr>
            </w:pPr>
            <w:r w:rsidRPr="00315335">
              <w:rPr>
                <w:rFonts w:ascii="Arial" w:hAnsi="Arial" w:cs="Arial"/>
                <w:sz w:val="24"/>
                <w:szCs w:val="24"/>
              </w:rPr>
              <w:t>0</w:t>
            </w:r>
          </w:p>
        </w:tc>
      </w:tr>
    </w:tbl>
    <w:p w:rsidR="00F70541" w:rsidRPr="00315335" w:rsidRDefault="00F70541" w:rsidP="00F70541">
      <w:pPr>
        <w:spacing w:after="0" w:line="240" w:lineRule="auto"/>
        <w:jc w:val="both"/>
        <w:rPr>
          <w:rFonts w:ascii="Arial" w:hAnsi="Arial" w:cs="Arial"/>
          <w:b/>
          <w:sz w:val="24"/>
          <w:szCs w:val="24"/>
          <w:lang w:val="pt-BR"/>
        </w:rPr>
      </w:pPr>
    </w:p>
    <w:p w:rsidR="00F70541" w:rsidRPr="00315335" w:rsidRDefault="00F70541" w:rsidP="00F70541">
      <w:pPr>
        <w:spacing w:after="0" w:line="240" w:lineRule="auto"/>
        <w:jc w:val="both"/>
        <w:rPr>
          <w:rFonts w:ascii="Arial" w:hAnsi="Arial" w:cs="Arial"/>
          <w:sz w:val="24"/>
          <w:szCs w:val="24"/>
        </w:rPr>
      </w:pPr>
      <w:r w:rsidRPr="00315335">
        <w:rPr>
          <w:rFonts w:ascii="Arial" w:hAnsi="Arial" w:cs="Arial"/>
          <w:b/>
          <w:sz w:val="24"/>
          <w:szCs w:val="24"/>
          <w:lang w:val="pt-BR"/>
        </w:rPr>
        <w:t xml:space="preserve">III.3.2. </w:t>
      </w:r>
      <w:r w:rsidRPr="00315335">
        <w:rPr>
          <w:rFonts w:ascii="Arial" w:hAnsi="Arial" w:cs="Arial"/>
          <w:b/>
          <w:i/>
          <w:sz w:val="24"/>
          <w:szCs w:val="24"/>
          <w:lang w:val="pt-BR"/>
        </w:rPr>
        <w:t>Consumul de produse de protecţia plantelor</w:t>
      </w:r>
    </w:p>
    <w:p w:rsidR="00F70541" w:rsidRPr="00315335" w:rsidRDefault="00F70541" w:rsidP="00F70541">
      <w:pPr>
        <w:spacing w:after="0" w:line="240" w:lineRule="auto"/>
        <w:ind w:firstLine="708"/>
        <w:jc w:val="both"/>
        <w:rPr>
          <w:rFonts w:ascii="Arial" w:hAnsi="Arial" w:cs="Arial"/>
          <w:sz w:val="24"/>
          <w:szCs w:val="24"/>
        </w:rPr>
      </w:pPr>
      <w:r w:rsidRPr="00315335">
        <w:rPr>
          <w:rFonts w:ascii="Arial" w:hAnsi="Arial" w:cs="Arial"/>
          <w:sz w:val="24"/>
          <w:szCs w:val="24"/>
        </w:rPr>
        <w:t xml:space="preserve">Produsele fitosanitare includ următoarele categorii de substanţe chimice: </w:t>
      </w:r>
    </w:p>
    <w:p w:rsidR="00F70541" w:rsidRPr="00315335" w:rsidRDefault="00F70541" w:rsidP="00E14739">
      <w:pPr>
        <w:pStyle w:val="BodyTextIndent2BodyTextIndent2Char"/>
        <w:numPr>
          <w:ilvl w:val="0"/>
          <w:numId w:val="27"/>
        </w:numPr>
        <w:tabs>
          <w:tab w:val="num" w:pos="720"/>
        </w:tabs>
        <w:ind w:hanging="720"/>
        <w:rPr>
          <w:rFonts w:ascii="Arial" w:hAnsi="Arial" w:cs="Arial"/>
          <w:sz w:val="24"/>
          <w:szCs w:val="24"/>
        </w:rPr>
      </w:pPr>
      <w:r w:rsidRPr="00315335">
        <w:rPr>
          <w:rFonts w:ascii="Arial" w:hAnsi="Arial" w:cs="Arial"/>
          <w:sz w:val="24"/>
          <w:szCs w:val="24"/>
        </w:rPr>
        <w:t>erbicidele – substanţe chimice utilizate pentru combaterea buruienilor;</w:t>
      </w:r>
    </w:p>
    <w:p w:rsidR="00F70541" w:rsidRPr="00315335" w:rsidRDefault="00F70541" w:rsidP="00E14739">
      <w:pPr>
        <w:pStyle w:val="BodyTextIndent2BodyTextIndent2Char"/>
        <w:numPr>
          <w:ilvl w:val="0"/>
          <w:numId w:val="27"/>
        </w:numPr>
        <w:tabs>
          <w:tab w:val="num" w:pos="720"/>
        </w:tabs>
        <w:ind w:hanging="720"/>
        <w:rPr>
          <w:rFonts w:ascii="Arial" w:hAnsi="Arial" w:cs="Arial"/>
          <w:sz w:val="24"/>
          <w:szCs w:val="24"/>
        </w:rPr>
      </w:pPr>
      <w:r w:rsidRPr="00315335">
        <w:rPr>
          <w:rFonts w:ascii="Arial" w:hAnsi="Arial" w:cs="Arial"/>
          <w:sz w:val="24"/>
          <w:szCs w:val="24"/>
        </w:rPr>
        <w:t>insecticidele – utilizate pentru combaterea insectelor dăunătoare;</w:t>
      </w:r>
    </w:p>
    <w:p w:rsidR="00F70541" w:rsidRPr="00315335" w:rsidRDefault="00F70541" w:rsidP="00E14739">
      <w:pPr>
        <w:pStyle w:val="BodyTextIndent2BodyTextIndent2Char"/>
        <w:numPr>
          <w:ilvl w:val="0"/>
          <w:numId w:val="27"/>
        </w:numPr>
        <w:tabs>
          <w:tab w:val="num" w:pos="720"/>
        </w:tabs>
        <w:ind w:hanging="720"/>
        <w:rPr>
          <w:rFonts w:ascii="Arial" w:hAnsi="Arial" w:cs="Arial"/>
          <w:sz w:val="24"/>
          <w:szCs w:val="24"/>
        </w:rPr>
      </w:pPr>
      <w:r w:rsidRPr="00315335">
        <w:rPr>
          <w:rFonts w:ascii="Arial" w:hAnsi="Arial" w:cs="Arial"/>
          <w:sz w:val="24"/>
          <w:szCs w:val="24"/>
        </w:rPr>
        <w:t xml:space="preserve">fungicidele, bactericidele şi virucidele. </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Monitorizarea activităţii operatorilor economici în ceea ce priveşte utilizarea substanţelor fitosanitare este realizată de Unitatea fitosanitară din cadrul Direcţiei pentru Agricultură Judeţeană Brăila.</w:t>
      </w:r>
    </w:p>
    <w:p w:rsidR="00F70541" w:rsidRPr="00315335" w:rsidRDefault="00F70541" w:rsidP="00F70541">
      <w:pPr>
        <w:pStyle w:val="BodyTextIndent2BodyTextIndent2Char"/>
        <w:ind w:left="0" w:firstLine="708"/>
        <w:rPr>
          <w:rFonts w:ascii="Arial" w:hAnsi="Arial" w:cs="Arial"/>
          <w:b/>
          <w:sz w:val="24"/>
          <w:szCs w:val="24"/>
        </w:rPr>
      </w:pPr>
      <w:r w:rsidRPr="00315335">
        <w:rPr>
          <w:rFonts w:ascii="Arial" w:hAnsi="Arial" w:cs="Arial"/>
          <w:sz w:val="24"/>
          <w:szCs w:val="24"/>
        </w:rPr>
        <w:t>Produsele fitosanitare aplicate în perioada 2014-2018 sunt redate în tabelul de mai jos.</w:t>
      </w:r>
    </w:p>
    <w:p w:rsidR="00F70541" w:rsidRPr="00315335" w:rsidRDefault="00F70541" w:rsidP="00F70541">
      <w:pPr>
        <w:spacing w:after="0" w:line="240" w:lineRule="auto"/>
        <w:ind w:firstLine="708"/>
        <w:rPr>
          <w:rFonts w:ascii="Arial" w:hAnsi="Arial" w:cs="Arial"/>
          <w:sz w:val="24"/>
          <w:szCs w:val="24"/>
        </w:rPr>
      </w:pPr>
      <w:r w:rsidRPr="00315335">
        <w:rPr>
          <w:rFonts w:ascii="Arial" w:hAnsi="Arial" w:cs="Arial"/>
          <w:sz w:val="24"/>
          <w:szCs w:val="24"/>
        </w:rPr>
        <w:t xml:space="preserve">Tabelul III.3.2-1 </w:t>
      </w: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750"/>
        <w:gridCol w:w="1772"/>
        <w:gridCol w:w="1649"/>
        <w:gridCol w:w="1560"/>
        <w:gridCol w:w="1284"/>
        <w:gridCol w:w="1323"/>
      </w:tblGrid>
      <w:tr w:rsidR="00315335" w:rsidRPr="00315335" w:rsidTr="00916B06">
        <w:trPr>
          <w:trHeight w:val="340"/>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Nr.</w:t>
            </w:r>
          </w:p>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crt.</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Anul</w:t>
            </w:r>
          </w:p>
        </w:tc>
        <w:tc>
          <w:tcPr>
            <w:tcW w:w="498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Produs fitosanitar, tone</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Total</w:t>
            </w:r>
          </w:p>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(tone)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Suprafaţă</w:t>
            </w:r>
          </w:p>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(ha)</w:t>
            </w:r>
          </w:p>
        </w:tc>
      </w:tr>
      <w:tr w:rsidR="00315335" w:rsidRPr="00315335" w:rsidTr="00916B06">
        <w:trPr>
          <w:trHeight w:val="340"/>
          <w:jc w:val="center"/>
        </w:trPr>
        <w:tc>
          <w:tcPr>
            <w:tcW w:w="655" w:type="dxa"/>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Erbicide</w:t>
            </w:r>
          </w:p>
        </w:tc>
        <w:tc>
          <w:tcPr>
            <w:tcW w:w="16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Fungicide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Insecticide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r>
      <w:tr w:rsidR="00315335" w:rsidRPr="00315335" w:rsidTr="00916B06">
        <w:trPr>
          <w:trHeight w:val="340"/>
          <w:jc w:val="center"/>
        </w:trPr>
        <w:tc>
          <w:tcPr>
            <w:tcW w:w="655"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2014</w:t>
            </w:r>
          </w:p>
        </w:tc>
        <w:tc>
          <w:tcPr>
            <w:tcW w:w="177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36.718</w:t>
            </w:r>
          </w:p>
        </w:tc>
        <w:tc>
          <w:tcPr>
            <w:tcW w:w="164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33,221</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9,002</w:t>
            </w:r>
          </w:p>
        </w:tc>
        <w:tc>
          <w:tcPr>
            <w:tcW w:w="1284"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78,941</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486.206</w:t>
            </w:r>
          </w:p>
        </w:tc>
      </w:tr>
      <w:tr w:rsidR="00315335" w:rsidRPr="00315335" w:rsidTr="00916B06">
        <w:trPr>
          <w:trHeight w:val="340"/>
          <w:jc w:val="center"/>
        </w:trPr>
        <w:tc>
          <w:tcPr>
            <w:tcW w:w="655"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2015</w:t>
            </w:r>
          </w:p>
        </w:tc>
        <w:tc>
          <w:tcPr>
            <w:tcW w:w="177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36,733</w:t>
            </w:r>
          </w:p>
        </w:tc>
        <w:tc>
          <w:tcPr>
            <w:tcW w:w="164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33,221</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 xml:space="preserve">9,002     </w:t>
            </w:r>
          </w:p>
        </w:tc>
        <w:tc>
          <w:tcPr>
            <w:tcW w:w="1284"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78,956</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309.100</w:t>
            </w:r>
          </w:p>
        </w:tc>
      </w:tr>
      <w:tr w:rsidR="00315335" w:rsidRPr="00315335" w:rsidTr="00916B06">
        <w:trPr>
          <w:trHeight w:val="340"/>
          <w:jc w:val="center"/>
        </w:trPr>
        <w:tc>
          <w:tcPr>
            <w:tcW w:w="655"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2016</w:t>
            </w:r>
          </w:p>
        </w:tc>
        <w:tc>
          <w:tcPr>
            <w:tcW w:w="177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636,160</w:t>
            </w:r>
          </w:p>
        </w:tc>
        <w:tc>
          <w:tcPr>
            <w:tcW w:w="164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430,520</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111,530</w:t>
            </w:r>
          </w:p>
        </w:tc>
        <w:tc>
          <w:tcPr>
            <w:tcW w:w="1284"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1193,870</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1476359</w:t>
            </w:r>
          </w:p>
        </w:tc>
      </w:tr>
      <w:tr w:rsidR="00315335" w:rsidRPr="00315335" w:rsidTr="00916B06">
        <w:trPr>
          <w:trHeight w:val="340"/>
          <w:jc w:val="center"/>
        </w:trPr>
        <w:tc>
          <w:tcPr>
            <w:tcW w:w="655"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4</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2017</w:t>
            </w:r>
          </w:p>
        </w:tc>
        <w:tc>
          <w:tcPr>
            <w:tcW w:w="1772"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628,348</w:t>
            </w:r>
          </w:p>
        </w:tc>
        <w:tc>
          <w:tcPr>
            <w:tcW w:w="1649"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423,336</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149,448</w:t>
            </w:r>
          </w:p>
        </w:tc>
        <w:tc>
          <w:tcPr>
            <w:tcW w:w="1284"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1.221,236</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1200762</w:t>
            </w:r>
          </w:p>
        </w:tc>
      </w:tr>
      <w:tr w:rsidR="00315335" w:rsidRPr="00315335" w:rsidTr="00916B06">
        <w:trPr>
          <w:trHeight w:val="340"/>
          <w:jc w:val="center"/>
        </w:trPr>
        <w:tc>
          <w:tcPr>
            <w:tcW w:w="655"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5</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2018</w:t>
            </w:r>
          </w:p>
        </w:tc>
        <w:tc>
          <w:tcPr>
            <w:tcW w:w="1772"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670,77</w:t>
            </w:r>
          </w:p>
        </w:tc>
        <w:tc>
          <w:tcPr>
            <w:tcW w:w="1649"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420,598</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165,49</w:t>
            </w:r>
          </w:p>
        </w:tc>
        <w:tc>
          <w:tcPr>
            <w:tcW w:w="1284"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1.265,871</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1266,244</w:t>
            </w:r>
          </w:p>
        </w:tc>
      </w:tr>
    </w:tbl>
    <w:p w:rsidR="00F70541" w:rsidRPr="00315335" w:rsidRDefault="00F70541" w:rsidP="00F70541">
      <w:pPr>
        <w:pStyle w:val="Subsol"/>
        <w:jc w:val="both"/>
        <w:rPr>
          <w:rFonts w:ascii="Arial" w:hAnsi="Arial" w:cs="Arial"/>
          <w:sz w:val="24"/>
          <w:szCs w:val="24"/>
        </w:rPr>
      </w:pPr>
    </w:p>
    <w:p w:rsidR="00F70541" w:rsidRPr="00315335" w:rsidRDefault="00F70541" w:rsidP="00F70541">
      <w:pPr>
        <w:pStyle w:val="BodyTextIndent2BodyTextIndent2Char"/>
        <w:ind w:left="0" w:right="425" w:firstLine="708"/>
        <w:rPr>
          <w:rFonts w:ascii="Arial" w:hAnsi="Arial" w:cs="Arial"/>
          <w:sz w:val="24"/>
          <w:szCs w:val="24"/>
        </w:rPr>
      </w:pPr>
      <w:r w:rsidRPr="00315335">
        <w:rPr>
          <w:rFonts w:ascii="Arial" w:hAnsi="Arial" w:cs="Arial"/>
          <w:sz w:val="24"/>
          <w:szCs w:val="24"/>
        </w:rPr>
        <w:t>În cursul anului 2018 s-au aplicat produse fitosanitare în cantitate totală de 1266,244 tone substanţă activă. Se constată creșterea cantităţilor totale de produse fitosanitare în 2016 - 2018 față de 2014 - 2015. Cele mai mari cerinţe de utilizare s-au înregistrat pentru combaterea buruienilor.</w:t>
      </w:r>
    </w:p>
    <w:p w:rsidR="00F70541" w:rsidRPr="00315335" w:rsidRDefault="00F70541" w:rsidP="00F70541">
      <w:pPr>
        <w:spacing w:after="0" w:line="240" w:lineRule="auto"/>
        <w:rPr>
          <w:rFonts w:ascii="Arial" w:hAnsi="Arial" w:cs="Arial"/>
          <w:sz w:val="24"/>
          <w:szCs w:val="24"/>
          <w:lang w:val="pt-BR"/>
        </w:rPr>
      </w:pPr>
      <w:r w:rsidRPr="00315335">
        <w:rPr>
          <w:rFonts w:ascii="Arial" w:hAnsi="Arial" w:cs="Arial"/>
          <w:sz w:val="24"/>
          <w:szCs w:val="24"/>
          <w:lang w:val="pt-BR"/>
        </w:rPr>
        <w:t>Fig. III.3.2-1</w:t>
      </w:r>
      <w:r w:rsidRPr="00315335">
        <w:rPr>
          <w:rFonts w:ascii="Arial" w:hAnsi="Arial" w:cs="Arial"/>
          <w:sz w:val="24"/>
          <w:szCs w:val="24"/>
        </w:rPr>
        <w:t xml:space="preserve"> Variația anuală a consumului total de pesticide este redat în graficul de mai jos (exprimat în kg/ha):</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noProof/>
          <w:sz w:val="24"/>
          <w:szCs w:val="24"/>
          <w:lang w:val="ro-RO" w:eastAsia="ro-RO"/>
        </w:rPr>
        <w:drawing>
          <wp:anchor distT="0" distB="0" distL="114300" distR="114300" simplePos="0" relativeHeight="251659776" behindDoc="0" locked="0" layoutInCell="1" allowOverlap="1" wp14:anchorId="4A2B52DB" wp14:editId="7B167AA4">
            <wp:simplePos x="0" y="0"/>
            <wp:positionH relativeFrom="column">
              <wp:posOffset>760095</wp:posOffset>
            </wp:positionH>
            <wp:positionV relativeFrom="paragraph">
              <wp:posOffset>116840</wp:posOffset>
            </wp:positionV>
            <wp:extent cx="4962525" cy="2076450"/>
            <wp:effectExtent l="0" t="0" r="9525" b="19050"/>
            <wp:wrapSquare wrapText="bothSides"/>
            <wp:docPr id="8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F70541" w:rsidRPr="00315335" w:rsidRDefault="00F70541" w:rsidP="00F70541">
      <w:pPr>
        <w:pStyle w:val="Subsol"/>
        <w:tabs>
          <w:tab w:val="left" w:pos="567"/>
          <w:tab w:val="left" w:pos="851"/>
          <w:tab w:val="left" w:pos="993"/>
        </w:tabs>
        <w:rPr>
          <w:rFonts w:ascii="Arial" w:hAnsi="Arial" w:cs="Arial"/>
          <w:sz w:val="24"/>
          <w:szCs w:val="24"/>
        </w:rPr>
      </w:pPr>
    </w:p>
    <w:p w:rsidR="00F70541" w:rsidRPr="00315335" w:rsidRDefault="00F70541" w:rsidP="00F70541">
      <w:pPr>
        <w:pStyle w:val="Subsol"/>
        <w:tabs>
          <w:tab w:val="left" w:pos="567"/>
          <w:tab w:val="left" w:pos="851"/>
          <w:tab w:val="left" w:pos="993"/>
        </w:tabs>
        <w:rPr>
          <w:rFonts w:ascii="Arial" w:hAnsi="Arial" w:cs="Arial"/>
          <w:sz w:val="24"/>
          <w:szCs w:val="24"/>
        </w:rPr>
      </w:pPr>
    </w:p>
    <w:p w:rsidR="00F70541" w:rsidRPr="00315335" w:rsidRDefault="00F70541" w:rsidP="00F70541">
      <w:pPr>
        <w:pStyle w:val="Subsol"/>
        <w:tabs>
          <w:tab w:val="left" w:pos="567"/>
          <w:tab w:val="left" w:pos="851"/>
          <w:tab w:val="left" w:pos="993"/>
        </w:tabs>
        <w:rPr>
          <w:rFonts w:ascii="Arial" w:hAnsi="Arial" w:cs="Arial"/>
          <w:sz w:val="24"/>
          <w:szCs w:val="24"/>
        </w:rPr>
      </w:pPr>
    </w:p>
    <w:p w:rsidR="00F70541" w:rsidRPr="00315335" w:rsidRDefault="00F70541" w:rsidP="00F70541">
      <w:pPr>
        <w:pStyle w:val="Subsol"/>
        <w:tabs>
          <w:tab w:val="left" w:pos="567"/>
          <w:tab w:val="left" w:pos="851"/>
          <w:tab w:val="left" w:pos="993"/>
        </w:tabs>
        <w:rPr>
          <w:rFonts w:ascii="Arial" w:hAnsi="Arial" w:cs="Arial"/>
          <w:sz w:val="24"/>
          <w:szCs w:val="24"/>
        </w:rPr>
      </w:pPr>
    </w:p>
    <w:p w:rsidR="00F70541" w:rsidRPr="00315335" w:rsidRDefault="00F70541" w:rsidP="00F70541">
      <w:pPr>
        <w:pStyle w:val="Subsol"/>
        <w:tabs>
          <w:tab w:val="left" w:pos="567"/>
          <w:tab w:val="left" w:pos="851"/>
          <w:tab w:val="left" w:pos="993"/>
        </w:tabs>
        <w:rPr>
          <w:rFonts w:ascii="Arial" w:hAnsi="Arial" w:cs="Arial"/>
          <w:sz w:val="24"/>
          <w:szCs w:val="24"/>
        </w:rPr>
      </w:pPr>
    </w:p>
    <w:p w:rsidR="00F70541" w:rsidRPr="00315335" w:rsidRDefault="00F70541" w:rsidP="00F70541">
      <w:pPr>
        <w:pStyle w:val="Subsol"/>
        <w:tabs>
          <w:tab w:val="left" w:pos="567"/>
          <w:tab w:val="left" w:pos="851"/>
          <w:tab w:val="left" w:pos="993"/>
        </w:tabs>
        <w:rPr>
          <w:rFonts w:ascii="Arial" w:hAnsi="Arial" w:cs="Arial"/>
          <w:sz w:val="24"/>
          <w:szCs w:val="24"/>
        </w:rPr>
      </w:pPr>
    </w:p>
    <w:p w:rsidR="00F70541" w:rsidRPr="00315335" w:rsidRDefault="00F70541" w:rsidP="00F70541">
      <w:pPr>
        <w:pStyle w:val="Subsol"/>
        <w:tabs>
          <w:tab w:val="left" w:pos="567"/>
          <w:tab w:val="left" w:pos="851"/>
          <w:tab w:val="left" w:pos="993"/>
        </w:tabs>
        <w:rPr>
          <w:rFonts w:ascii="Arial" w:hAnsi="Arial" w:cs="Arial"/>
          <w:sz w:val="24"/>
          <w:szCs w:val="24"/>
        </w:rPr>
      </w:pPr>
    </w:p>
    <w:p w:rsidR="00F70541" w:rsidRPr="00315335" w:rsidRDefault="00F70541" w:rsidP="00F70541">
      <w:pPr>
        <w:pStyle w:val="Subsol"/>
        <w:tabs>
          <w:tab w:val="left" w:pos="567"/>
          <w:tab w:val="left" w:pos="851"/>
          <w:tab w:val="left" w:pos="993"/>
        </w:tabs>
        <w:rPr>
          <w:rFonts w:ascii="Arial" w:hAnsi="Arial" w:cs="Arial"/>
          <w:sz w:val="24"/>
          <w:szCs w:val="24"/>
        </w:rPr>
      </w:pPr>
    </w:p>
    <w:p w:rsidR="00F70541" w:rsidRPr="00315335" w:rsidRDefault="00F70541" w:rsidP="00F70541">
      <w:pPr>
        <w:spacing w:after="0" w:line="240" w:lineRule="auto"/>
        <w:rPr>
          <w:rFonts w:ascii="Arial" w:hAnsi="Arial" w:cs="Arial"/>
          <w:sz w:val="24"/>
          <w:szCs w:val="24"/>
          <w:lang w:val="pt-BR"/>
        </w:rPr>
      </w:pPr>
    </w:p>
    <w:p w:rsidR="00F70541" w:rsidRPr="00315335" w:rsidRDefault="00F70541" w:rsidP="00F70541">
      <w:pPr>
        <w:spacing w:after="0" w:line="240" w:lineRule="auto"/>
        <w:jc w:val="both"/>
        <w:rPr>
          <w:rFonts w:ascii="Arial" w:hAnsi="Arial" w:cs="Arial"/>
          <w:sz w:val="24"/>
          <w:szCs w:val="24"/>
        </w:rPr>
      </w:pPr>
    </w:p>
    <w:p w:rsidR="00F70541" w:rsidRPr="00315335" w:rsidRDefault="00F70541" w:rsidP="00EF5CE1">
      <w:pPr>
        <w:pStyle w:val="BodyTextIndent2BodyTextIndent2Char"/>
        <w:ind w:left="0" w:firstLine="708"/>
        <w:rPr>
          <w:rFonts w:ascii="Arial" w:hAnsi="Arial" w:cs="Arial"/>
          <w:sz w:val="24"/>
          <w:szCs w:val="24"/>
          <w:lang w:val="pt-BR"/>
        </w:rPr>
      </w:pPr>
      <w:r w:rsidRPr="00315335">
        <w:rPr>
          <w:rFonts w:ascii="Arial" w:hAnsi="Arial" w:cs="Arial"/>
          <w:sz w:val="24"/>
          <w:szCs w:val="24"/>
        </w:rPr>
        <w:t>Variația anuală a consumului pe sorturi de pesticide în perioada 2014-2015 este redată în figura III.3.2-2. Se observă o creștere a consumurilor de pesticide în anii 2016-2018 față de perioada 2014-2015.</w:t>
      </w:r>
    </w:p>
    <w:p w:rsidR="00F70541" w:rsidRPr="00315335" w:rsidRDefault="00F70541" w:rsidP="00F70541">
      <w:pPr>
        <w:spacing w:after="0" w:line="240" w:lineRule="auto"/>
        <w:jc w:val="center"/>
        <w:rPr>
          <w:rFonts w:ascii="Arial" w:hAnsi="Arial" w:cs="Arial"/>
          <w:sz w:val="24"/>
          <w:szCs w:val="24"/>
          <w:lang w:val="pt-BR"/>
        </w:rPr>
      </w:pPr>
      <w:r w:rsidRPr="00315335">
        <w:rPr>
          <w:rFonts w:ascii="Arial" w:hAnsi="Arial" w:cs="Arial"/>
          <w:noProof/>
          <w:sz w:val="24"/>
          <w:szCs w:val="24"/>
        </w:rPr>
        <w:drawing>
          <wp:inline distT="0" distB="0" distL="0" distR="0" wp14:anchorId="286BD2AD" wp14:editId="4B7DFC4E">
            <wp:extent cx="4914900" cy="1857375"/>
            <wp:effectExtent l="0" t="0" r="0" b="0"/>
            <wp:docPr id="2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70541" w:rsidRPr="00315335" w:rsidRDefault="00F70541" w:rsidP="00F70541">
      <w:pPr>
        <w:spacing w:after="0" w:line="240" w:lineRule="auto"/>
        <w:jc w:val="center"/>
        <w:rPr>
          <w:rFonts w:ascii="Arial" w:hAnsi="Arial" w:cs="Arial"/>
          <w:sz w:val="24"/>
          <w:szCs w:val="24"/>
          <w:lang w:val="pt-BR"/>
        </w:rPr>
      </w:pPr>
    </w:p>
    <w:p w:rsidR="00F70541" w:rsidRPr="00315335" w:rsidRDefault="00F70541" w:rsidP="00F70541">
      <w:pPr>
        <w:spacing w:after="0" w:line="240" w:lineRule="auto"/>
        <w:jc w:val="center"/>
        <w:rPr>
          <w:rFonts w:ascii="Arial" w:hAnsi="Arial" w:cs="Arial"/>
          <w:sz w:val="24"/>
          <w:szCs w:val="24"/>
          <w:lang w:val="pt-BR"/>
        </w:rPr>
      </w:pPr>
      <w:r w:rsidRPr="00315335">
        <w:rPr>
          <w:rFonts w:ascii="Arial" w:hAnsi="Arial" w:cs="Arial"/>
          <w:sz w:val="24"/>
          <w:szCs w:val="24"/>
          <w:lang w:val="pt-BR"/>
        </w:rPr>
        <w:t>Fig. III.3.2-2</w:t>
      </w:r>
    </w:p>
    <w:p w:rsidR="00F70541" w:rsidRPr="00315335" w:rsidRDefault="00F70541" w:rsidP="00F70541">
      <w:pPr>
        <w:spacing w:after="0" w:line="240" w:lineRule="auto"/>
        <w:jc w:val="both"/>
        <w:rPr>
          <w:rFonts w:ascii="Arial" w:hAnsi="Arial" w:cs="Arial"/>
          <w:b/>
          <w:sz w:val="24"/>
          <w:szCs w:val="24"/>
        </w:rPr>
      </w:pPr>
    </w:p>
    <w:p w:rsidR="00F70541" w:rsidRPr="00315335" w:rsidRDefault="00F70541" w:rsidP="00F70541">
      <w:pPr>
        <w:spacing w:after="0" w:line="240" w:lineRule="auto"/>
        <w:jc w:val="both"/>
        <w:rPr>
          <w:rFonts w:ascii="Arial" w:hAnsi="Arial" w:cs="Arial"/>
          <w:sz w:val="24"/>
          <w:szCs w:val="24"/>
        </w:rPr>
      </w:pPr>
      <w:r w:rsidRPr="00315335">
        <w:rPr>
          <w:rFonts w:ascii="Arial" w:hAnsi="Arial" w:cs="Arial"/>
          <w:b/>
          <w:sz w:val="24"/>
          <w:szCs w:val="24"/>
        </w:rPr>
        <w:t xml:space="preserve">III.3.3. </w:t>
      </w:r>
      <w:r w:rsidRPr="00315335">
        <w:rPr>
          <w:rFonts w:ascii="Arial" w:hAnsi="Arial" w:cs="Arial"/>
          <w:b/>
          <w:i/>
          <w:sz w:val="24"/>
          <w:szCs w:val="24"/>
        </w:rPr>
        <w:t>Evoluția suprafețelor de îmbunătățiri funciare</w:t>
      </w:r>
    </w:p>
    <w:p w:rsidR="00F70541" w:rsidRPr="00315335" w:rsidRDefault="00F70541" w:rsidP="00F70541">
      <w:pPr>
        <w:pStyle w:val="BodyTextIndent2BodyTextIndent2Char"/>
        <w:ind w:left="0" w:firstLine="708"/>
        <w:rPr>
          <w:rFonts w:ascii="Arial" w:hAnsi="Arial" w:cs="Arial"/>
          <w:sz w:val="24"/>
          <w:szCs w:val="24"/>
        </w:rPr>
      </w:pP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Utilizarea irigaţiilor a devenit indispensabilă în condiţiile climatului arid şi secetos specific judeţului Brăila. Regimul de uscăciune a fost accentuat totodată de creşterea presiunii demografice şi a schimbărilor climatice.Abaterile de la regimul optim de irigare pot avea efecte negative asupra solului. Modificări însemnate pot avea loc din cauza calităţii apei de irigare folosite, fiind posibilă apariţia fenomenelor de salinizare şi alcalinizare, (în situaţia apelor conţinând săruri), sau modificarea texturii (în măsura în care apa conţine aluviuni în suspensie).</w:t>
      </w:r>
    </w:p>
    <w:p w:rsidR="00F70541" w:rsidRPr="00315335" w:rsidRDefault="00F70541" w:rsidP="00F70541">
      <w:pPr>
        <w:pStyle w:val="BodyTextIndent2BodyTextIndent2Char"/>
        <w:ind w:left="0" w:firstLine="708"/>
        <w:rPr>
          <w:rFonts w:ascii="Arial" w:hAnsi="Arial" w:cs="Arial"/>
          <w:sz w:val="24"/>
          <w:szCs w:val="24"/>
        </w:rPr>
      </w:pPr>
    </w:p>
    <w:p w:rsidR="00F70541" w:rsidRPr="00315335" w:rsidRDefault="00F70541" w:rsidP="00F70541">
      <w:pPr>
        <w:pStyle w:val="Corptext"/>
        <w:shd w:val="clear" w:color="auto" w:fill="FFFFFF"/>
        <w:spacing w:after="0" w:line="240" w:lineRule="auto"/>
        <w:jc w:val="both"/>
        <w:rPr>
          <w:rFonts w:ascii="Arial" w:hAnsi="Arial" w:cs="Arial"/>
          <w:sz w:val="24"/>
          <w:szCs w:val="24"/>
          <w:lang w:val="pt-BR"/>
        </w:rPr>
      </w:pPr>
      <w:r w:rsidRPr="00315335">
        <w:rPr>
          <w:rFonts w:ascii="Arial" w:hAnsi="Arial" w:cs="Arial"/>
          <w:sz w:val="24"/>
          <w:szCs w:val="24"/>
          <w:lang w:val="pt-BR"/>
        </w:rPr>
        <w:t>Tabel III.3.3-1  Suprafaţa irigată în anii 2014- 2018:</w:t>
      </w:r>
    </w:p>
    <w:p w:rsidR="00F70541" w:rsidRPr="00315335" w:rsidRDefault="00F70541" w:rsidP="00F70541">
      <w:pPr>
        <w:pStyle w:val="Corptext"/>
        <w:shd w:val="clear" w:color="auto" w:fill="FFFFFF"/>
        <w:spacing w:after="0" w:line="240" w:lineRule="auto"/>
        <w:jc w:val="both"/>
        <w:rPr>
          <w:rFonts w:ascii="Arial" w:hAnsi="Arial" w:cs="Arial"/>
          <w:b/>
          <w:sz w:val="24"/>
          <w:szCs w:val="24"/>
          <w:lang w:val="pt-BR"/>
        </w:rPr>
      </w:pPr>
    </w:p>
    <w:tbl>
      <w:tblPr>
        <w:tblW w:w="8505"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6"/>
        <w:gridCol w:w="1275"/>
        <w:gridCol w:w="1134"/>
        <w:gridCol w:w="1276"/>
        <w:gridCol w:w="1152"/>
        <w:gridCol w:w="1152"/>
      </w:tblGrid>
      <w:tr w:rsidR="00F70541" w:rsidRPr="00315335" w:rsidTr="00916B06">
        <w:trPr>
          <w:trHeight w:val="340"/>
        </w:trPr>
        <w:tc>
          <w:tcPr>
            <w:tcW w:w="2516"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pStyle w:val="Corptext"/>
              <w:spacing w:after="0" w:line="240" w:lineRule="auto"/>
              <w:jc w:val="both"/>
              <w:rPr>
                <w:rFonts w:ascii="Arial" w:hAnsi="Arial" w:cs="Arial"/>
                <w:b/>
                <w:sz w:val="24"/>
                <w:szCs w:val="24"/>
              </w:rPr>
            </w:pPr>
            <w:r w:rsidRPr="00315335">
              <w:rPr>
                <w:rFonts w:ascii="Arial" w:hAnsi="Arial" w:cs="Arial"/>
                <w:b/>
                <w:sz w:val="24"/>
                <w:szCs w:val="24"/>
              </w:rPr>
              <w:t>Anul</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2014</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2015</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2016</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t>2017</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2018</w:t>
            </w:r>
          </w:p>
        </w:tc>
      </w:tr>
      <w:tr w:rsidR="00F70541" w:rsidRPr="00315335" w:rsidTr="00916B06">
        <w:trPr>
          <w:trHeight w:val="340"/>
        </w:trPr>
        <w:tc>
          <w:tcPr>
            <w:tcW w:w="2516" w:type="dxa"/>
            <w:tcBorders>
              <w:top w:val="single" w:sz="4" w:space="0" w:color="auto"/>
              <w:left w:val="single" w:sz="4" w:space="0" w:color="auto"/>
              <w:bottom w:val="single" w:sz="4" w:space="0" w:color="auto"/>
              <w:right w:val="single" w:sz="4" w:space="0" w:color="auto"/>
            </w:tcBorders>
            <w:shd w:val="clear" w:color="auto" w:fill="F3FFFF"/>
            <w:hideMark/>
          </w:tcPr>
          <w:p w:rsidR="00F70541" w:rsidRPr="00315335" w:rsidRDefault="00F70541" w:rsidP="00916B06">
            <w:pPr>
              <w:pStyle w:val="Corptext"/>
              <w:spacing w:after="0" w:line="240" w:lineRule="auto"/>
              <w:jc w:val="both"/>
              <w:rPr>
                <w:rFonts w:ascii="Arial" w:hAnsi="Arial" w:cs="Arial"/>
                <w:sz w:val="24"/>
                <w:szCs w:val="24"/>
              </w:rPr>
            </w:pPr>
            <w:r w:rsidRPr="00315335">
              <w:rPr>
                <w:rFonts w:ascii="Arial" w:hAnsi="Arial" w:cs="Arial"/>
                <w:sz w:val="24"/>
                <w:szCs w:val="24"/>
              </w:rPr>
              <w:t>Suprafaţa irigată (ha)</w:t>
            </w:r>
          </w:p>
        </w:tc>
        <w:tc>
          <w:tcPr>
            <w:tcW w:w="1275" w:type="dxa"/>
            <w:tcBorders>
              <w:top w:val="single" w:sz="4" w:space="0" w:color="auto"/>
              <w:left w:val="single" w:sz="4" w:space="0" w:color="auto"/>
              <w:bottom w:val="single" w:sz="4" w:space="0" w:color="auto"/>
              <w:right w:val="single" w:sz="4" w:space="0" w:color="auto"/>
            </w:tcBorders>
            <w:shd w:val="clear" w:color="auto" w:fill="F3FFFF"/>
            <w:vAlign w:val="center"/>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168.237</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236.010</w:t>
            </w:r>
          </w:p>
        </w:tc>
        <w:tc>
          <w:tcPr>
            <w:tcW w:w="1276" w:type="dxa"/>
            <w:tcBorders>
              <w:top w:val="single" w:sz="4" w:space="0" w:color="auto"/>
              <w:left w:val="single" w:sz="4" w:space="0" w:color="auto"/>
              <w:bottom w:val="single" w:sz="4" w:space="0" w:color="auto"/>
              <w:right w:val="single" w:sz="4" w:space="0" w:color="auto"/>
            </w:tcBorders>
            <w:shd w:val="clear" w:color="auto" w:fill="F3FFFF"/>
            <w:vAlign w:val="center"/>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161.310</w:t>
            </w:r>
          </w:p>
        </w:tc>
        <w:tc>
          <w:tcPr>
            <w:tcW w:w="1152"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202.576</w:t>
            </w:r>
          </w:p>
        </w:tc>
        <w:tc>
          <w:tcPr>
            <w:tcW w:w="1152" w:type="dxa"/>
            <w:tcBorders>
              <w:top w:val="single" w:sz="4" w:space="0" w:color="auto"/>
              <w:left w:val="single" w:sz="4" w:space="0" w:color="auto"/>
              <w:bottom w:val="single" w:sz="4" w:space="0" w:color="auto"/>
              <w:right w:val="single" w:sz="4" w:space="0" w:color="auto"/>
            </w:tcBorders>
            <w:shd w:val="clear" w:color="auto" w:fill="F3FFFF"/>
            <w:vAlign w:val="center"/>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314.472</w:t>
            </w:r>
          </w:p>
        </w:tc>
      </w:tr>
      <w:tr w:rsidR="00F70541" w:rsidRPr="00315335" w:rsidTr="00916B06">
        <w:trPr>
          <w:trHeight w:val="340"/>
        </w:trPr>
        <w:tc>
          <w:tcPr>
            <w:tcW w:w="25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pStyle w:val="Corptext"/>
              <w:spacing w:after="0" w:line="240" w:lineRule="auto"/>
              <w:jc w:val="center"/>
              <w:rPr>
                <w:rFonts w:ascii="Arial" w:hAnsi="Arial" w:cs="Arial"/>
                <w:sz w:val="24"/>
                <w:szCs w:val="24"/>
              </w:rPr>
            </w:pPr>
            <w:r w:rsidRPr="00315335">
              <w:rPr>
                <w:rFonts w:ascii="Arial" w:hAnsi="Arial" w:cs="Arial"/>
                <w:sz w:val="24"/>
                <w:szCs w:val="24"/>
              </w:rPr>
              <w:t>Volum de apă consumată (mii mc)</w:t>
            </w:r>
          </w:p>
        </w:tc>
        <w:tc>
          <w:tcPr>
            <w:tcW w:w="1275" w:type="dxa"/>
            <w:tcBorders>
              <w:top w:val="single" w:sz="4" w:space="0" w:color="auto"/>
              <w:left w:val="single" w:sz="4" w:space="0" w:color="auto"/>
              <w:bottom w:val="single" w:sz="4" w:space="0" w:color="auto"/>
              <w:right w:val="single" w:sz="4" w:space="0" w:color="auto"/>
            </w:tcBorders>
            <w:shd w:val="clear" w:color="auto" w:fill="F3FFFF"/>
            <w:vAlign w:val="center"/>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155.441</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201.791</w:t>
            </w:r>
          </w:p>
        </w:tc>
        <w:tc>
          <w:tcPr>
            <w:tcW w:w="1276" w:type="dxa"/>
            <w:tcBorders>
              <w:top w:val="single" w:sz="4" w:space="0" w:color="auto"/>
              <w:left w:val="single" w:sz="4" w:space="0" w:color="auto"/>
              <w:bottom w:val="single" w:sz="4" w:space="0" w:color="auto"/>
              <w:right w:val="single" w:sz="4" w:space="0" w:color="auto"/>
            </w:tcBorders>
            <w:shd w:val="clear" w:color="auto" w:fill="F3FFFF"/>
            <w:vAlign w:val="center"/>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142.799</w:t>
            </w:r>
          </w:p>
        </w:tc>
        <w:tc>
          <w:tcPr>
            <w:tcW w:w="1152"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138.563</w:t>
            </w:r>
          </w:p>
        </w:tc>
        <w:tc>
          <w:tcPr>
            <w:tcW w:w="1152" w:type="dxa"/>
            <w:tcBorders>
              <w:top w:val="single" w:sz="4" w:space="0" w:color="auto"/>
              <w:left w:val="single" w:sz="4" w:space="0" w:color="auto"/>
              <w:bottom w:val="single" w:sz="4" w:space="0" w:color="auto"/>
              <w:right w:val="single" w:sz="4" w:space="0" w:color="auto"/>
            </w:tcBorders>
            <w:shd w:val="clear" w:color="auto" w:fill="F3FFFF"/>
            <w:vAlign w:val="center"/>
          </w:tcPr>
          <w:p w:rsidR="00F70541" w:rsidRPr="00315335" w:rsidRDefault="00F70541" w:rsidP="00916B06">
            <w:pPr>
              <w:spacing w:after="0" w:line="240" w:lineRule="auto"/>
              <w:jc w:val="both"/>
              <w:rPr>
                <w:rFonts w:ascii="Arial" w:hAnsi="Arial" w:cs="Arial"/>
                <w:sz w:val="24"/>
                <w:szCs w:val="24"/>
              </w:rPr>
            </w:pPr>
          </w:p>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159.220</w:t>
            </w:r>
          </w:p>
          <w:p w:rsidR="00F70541" w:rsidRPr="00315335" w:rsidRDefault="00F70541" w:rsidP="00916B06">
            <w:pPr>
              <w:spacing w:after="0" w:line="240" w:lineRule="auto"/>
              <w:jc w:val="both"/>
              <w:rPr>
                <w:rFonts w:ascii="Arial" w:hAnsi="Arial" w:cs="Arial"/>
                <w:sz w:val="24"/>
                <w:szCs w:val="24"/>
              </w:rPr>
            </w:pPr>
          </w:p>
        </w:tc>
      </w:tr>
    </w:tbl>
    <w:p w:rsidR="00F70541" w:rsidRPr="00315335" w:rsidRDefault="00F70541" w:rsidP="00F70541">
      <w:pPr>
        <w:spacing w:after="0" w:line="240" w:lineRule="auto"/>
        <w:jc w:val="both"/>
        <w:rPr>
          <w:rFonts w:ascii="Arial" w:hAnsi="Arial" w:cs="Arial"/>
          <w:bCs/>
          <w:sz w:val="24"/>
          <w:szCs w:val="24"/>
        </w:rPr>
      </w:pPr>
    </w:p>
    <w:p w:rsidR="00F70541" w:rsidRPr="00315335" w:rsidRDefault="00F70541" w:rsidP="00F70541">
      <w:pPr>
        <w:pStyle w:val="BodyTextIndent2BodyTextIndent2Char"/>
        <w:ind w:left="0" w:firstLine="426"/>
        <w:jc w:val="center"/>
        <w:rPr>
          <w:rFonts w:ascii="Arial" w:hAnsi="Arial" w:cs="Arial"/>
          <w:sz w:val="24"/>
          <w:szCs w:val="24"/>
        </w:rPr>
      </w:pPr>
      <w:r w:rsidRPr="00315335">
        <w:rPr>
          <w:rFonts w:ascii="Arial" w:hAnsi="Arial" w:cs="Arial"/>
          <w:noProof/>
          <w:sz w:val="24"/>
          <w:szCs w:val="24"/>
          <w:lang w:val="ro-RO" w:eastAsia="ro-RO"/>
        </w:rPr>
        <w:drawing>
          <wp:inline distT="0" distB="0" distL="0" distR="0" wp14:anchorId="3B4524C9" wp14:editId="66A114CD">
            <wp:extent cx="4838700" cy="2333625"/>
            <wp:effectExtent l="19050" t="0" r="19050" b="0"/>
            <wp:docPr id="4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70541" w:rsidRPr="00315335" w:rsidRDefault="00F70541" w:rsidP="00F70541">
      <w:pPr>
        <w:pStyle w:val="BodyTextIndent2BodyTextIndent2Char"/>
        <w:ind w:left="0"/>
        <w:jc w:val="center"/>
        <w:rPr>
          <w:rFonts w:ascii="Arial" w:hAnsi="Arial" w:cs="Arial"/>
          <w:b/>
          <w:sz w:val="24"/>
          <w:szCs w:val="24"/>
        </w:rPr>
      </w:pPr>
      <w:r w:rsidRPr="00315335">
        <w:rPr>
          <w:rFonts w:ascii="Arial" w:hAnsi="Arial" w:cs="Arial"/>
          <w:sz w:val="24"/>
          <w:szCs w:val="24"/>
        </w:rPr>
        <w:fldChar w:fldCharType="begin" w:fldLock="1"/>
      </w:r>
      <w:r w:rsidRPr="00315335">
        <w:rPr>
          <w:rFonts w:ascii="Arial" w:hAnsi="Arial" w:cs="Arial"/>
          <w:sz w:val="24"/>
          <w:szCs w:val="24"/>
        </w:rPr>
        <w:instrText xml:space="preserve">ref  SHAPE  \* MERGEFORMAT </w:instrText>
      </w:r>
      <w:r w:rsidRPr="00315335">
        <w:rPr>
          <w:rFonts w:ascii="Arial" w:hAnsi="Arial" w:cs="Arial"/>
          <w:sz w:val="24"/>
          <w:szCs w:val="24"/>
        </w:rPr>
        <w:fldChar w:fldCharType="end"/>
      </w:r>
    </w:p>
    <w:p w:rsidR="00F70541" w:rsidRPr="00315335" w:rsidRDefault="00F70541" w:rsidP="00F70541">
      <w:pPr>
        <w:pStyle w:val="BodyTextIndent2BodyTextIndent2Char"/>
        <w:ind w:left="0" w:firstLine="737"/>
        <w:rPr>
          <w:rFonts w:ascii="Arial" w:hAnsi="Arial" w:cs="Arial"/>
          <w:sz w:val="24"/>
          <w:szCs w:val="24"/>
        </w:rPr>
      </w:pPr>
    </w:p>
    <w:p w:rsidR="00F70541" w:rsidRPr="00315335" w:rsidRDefault="00F70541" w:rsidP="00F70541">
      <w:pPr>
        <w:spacing w:after="0" w:line="240" w:lineRule="auto"/>
        <w:jc w:val="both"/>
        <w:rPr>
          <w:rFonts w:ascii="Arial" w:hAnsi="Arial" w:cs="Arial"/>
          <w:bCs/>
          <w:sz w:val="24"/>
          <w:szCs w:val="24"/>
        </w:rPr>
      </w:pPr>
      <w:r w:rsidRPr="00315335">
        <w:rPr>
          <w:rFonts w:ascii="Arial" w:hAnsi="Arial" w:cs="Arial"/>
          <w:bCs/>
          <w:sz w:val="24"/>
          <w:szCs w:val="24"/>
        </w:rPr>
        <w:t>Fig. III .3.3. -1 Evoluţia suprafeţelor irigate în perioada 2014- 2018</w:t>
      </w:r>
    </w:p>
    <w:p w:rsidR="00F70541" w:rsidRPr="00315335" w:rsidRDefault="00F70541" w:rsidP="00F70541">
      <w:pPr>
        <w:pStyle w:val="BodyTextIndent2BodyTextIndent2Char"/>
        <w:ind w:left="0"/>
        <w:rPr>
          <w:rFonts w:ascii="Arial" w:hAnsi="Arial" w:cs="Arial"/>
          <w:b/>
          <w:sz w:val="24"/>
          <w:szCs w:val="24"/>
        </w:rPr>
      </w:pP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 xml:space="preserve">Din evoluţia suprafeţelor irigate prezentate mai sus se observă scăderea acestora în anii 2014 </w:t>
      </w:r>
      <w:r w:rsidRPr="00315335">
        <w:rPr>
          <w:rFonts w:ascii="Arial" w:hAnsi="Arial" w:cs="Arial"/>
          <w:sz w:val="24"/>
          <w:szCs w:val="24"/>
          <w:lang w:val="ro-RO"/>
        </w:rPr>
        <w:t xml:space="preserve">și </w:t>
      </w:r>
      <w:r w:rsidRPr="00315335">
        <w:rPr>
          <w:rFonts w:ascii="Arial" w:hAnsi="Arial" w:cs="Arial"/>
          <w:sz w:val="24"/>
          <w:szCs w:val="24"/>
        </w:rPr>
        <w:t>2016 și creșterea în 2015 și 2018. Volumele de apă consumate pentru irigaţii au fost mai mari în anii 2015 și 2018 în restul perioadei există o tendință de scădere.</w:t>
      </w:r>
    </w:p>
    <w:p w:rsidR="00F70541" w:rsidRPr="00315335" w:rsidRDefault="00F70541" w:rsidP="00F70541">
      <w:pPr>
        <w:pStyle w:val="Corptext"/>
        <w:spacing w:after="0" w:line="240" w:lineRule="auto"/>
        <w:jc w:val="both"/>
        <w:rPr>
          <w:rFonts w:ascii="Arial" w:eastAsia="SimSun" w:hAnsi="Arial" w:cs="Arial"/>
          <w:sz w:val="24"/>
          <w:szCs w:val="24"/>
          <w:lang w:val="ro-RO"/>
        </w:rPr>
      </w:pPr>
    </w:p>
    <w:p w:rsidR="00F70541" w:rsidRPr="00315335" w:rsidRDefault="00F70541" w:rsidP="00F70541">
      <w:pPr>
        <w:pStyle w:val="Corptext"/>
        <w:spacing w:after="0" w:line="240" w:lineRule="auto"/>
        <w:jc w:val="both"/>
        <w:rPr>
          <w:rFonts w:ascii="Arial" w:hAnsi="Arial" w:cs="Arial"/>
          <w:sz w:val="24"/>
          <w:szCs w:val="24"/>
          <w:lang w:val="ro-RO"/>
        </w:rPr>
      </w:pPr>
      <w:r w:rsidRPr="00315335">
        <w:rPr>
          <w:rFonts w:ascii="Arial" w:hAnsi="Arial" w:cs="Arial"/>
          <w:sz w:val="24"/>
          <w:szCs w:val="24"/>
          <w:lang w:val="ro-RO"/>
        </w:rPr>
        <w:t xml:space="preserve">Tabel III.3.3-2 Situaţia suprafeţelor amenajate cu lucrări de îmbunătăţiri funciare                                                                                               </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270"/>
        <w:gridCol w:w="1688"/>
        <w:gridCol w:w="1080"/>
        <w:gridCol w:w="1080"/>
        <w:gridCol w:w="1080"/>
        <w:gridCol w:w="900"/>
        <w:gridCol w:w="816"/>
      </w:tblGrid>
      <w:tr w:rsidR="00315335" w:rsidRPr="00315335" w:rsidTr="00916B06">
        <w:trPr>
          <w:trHeight w:val="441"/>
          <w:jc w:val="center"/>
        </w:trPr>
        <w:tc>
          <w:tcPr>
            <w:tcW w:w="6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Nr.</w:t>
            </w:r>
          </w:p>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crt.</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Denumirea</w:t>
            </w:r>
          </w:p>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filială</w:t>
            </w:r>
          </w:p>
          <w:p w:rsidR="00F70541" w:rsidRPr="00315335" w:rsidRDefault="00F70541" w:rsidP="00916B06">
            <w:pPr>
              <w:spacing w:after="0" w:line="240" w:lineRule="auto"/>
              <w:jc w:val="center"/>
              <w:rPr>
                <w:rFonts w:ascii="Arial" w:hAnsi="Arial" w:cs="Arial"/>
                <w:b/>
                <w:sz w:val="24"/>
                <w:szCs w:val="24"/>
              </w:rPr>
            </w:pPr>
          </w:p>
        </w:tc>
        <w:tc>
          <w:tcPr>
            <w:tcW w:w="6644"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u w:val="single"/>
              </w:rPr>
            </w:pPr>
            <w:r w:rsidRPr="00315335">
              <w:rPr>
                <w:rFonts w:ascii="Arial" w:hAnsi="Arial" w:cs="Arial"/>
                <w:b/>
                <w:sz w:val="24"/>
                <w:szCs w:val="24"/>
              </w:rPr>
              <w:t>Suprafaţa amenajată la 31.12.2018</w:t>
            </w:r>
          </w:p>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(ha)</w:t>
            </w:r>
          </w:p>
        </w:tc>
      </w:tr>
      <w:tr w:rsidR="00315335" w:rsidRPr="00315335" w:rsidTr="00916B06">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276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Irigaţii</w:t>
            </w:r>
          </w:p>
        </w:tc>
        <w:tc>
          <w:tcPr>
            <w:tcW w:w="21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Desecare</w:t>
            </w:r>
          </w:p>
        </w:tc>
        <w:tc>
          <w:tcPr>
            <w:tcW w:w="171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C.E.S.</w:t>
            </w:r>
          </w:p>
        </w:tc>
      </w:tr>
      <w:tr w:rsidR="00315335" w:rsidRPr="00315335" w:rsidTr="00916B06">
        <w:trPr>
          <w:trHeight w:val="1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Brută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Netă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Brută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Netă</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Brută</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Netă</w:t>
            </w:r>
          </w:p>
        </w:tc>
      </w:tr>
      <w:tr w:rsidR="00315335" w:rsidRPr="00315335" w:rsidTr="00916B06">
        <w:trPr>
          <w:trHeight w:val="64"/>
          <w:jc w:val="center"/>
        </w:trPr>
        <w:tc>
          <w:tcPr>
            <w:tcW w:w="69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tabs>
                <w:tab w:val="left" w:pos="360"/>
                <w:tab w:val="center" w:pos="1676"/>
              </w:tabs>
              <w:spacing w:after="0" w:line="240" w:lineRule="auto"/>
              <w:jc w:val="center"/>
              <w:rPr>
                <w:rFonts w:ascii="Arial" w:hAnsi="Arial" w:cs="Arial"/>
                <w:sz w:val="24"/>
                <w:szCs w:val="24"/>
              </w:rPr>
            </w:pPr>
            <w:r w:rsidRPr="00315335">
              <w:rPr>
                <w:rFonts w:ascii="Arial" w:hAnsi="Arial" w:cs="Arial"/>
                <w:sz w:val="24"/>
                <w:szCs w:val="24"/>
              </w:rPr>
              <w:t>1</w:t>
            </w:r>
          </w:p>
        </w:tc>
        <w:tc>
          <w:tcPr>
            <w:tcW w:w="227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tabs>
                <w:tab w:val="left" w:pos="360"/>
                <w:tab w:val="center" w:pos="1676"/>
              </w:tabs>
              <w:spacing w:after="0" w:line="240" w:lineRule="auto"/>
              <w:jc w:val="center"/>
              <w:rPr>
                <w:rFonts w:ascii="Arial" w:hAnsi="Arial" w:cs="Arial"/>
                <w:sz w:val="24"/>
                <w:szCs w:val="24"/>
                <w:u w:val="single"/>
              </w:rPr>
            </w:pPr>
            <w:r w:rsidRPr="00315335">
              <w:rPr>
                <w:rFonts w:ascii="Arial" w:hAnsi="Arial" w:cs="Arial"/>
                <w:sz w:val="24"/>
                <w:szCs w:val="24"/>
              </w:rPr>
              <w:t>Filiala judeţeană Brăila</w:t>
            </w: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377077</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357471</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268100</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247914</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0</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0</w:t>
            </w:r>
          </w:p>
        </w:tc>
      </w:tr>
    </w:tbl>
    <w:p w:rsidR="00F70541" w:rsidRPr="00315335" w:rsidRDefault="00F70541" w:rsidP="00F70541">
      <w:pPr>
        <w:spacing w:after="0" w:line="240" w:lineRule="auto"/>
        <w:jc w:val="both"/>
        <w:rPr>
          <w:rFonts w:ascii="Arial" w:hAnsi="Arial" w:cs="Arial"/>
          <w:sz w:val="24"/>
          <w:szCs w:val="24"/>
        </w:rPr>
      </w:pPr>
      <w:r w:rsidRPr="00315335">
        <w:rPr>
          <w:rFonts w:ascii="Arial" w:hAnsi="Arial" w:cs="Arial"/>
          <w:i/>
          <w:sz w:val="24"/>
          <w:szCs w:val="24"/>
        </w:rPr>
        <w:t xml:space="preserve">NOTA: </w:t>
      </w:r>
      <w:r w:rsidRPr="00315335">
        <w:rPr>
          <w:rFonts w:ascii="Arial" w:hAnsi="Arial" w:cs="Arial"/>
          <w:sz w:val="24"/>
          <w:szCs w:val="24"/>
        </w:rPr>
        <w:t xml:space="preserve">     C.E.S.= combaterea eroziunii solului   </w:t>
      </w:r>
    </w:p>
    <w:p w:rsidR="00F70541" w:rsidRPr="00315335" w:rsidRDefault="00F70541" w:rsidP="00F70541">
      <w:pPr>
        <w:spacing w:after="0" w:line="240" w:lineRule="auto"/>
        <w:jc w:val="both"/>
        <w:rPr>
          <w:rFonts w:ascii="Arial" w:eastAsia="Times New Roman" w:hAnsi="Arial" w:cs="Arial"/>
          <w:b/>
          <w:sz w:val="24"/>
          <w:szCs w:val="24"/>
          <w:lang w:val="it-IT"/>
        </w:rPr>
      </w:pPr>
    </w:p>
    <w:p w:rsidR="00F70541" w:rsidRPr="00315335" w:rsidRDefault="00F70541" w:rsidP="00F70541">
      <w:pPr>
        <w:spacing w:after="0" w:line="240" w:lineRule="auto"/>
        <w:jc w:val="both"/>
        <w:rPr>
          <w:rFonts w:ascii="Arial" w:eastAsia="Times New Roman" w:hAnsi="Arial" w:cs="Arial"/>
          <w:b/>
          <w:sz w:val="24"/>
          <w:szCs w:val="24"/>
          <w:lang w:val="it-IT"/>
        </w:rPr>
      </w:pPr>
    </w:p>
    <w:p w:rsidR="00F70541" w:rsidRPr="00315335" w:rsidRDefault="00F70541" w:rsidP="00F70541">
      <w:pPr>
        <w:spacing w:after="0" w:line="240" w:lineRule="auto"/>
        <w:jc w:val="both"/>
        <w:rPr>
          <w:rFonts w:ascii="Arial" w:eastAsia="Times New Roman" w:hAnsi="Arial" w:cs="Arial"/>
          <w:b/>
          <w:sz w:val="24"/>
          <w:szCs w:val="24"/>
          <w:lang w:val="it-IT"/>
        </w:rPr>
      </w:pPr>
      <w:r w:rsidRPr="00315335">
        <w:rPr>
          <w:rFonts w:ascii="Arial" w:eastAsia="Times New Roman" w:hAnsi="Arial" w:cs="Arial"/>
          <w:b/>
          <w:sz w:val="24"/>
          <w:szCs w:val="24"/>
          <w:lang w:val="it-IT"/>
        </w:rPr>
        <w:t>III.4 Prognoze și acțiuni întreprinse pentru ameliorarea stării de calitate a solurilor</w:t>
      </w:r>
    </w:p>
    <w:p w:rsidR="00F70541" w:rsidRPr="00315335" w:rsidRDefault="00F70541" w:rsidP="00F70541">
      <w:pPr>
        <w:spacing w:after="0" w:line="240" w:lineRule="auto"/>
        <w:jc w:val="both"/>
        <w:rPr>
          <w:rFonts w:ascii="Arial" w:hAnsi="Arial" w:cs="Arial"/>
          <w:b/>
          <w:sz w:val="24"/>
          <w:szCs w:val="24"/>
          <w:lang w:val="it-IT"/>
        </w:rPr>
      </w:pPr>
      <w:r w:rsidRPr="00315335">
        <w:rPr>
          <w:rFonts w:ascii="Arial" w:hAnsi="Arial" w:cs="Arial"/>
          <w:b/>
          <w:sz w:val="24"/>
          <w:szCs w:val="24"/>
          <w:lang w:val="it-IT"/>
        </w:rPr>
        <w:t>Inventarul siturilor contaminate</w:t>
      </w:r>
    </w:p>
    <w:p w:rsidR="00F70541" w:rsidRPr="00315335" w:rsidRDefault="00F70541" w:rsidP="00F70541">
      <w:pPr>
        <w:spacing w:after="0" w:line="240" w:lineRule="auto"/>
        <w:jc w:val="both"/>
        <w:rPr>
          <w:rFonts w:ascii="Arial" w:hAnsi="Arial" w:cs="Arial"/>
          <w:b/>
          <w:sz w:val="24"/>
          <w:szCs w:val="24"/>
          <w:lang w:val="it-IT"/>
        </w:rPr>
      </w:pP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 xml:space="preserve">În cursul anului 2008 au fost realizate acţiuni în scopul identificării preliminare a siturilor contaminate. Conform HG 1408/2007 privind modalităţile de investigare şi evaluare a poluării solului şi subsolului, Agenţia pentru Protecţia Mediului Brăila a transmis chestionare unui număr </w:t>
      </w:r>
      <w:r w:rsidRPr="00315335">
        <w:rPr>
          <w:rFonts w:ascii="Arial" w:hAnsi="Arial" w:cs="Arial"/>
          <w:sz w:val="24"/>
          <w:szCs w:val="24"/>
        </w:rPr>
        <w:lastRenderedPageBreak/>
        <w:t>de 54 de operatori economici şi 44 primării. Chestionarele primite (48 de la operatorii economici şi 43 de la primăriile care au răspuns solicitărilor) au fost verificate, completate şi transmise Agenţiei Regionale pentru Protecţia Mediului.</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 xml:space="preserve">Pentru a inventaria siturile contaminate a fost creată o bază de date „on-line”, CoSIS 2.0, accesibilă pe site-ul Agenţiei Naţionale pentru Protecţia Mediului, secţiunea „Inventar Naţional, situri contaminate – faza pilot”, în care agenţiile teritoriale au completat datele privind siturile potenţial contaminate. În urma analizării şi evaluării informaţiilor deţinute de APM Brăila au fost introduse date cu privire la 26 amplasamente posibil contaminate. </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 xml:space="preserve">În cursul anului 2009, în scopul identificării preliminare a siturilor potenţial contaminate (zone definite geografic, delimitate în suprafaţă şi adâncime, poluate cu substanţe biologice sau chimice) au fost analizate şi evaluate informaţiile deţinute şi au fost introduse completări în baza de date „on-line”. Conform  Planului de implementare a HG nr. 1408/2007 au fost întocmite şi transmise către ARPM Galaţi propunerile APM Brăila privind lista siturilor contaminate şi lista siturilor potenţial contaminate din judeţul Brăila; cele două liste conţin 21 situri contaminate/potenţial contaminate.  </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În luna august 2015 Guvernul României a aprobat, prin Hotărârea de Guvern nr. 683/2015, Strategia Națională și Planul Național de Acțiune pentru gestionarea Siturilor Contaminate din România, document ce stabilește necesarul de investiţii şi priorităţile de finanţare pentru sectorul situri contaminate aferente perioadei de finanţare 2014-2020.</w:t>
      </w:r>
    </w:p>
    <w:p w:rsidR="00F70541" w:rsidRPr="00315335" w:rsidRDefault="00F70541" w:rsidP="00F70541">
      <w:pPr>
        <w:autoSpaceDE w:val="0"/>
        <w:autoSpaceDN w:val="0"/>
        <w:adjustRightInd w:val="0"/>
        <w:spacing w:after="0" w:line="240" w:lineRule="auto"/>
        <w:ind w:firstLine="708"/>
        <w:jc w:val="both"/>
        <w:rPr>
          <w:rFonts w:ascii="Arial" w:hAnsi="Arial" w:cs="Arial"/>
          <w:sz w:val="24"/>
          <w:szCs w:val="24"/>
          <w:lang w:val="it-IT"/>
        </w:rPr>
      </w:pPr>
    </w:p>
    <w:p w:rsidR="00F70541" w:rsidRPr="00315335" w:rsidRDefault="00F70541" w:rsidP="00F70541">
      <w:pPr>
        <w:pStyle w:val="Subsol"/>
        <w:jc w:val="both"/>
        <w:rPr>
          <w:rFonts w:ascii="Arial" w:eastAsia="SimSun" w:hAnsi="Arial" w:cs="Arial"/>
          <w:b/>
          <w:sz w:val="24"/>
          <w:szCs w:val="24"/>
          <w:lang w:val="it-IT"/>
        </w:rPr>
      </w:pPr>
      <w:r w:rsidRPr="00315335">
        <w:rPr>
          <w:rFonts w:ascii="Arial" w:eastAsia="SimSun" w:hAnsi="Arial" w:cs="Arial"/>
          <w:b/>
          <w:sz w:val="24"/>
          <w:szCs w:val="24"/>
          <w:lang w:val="it-IT"/>
        </w:rPr>
        <w:t xml:space="preserve">Acţiuni întreprinse pentru remedierea terenurilor contaminate </w:t>
      </w:r>
    </w:p>
    <w:p w:rsidR="00F70541" w:rsidRPr="00315335" w:rsidRDefault="00F70541" w:rsidP="00F70541">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Modalităţile de investigare şi evaluare a poluării solului şi subsolului se vor stabili potrivit HG 1408/2007 utilizând metode specifice geologice şi pedologice, în baza metodologiilor de investigare şi evaluare a poluării solului şi subsolului. </w:t>
      </w:r>
    </w:p>
    <w:p w:rsidR="00F70541" w:rsidRPr="00315335" w:rsidRDefault="00F70541" w:rsidP="00F70541">
      <w:pPr>
        <w:spacing w:after="0" w:line="240" w:lineRule="auto"/>
        <w:jc w:val="both"/>
        <w:rPr>
          <w:rFonts w:ascii="Arial" w:hAnsi="Arial" w:cs="Arial"/>
          <w:sz w:val="24"/>
          <w:szCs w:val="24"/>
          <w:lang w:val="it-IT"/>
        </w:rPr>
      </w:pPr>
      <w:r w:rsidRPr="00315335">
        <w:rPr>
          <w:rFonts w:ascii="Arial" w:hAnsi="Arial" w:cs="Arial"/>
          <w:sz w:val="24"/>
          <w:szCs w:val="24"/>
          <w:lang w:val="it-IT"/>
        </w:rPr>
        <w:t xml:space="preserve">Investigarea, evaluarea şi refacerea siturilor contaminate se va realiza prin: </w:t>
      </w:r>
    </w:p>
    <w:p w:rsidR="00F70541" w:rsidRPr="00315335" w:rsidRDefault="00F70541" w:rsidP="00F70541">
      <w:pPr>
        <w:spacing w:after="0" w:line="240" w:lineRule="auto"/>
        <w:jc w:val="both"/>
        <w:rPr>
          <w:rFonts w:ascii="Arial" w:hAnsi="Arial" w:cs="Arial"/>
          <w:sz w:val="24"/>
          <w:szCs w:val="24"/>
          <w:lang w:val="it-IT"/>
        </w:rPr>
      </w:pPr>
      <w:r w:rsidRPr="00315335">
        <w:rPr>
          <w:rFonts w:ascii="Arial" w:hAnsi="Arial" w:cs="Arial"/>
          <w:sz w:val="24"/>
          <w:szCs w:val="24"/>
          <w:lang w:val="it-IT"/>
        </w:rPr>
        <w:t>-întocmirea inventarului de situri contaminate, bazat pe completarea chestionarelor;</w:t>
      </w:r>
    </w:p>
    <w:p w:rsidR="00F70541" w:rsidRPr="00315335" w:rsidRDefault="00F70541" w:rsidP="00F70541">
      <w:pPr>
        <w:spacing w:after="0" w:line="240" w:lineRule="auto"/>
        <w:jc w:val="both"/>
        <w:rPr>
          <w:rFonts w:ascii="Arial" w:hAnsi="Arial" w:cs="Arial"/>
          <w:sz w:val="24"/>
          <w:szCs w:val="24"/>
          <w:lang w:val="it-IT"/>
        </w:rPr>
      </w:pPr>
      <w:r w:rsidRPr="00315335">
        <w:rPr>
          <w:rFonts w:ascii="Arial" w:hAnsi="Arial" w:cs="Arial"/>
          <w:sz w:val="24"/>
          <w:szCs w:val="24"/>
          <w:lang w:val="it-IT"/>
        </w:rPr>
        <w:t>-stabilirea modalităţilor de investigare şi evaluare a poluării solului şi subsolului;</w:t>
      </w:r>
    </w:p>
    <w:p w:rsidR="00F70541" w:rsidRPr="00315335" w:rsidRDefault="00F70541" w:rsidP="00F70541">
      <w:pPr>
        <w:spacing w:after="0" w:line="240" w:lineRule="auto"/>
        <w:jc w:val="both"/>
        <w:rPr>
          <w:rFonts w:ascii="Arial" w:hAnsi="Arial" w:cs="Arial"/>
          <w:sz w:val="24"/>
          <w:szCs w:val="24"/>
          <w:lang w:val="it-IT"/>
        </w:rPr>
      </w:pPr>
      <w:r w:rsidRPr="00315335">
        <w:rPr>
          <w:rFonts w:ascii="Arial" w:hAnsi="Arial" w:cs="Arial"/>
          <w:sz w:val="24"/>
          <w:szCs w:val="24"/>
          <w:lang w:val="it-IT"/>
        </w:rPr>
        <w:t xml:space="preserve">-realizarea celor trei etape principale ale investigării şi evaluării poluării mediului geologic, având ca finalitate identificarea şi caracterizarea siturilor contaminate: </w:t>
      </w:r>
    </w:p>
    <w:p w:rsidR="00F70541" w:rsidRPr="00315335" w:rsidRDefault="00F70541" w:rsidP="00E14739">
      <w:pPr>
        <w:pStyle w:val="Listparagraf"/>
        <w:numPr>
          <w:ilvl w:val="0"/>
          <w:numId w:val="28"/>
        </w:numPr>
        <w:jc w:val="both"/>
        <w:rPr>
          <w:rFonts w:ascii="Arial" w:hAnsi="Arial" w:cs="Arial"/>
          <w:lang w:val="it-IT"/>
        </w:rPr>
      </w:pPr>
      <w:r w:rsidRPr="00315335">
        <w:rPr>
          <w:rFonts w:ascii="Arial" w:hAnsi="Arial" w:cs="Arial"/>
          <w:lang w:val="it-IT"/>
        </w:rPr>
        <w:t xml:space="preserve">analiza şi interpretarea datelor existente, </w:t>
      </w:r>
    </w:p>
    <w:p w:rsidR="00F70541" w:rsidRPr="00315335" w:rsidRDefault="00F70541" w:rsidP="00E14739">
      <w:pPr>
        <w:pStyle w:val="Listparagraf"/>
        <w:numPr>
          <w:ilvl w:val="0"/>
          <w:numId w:val="28"/>
        </w:numPr>
        <w:jc w:val="both"/>
        <w:rPr>
          <w:rFonts w:ascii="Arial" w:hAnsi="Arial" w:cs="Arial"/>
          <w:lang w:val="it-IT"/>
        </w:rPr>
      </w:pPr>
      <w:r w:rsidRPr="00315335">
        <w:rPr>
          <w:rFonts w:ascii="Arial" w:hAnsi="Arial" w:cs="Arial"/>
          <w:lang w:val="it-IT"/>
        </w:rPr>
        <w:t xml:space="preserve">etapa de investigare şi evaluare preliminară (ale cărei rezultate sunt cuprinse în raportul geologic de evaluare şi investigare preliminară), </w:t>
      </w:r>
    </w:p>
    <w:p w:rsidR="00F70541" w:rsidRPr="00315335" w:rsidRDefault="00F70541" w:rsidP="00E14739">
      <w:pPr>
        <w:pStyle w:val="Listparagraf"/>
        <w:numPr>
          <w:ilvl w:val="0"/>
          <w:numId w:val="28"/>
        </w:numPr>
        <w:jc w:val="both"/>
        <w:rPr>
          <w:rFonts w:ascii="Arial" w:hAnsi="Arial" w:cs="Arial"/>
          <w:lang w:val="it-IT"/>
        </w:rPr>
      </w:pPr>
      <w:r w:rsidRPr="00315335">
        <w:rPr>
          <w:rFonts w:ascii="Arial" w:hAnsi="Arial" w:cs="Arial"/>
          <w:lang w:val="it-IT"/>
        </w:rPr>
        <w:t>etapa de investigare şi evaluare detaliată (ale cărei rezultate sunt cuprinse în raportul geologic final de evaluare şi investigare).</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 xml:space="preserve">Au fost reglementate patru proiecte de decontaminare pentru depozitele OMV Petrom Brăila Oraş, Brăila Port, Făurei </w:t>
      </w:r>
      <w:r w:rsidRPr="00315335">
        <w:rPr>
          <w:rFonts w:ascii="Arial" w:hAnsi="Arial" w:cs="Arial"/>
          <w:sz w:val="24"/>
          <w:szCs w:val="24"/>
          <w:lang w:val="ro-RO"/>
        </w:rPr>
        <w:t>ș</w:t>
      </w:r>
      <w:r w:rsidRPr="00315335">
        <w:rPr>
          <w:rFonts w:ascii="Arial" w:hAnsi="Arial" w:cs="Arial"/>
          <w:sz w:val="24"/>
          <w:szCs w:val="24"/>
        </w:rPr>
        <w:t xml:space="preserve">i Ianca. Primul este în derulare, se realizează monitorizarea lucrărilor de remediere a solului care se vor continua până la atingerea obiectivelor de remediere. Lucrările de decontaminare a apelor subterane nu au fost încă iniţiate urmând să se desfăşoare după obţinerea avizului privind gospodărirea apelor. </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La depozitul Făurei s-au recepționat lucrările de remediere, iar rapoartele de monitorizare analizate în cursul anilor 2014-2015 (perioada de monitorizare postremediere) au relevat încadrarea tuturor indicatorilor în limitele impuse prin actul de reglementare, ca urmare considerându-se a fi remediat.</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Pentru batalurile de reziduuri petroliere închise au fost realizate investigaţii privind poluarea solului şi a fost finalizat în cursul anului 2014 proiectul de remediere pentru batalul nou Oprișenești. Acesta nu este însă inclus pe lista siturilor contaminate/potențial contaminate.</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Pentru sondele de extracţie petrol care au fost abandonate, OMV Petrom a întocmit documentaţiile necesare reglementării din punctul de vedere al protecţiei mediului şi stabilirii obligaţiilor de mediu, după caz. Au fost reglementate proiecte de dezafectare şi remediere a terenului pentru sondele la care, ca urmare a analizelor chimice efectuate, s-au constatat depăşiri ale indicatorului hidrocarburi totale din petrol, conform prevederilor Ord. MAPPM 756/1997 pentru aprobarea Reglementării privind evaluarea poluării mediului.</w:t>
      </w:r>
    </w:p>
    <w:p w:rsidR="00F70541" w:rsidRPr="00315335" w:rsidRDefault="00F70541" w:rsidP="00F70541">
      <w:pPr>
        <w:pStyle w:val="Listparagraf"/>
        <w:tabs>
          <w:tab w:val="left" w:pos="720"/>
        </w:tabs>
        <w:suppressAutoHyphens/>
        <w:autoSpaceDE w:val="0"/>
        <w:autoSpaceDN w:val="0"/>
        <w:adjustRightInd w:val="0"/>
        <w:jc w:val="both"/>
        <w:rPr>
          <w:rFonts w:ascii="Arial" w:hAnsi="Arial" w:cs="Arial"/>
          <w:noProof/>
        </w:rPr>
      </w:pPr>
    </w:p>
    <w:p w:rsidR="008A262E" w:rsidRDefault="008A262E" w:rsidP="00F70541">
      <w:pPr>
        <w:spacing w:after="0" w:line="240" w:lineRule="auto"/>
        <w:rPr>
          <w:rFonts w:ascii="Arial" w:hAnsi="Arial" w:cs="Arial"/>
          <w:b/>
          <w:sz w:val="24"/>
          <w:szCs w:val="24"/>
        </w:rPr>
      </w:pPr>
    </w:p>
    <w:p w:rsidR="008A262E" w:rsidRDefault="008A262E" w:rsidP="00F70541">
      <w:pPr>
        <w:spacing w:after="0" w:line="240" w:lineRule="auto"/>
        <w:rPr>
          <w:rFonts w:ascii="Arial" w:hAnsi="Arial" w:cs="Arial"/>
          <w:b/>
          <w:sz w:val="24"/>
          <w:szCs w:val="24"/>
        </w:rPr>
      </w:pPr>
    </w:p>
    <w:p w:rsidR="008A262E" w:rsidRDefault="008A262E" w:rsidP="00F70541">
      <w:pPr>
        <w:spacing w:after="0" w:line="240" w:lineRule="auto"/>
        <w:rPr>
          <w:rFonts w:ascii="Arial" w:hAnsi="Arial" w:cs="Arial"/>
          <w:b/>
          <w:sz w:val="24"/>
          <w:szCs w:val="24"/>
        </w:rPr>
      </w:pPr>
    </w:p>
    <w:p w:rsidR="00F70541" w:rsidRPr="00315335" w:rsidRDefault="00F70541" w:rsidP="00F70541">
      <w:pPr>
        <w:spacing w:after="0" w:line="240" w:lineRule="auto"/>
        <w:rPr>
          <w:rFonts w:ascii="Arial" w:hAnsi="Arial" w:cs="Arial"/>
          <w:b/>
          <w:sz w:val="24"/>
          <w:szCs w:val="24"/>
        </w:rPr>
      </w:pPr>
      <w:r w:rsidRPr="00315335">
        <w:rPr>
          <w:rFonts w:ascii="Arial" w:hAnsi="Arial" w:cs="Arial"/>
          <w:b/>
          <w:sz w:val="24"/>
          <w:szCs w:val="24"/>
        </w:rPr>
        <w:lastRenderedPageBreak/>
        <w:t>IV. UTILIZAREA TERENURILOR</w:t>
      </w:r>
    </w:p>
    <w:p w:rsidR="00F70541" w:rsidRPr="00315335" w:rsidRDefault="00F70541" w:rsidP="00F70541">
      <w:pPr>
        <w:spacing w:after="0" w:line="240" w:lineRule="auto"/>
        <w:ind w:left="284"/>
        <w:rPr>
          <w:rFonts w:ascii="Arial" w:hAnsi="Arial" w:cs="Arial"/>
          <w:b/>
          <w:i/>
          <w:sz w:val="24"/>
          <w:szCs w:val="24"/>
        </w:rPr>
      </w:pPr>
      <w:r w:rsidRPr="00315335">
        <w:rPr>
          <w:rFonts w:ascii="Arial" w:hAnsi="Arial" w:cs="Arial"/>
          <w:b/>
          <w:i/>
          <w:sz w:val="24"/>
          <w:szCs w:val="24"/>
        </w:rPr>
        <w:t>IV.1. Stare și tendințe</w:t>
      </w:r>
    </w:p>
    <w:p w:rsidR="00F70541" w:rsidRPr="00315335" w:rsidRDefault="00F70541" w:rsidP="00F70541">
      <w:pPr>
        <w:pStyle w:val="BodyTextIndent2BodyTextIndent2Char"/>
        <w:ind w:left="0" w:firstLine="708"/>
        <w:rPr>
          <w:rFonts w:ascii="Arial" w:hAnsi="Arial" w:cs="Arial"/>
          <w:sz w:val="24"/>
          <w:szCs w:val="24"/>
        </w:rPr>
      </w:pP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 xml:space="preserve">Terenurile sunt o resursă finită și modul în care sunt exploatate reprezintă unul dintre principalii factori determinanţi ai schimbărilor de mediu, cu impact semnificativ asupra calităţii vieţii şi a ecosistemelor, precum şi asupra gestionării infrastructurii. </w:t>
      </w:r>
    </w:p>
    <w:p w:rsidR="00F70541" w:rsidRPr="00315335" w:rsidRDefault="00F70541" w:rsidP="00F70541">
      <w:pPr>
        <w:pStyle w:val="BodyTextIndent2BodyTextIndent2Char"/>
        <w:ind w:left="0"/>
        <w:rPr>
          <w:rFonts w:ascii="Arial" w:hAnsi="Arial" w:cs="Arial"/>
          <w:sz w:val="24"/>
          <w:szCs w:val="24"/>
        </w:rPr>
      </w:pPr>
      <w:r w:rsidRPr="00315335">
        <w:rPr>
          <w:rFonts w:ascii="Arial" w:hAnsi="Arial" w:cs="Arial"/>
          <w:sz w:val="24"/>
          <w:szCs w:val="24"/>
        </w:rPr>
        <w:t xml:space="preserve">Utilizarea terenurilor este determinată de o serie de factori importanţi: </w:t>
      </w:r>
    </w:p>
    <w:p w:rsidR="00F70541" w:rsidRPr="00315335" w:rsidRDefault="00F70541" w:rsidP="00E14739">
      <w:pPr>
        <w:pStyle w:val="BodyTextIndent2BodyTextIndent2Char"/>
        <w:numPr>
          <w:ilvl w:val="0"/>
          <w:numId w:val="33"/>
        </w:numPr>
        <w:rPr>
          <w:rFonts w:ascii="Arial" w:hAnsi="Arial" w:cs="Arial"/>
          <w:sz w:val="24"/>
          <w:szCs w:val="24"/>
        </w:rPr>
      </w:pPr>
      <w:r w:rsidRPr="00315335">
        <w:rPr>
          <w:rFonts w:ascii="Arial" w:hAnsi="Arial" w:cs="Arial"/>
          <w:sz w:val="24"/>
          <w:szCs w:val="24"/>
        </w:rPr>
        <w:t xml:space="preserve">creşterea cererii pentru spaţii de locuit/persoană; </w:t>
      </w:r>
    </w:p>
    <w:p w:rsidR="00F70541" w:rsidRPr="00315335" w:rsidRDefault="00F70541" w:rsidP="00E14739">
      <w:pPr>
        <w:pStyle w:val="BodyTextIndent2BodyTextIndent2Char"/>
        <w:numPr>
          <w:ilvl w:val="0"/>
          <w:numId w:val="33"/>
        </w:numPr>
        <w:rPr>
          <w:rFonts w:ascii="Arial" w:hAnsi="Arial" w:cs="Arial"/>
          <w:sz w:val="24"/>
          <w:szCs w:val="24"/>
        </w:rPr>
      </w:pPr>
      <w:r w:rsidRPr="00315335">
        <w:rPr>
          <w:rFonts w:ascii="Arial" w:hAnsi="Arial" w:cs="Arial"/>
          <w:sz w:val="24"/>
          <w:szCs w:val="24"/>
        </w:rPr>
        <w:t>legătura dintre activitatea economică, creşterea mobilităţii şi creşterea infrastructurii de transport care conduce la absorbţia de teren în zona urbană;</w:t>
      </w:r>
    </w:p>
    <w:p w:rsidR="00F70541" w:rsidRPr="00315335" w:rsidRDefault="00F70541" w:rsidP="00E14739">
      <w:pPr>
        <w:pStyle w:val="BodyTextIndent2BodyTextIndent2Char"/>
        <w:numPr>
          <w:ilvl w:val="0"/>
          <w:numId w:val="33"/>
        </w:numPr>
        <w:rPr>
          <w:rFonts w:ascii="Arial" w:hAnsi="Arial" w:cs="Arial"/>
          <w:sz w:val="24"/>
          <w:szCs w:val="24"/>
        </w:rPr>
      </w:pPr>
      <w:r w:rsidRPr="00315335">
        <w:rPr>
          <w:rFonts w:ascii="Arial" w:hAnsi="Arial" w:cs="Arial"/>
          <w:sz w:val="24"/>
          <w:szCs w:val="24"/>
        </w:rPr>
        <w:t>creşterea cererii pentru spaţii de recreere şi petrecerea timpului liber, etc.</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ab/>
      </w:r>
    </w:p>
    <w:p w:rsidR="00F70541" w:rsidRPr="00315335" w:rsidRDefault="00F70541" w:rsidP="00F70541">
      <w:pPr>
        <w:pStyle w:val="BodyTextIndent2BodyTextIndent2Char"/>
        <w:ind w:left="0"/>
        <w:rPr>
          <w:rFonts w:ascii="Arial" w:hAnsi="Arial" w:cs="Arial"/>
          <w:b/>
          <w:i/>
          <w:sz w:val="24"/>
          <w:szCs w:val="24"/>
        </w:rPr>
      </w:pPr>
      <w:r w:rsidRPr="00315335">
        <w:rPr>
          <w:rFonts w:ascii="Arial" w:hAnsi="Arial" w:cs="Arial"/>
          <w:b/>
          <w:i/>
          <w:sz w:val="24"/>
          <w:szCs w:val="24"/>
        </w:rPr>
        <w:t xml:space="preserve">IV.1.1. Repartiţia terenurilor pe categorii de acoperire/utilizare </w:t>
      </w:r>
    </w:p>
    <w:p w:rsidR="00F70541" w:rsidRPr="00315335" w:rsidRDefault="00F70541" w:rsidP="00F70541">
      <w:pPr>
        <w:pStyle w:val="BodyTextIndent2BodyTextIndent2Char"/>
        <w:ind w:left="0" w:firstLine="708"/>
        <w:rPr>
          <w:rFonts w:ascii="Arial" w:hAnsi="Arial" w:cs="Arial"/>
          <w:sz w:val="24"/>
          <w:szCs w:val="24"/>
        </w:rPr>
      </w:pPr>
      <w:r w:rsidRPr="00315335">
        <w:rPr>
          <w:rFonts w:ascii="Arial" w:hAnsi="Arial" w:cs="Arial"/>
          <w:sz w:val="24"/>
          <w:szCs w:val="24"/>
        </w:rPr>
        <w:t>Fondul funciar reprezintă cea mai importantă resursă naturală a ţării şi cuprinde totalitatea terenurilor, indiferent de destinaţie, de titlul pe baza căruia sunt deţinute sau de domeniul public sau privat din care fac parte. Fondul funciar a fost reglementat prin Legea nr. 18/1991, cu modificările şi completările ulterioare.</w:t>
      </w:r>
    </w:p>
    <w:p w:rsidR="00F70541" w:rsidRPr="00315335" w:rsidRDefault="00F70541" w:rsidP="00F70541">
      <w:pPr>
        <w:tabs>
          <w:tab w:val="left" w:pos="2160"/>
          <w:tab w:val="left" w:leader="dot" w:pos="8640"/>
        </w:tabs>
        <w:spacing w:after="0" w:line="240" w:lineRule="auto"/>
        <w:ind w:right="-38"/>
        <w:jc w:val="both"/>
        <w:rPr>
          <w:rFonts w:ascii="Arial" w:hAnsi="Arial" w:cs="Arial"/>
          <w:sz w:val="24"/>
          <w:szCs w:val="24"/>
        </w:rPr>
      </w:pPr>
      <w:r w:rsidRPr="00315335">
        <w:rPr>
          <w:rFonts w:ascii="Arial" w:hAnsi="Arial" w:cs="Arial"/>
          <w:sz w:val="24"/>
          <w:szCs w:val="24"/>
        </w:rPr>
        <w:t>În funcţie de destinaţie, terenurile sunt :</w:t>
      </w:r>
    </w:p>
    <w:p w:rsidR="00F70541" w:rsidRPr="00315335" w:rsidRDefault="00F70541" w:rsidP="00E14739">
      <w:pPr>
        <w:numPr>
          <w:ilvl w:val="0"/>
          <w:numId w:val="24"/>
        </w:numPr>
        <w:spacing w:after="0" w:line="240" w:lineRule="auto"/>
        <w:jc w:val="both"/>
        <w:rPr>
          <w:rFonts w:ascii="Arial" w:hAnsi="Arial" w:cs="Arial"/>
          <w:sz w:val="24"/>
          <w:szCs w:val="24"/>
        </w:rPr>
      </w:pPr>
      <w:r w:rsidRPr="00315335">
        <w:rPr>
          <w:rFonts w:ascii="Arial" w:hAnsi="Arial" w:cs="Arial"/>
          <w:sz w:val="24"/>
          <w:szCs w:val="24"/>
        </w:rPr>
        <w:t>terenuri cu destinaţie agricolă ;</w:t>
      </w:r>
    </w:p>
    <w:p w:rsidR="00F70541" w:rsidRPr="00315335" w:rsidRDefault="00F70541" w:rsidP="00E14739">
      <w:pPr>
        <w:numPr>
          <w:ilvl w:val="0"/>
          <w:numId w:val="24"/>
        </w:numPr>
        <w:spacing w:after="0" w:line="240" w:lineRule="auto"/>
        <w:jc w:val="both"/>
        <w:rPr>
          <w:rFonts w:ascii="Arial" w:hAnsi="Arial" w:cs="Arial"/>
          <w:sz w:val="24"/>
          <w:szCs w:val="24"/>
        </w:rPr>
      </w:pPr>
      <w:r w:rsidRPr="00315335">
        <w:rPr>
          <w:rFonts w:ascii="Arial" w:hAnsi="Arial" w:cs="Arial"/>
          <w:sz w:val="24"/>
          <w:szCs w:val="24"/>
        </w:rPr>
        <w:t>terenuri cu destinaţie forestieră ;</w:t>
      </w:r>
    </w:p>
    <w:p w:rsidR="00F70541" w:rsidRPr="00315335" w:rsidRDefault="00F70541" w:rsidP="00E14739">
      <w:pPr>
        <w:numPr>
          <w:ilvl w:val="0"/>
          <w:numId w:val="24"/>
        </w:numPr>
        <w:spacing w:after="0" w:line="240" w:lineRule="auto"/>
        <w:jc w:val="both"/>
        <w:rPr>
          <w:rFonts w:ascii="Arial" w:hAnsi="Arial" w:cs="Arial"/>
          <w:sz w:val="24"/>
          <w:szCs w:val="24"/>
          <w:lang w:val="it-IT"/>
        </w:rPr>
      </w:pPr>
      <w:r w:rsidRPr="00315335">
        <w:rPr>
          <w:rFonts w:ascii="Arial" w:hAnsi="Arial" w:cs="Arial"/>
          <w:sz w:val="24"/>
          <w:szCs w:val="24"/>
          <w:lang w:val="it-IT"/>
        </w:rPr>
        <w:t>terenuri aflate permanent sub ape ;</w:t>
      </w:r>
    </w:p>
    <w:p w:rsidR="00F70541" w:rsidRPr="00315335" w:rsidRDefault="00F70541" w:rsidP="00E14739">
      <w:pPr>
        <w:numPr>
          <w:ilvl w:val="0"/>
          <w:numId w:val="24"/>
        </w:numPr>
        <w:spacing w:after="0" w:line="240" w:lineRule="auto"/>
        <w:jc w:val="both"/>
        <w:rPr>
          <w:rFonts w:ascii="Arial" w:hAnsi="Arial" w:cs="Arial"/>
          <w:sz w:val="24"/>
          <w:szCs w:val="24"/>
          <w:lang w:val="it-IT"/>
        </w:rPr>
      </w:pPr>
      <w:r w:rsidRPr="00315335">
        <w:rPr>
          <w:rFonts w:ascii="Arial" w:hAnsi="Arial" w:cs="Arial"/>
          <w:sz w:val="24"/>
          <w:szCs w:val="24"/>
          <w:lang w:val="it-IT"/>
        </w:rPr>
        <w:t>terenuri din intravilan, aferente localităţilor urbane şi rurale pe care sunt amplasate construcţiile, alte amenajări ale localităţilor, inclusiv terenurile agricole şi forestiere ;</w:t>
      </w:r>
    </w:p>
    <w:p w:rsidR="00F70541" w:rsidRPr="00315335" w:rsidRDefault="00F70541" w:rsidP="00E14739">
      <w:pPr>
        <w:numPr>
          <w:ilvl w:val="0"/>
          <w:numId w:val="24"/>
        </w:numPr>
        <w:spacing w:after="0" w:line="240" w:lineRule="auto"/>
        <w:jc w:val="both"/>
        <w:rPr>
          <w:rFonts w:ascii="Arial" w:hAnsi="Arial" w:cs="Arial"/>
          <w:sz w:val="24"/>
          <w:szCs w:val="24"/>
          <w:lang w:val="it-IT"/>
        </w:rPr>
      </w:pPr>
      <w:r w:rsidRPr="00315335">
        <w:rPr>
          <w:rFonts w:ascii="Arial" w:hAnsi="Arial" w:cs="Arial"/>
          <w:sz w:val="24"/>
          <w:szCs w:val="24"/>
          <w:lang w:val="it-IT"/>
        </w:rPr>
        <w:t>terenuri cu destinaţii speciale cum sunt cele folosite cele pentru transporturile rutiere, feroviare, navale şi aeriene, plajele, rezervaţiile, monumentele naturii, ansamblurile şi siturile arheologice şi istorice etc.</w:t>
      </w:r>
    </w:p>
    <w:p w:rsidR="00F70541" w:rsidRPr="00315335" w:rsidRDefault="00F70541" w:rsidP="00F70541">
      <w:pPr>
        <w:tabs>
          <w:tab w:val="left" w:pos="2160"/>
          <w:tab w:val="left" w:leader="dot" w:pos="8640"/>
        </w:tabs>
        <w:spacing w:after="0" w:line="240" w:lineRule="auto"/>
        <w:ind w:right="-38" w:firstLine="720"/>
        <w:jc w:val="both"/>
        <w:rPr>
          <w:rFonts w:ascii="Arial" w:hAnsi="Arial" w:cs="Arial"/>
          <w:sz w:val="24"/>
          <w:szCs w:val="24"/>
        </w:rPr>
      </w:pPr>
      <w:r w:rsidRPr="00315335">
        <w:rPr>
          <w:rFonts w:ascii="Arial" w:hAnsi="Arial" w:cs="Arial"/>
          <w:sz w:val="24"/>
          <w:szCs w:val="24"/>
        </w:rPr>
        <w:t>În categoria terenurilor cu destinaţie agricolă intră :</w:t>
      </w:r>
    </w:p>
    <w:p w:rsidR="00F70541" w:rsidRPr="00315335" w:rsidRDefault="00F70541" w:rsidP="00E14739">
      <w:pPr>
        <w:numPr>
          <w:ilvl w:val="0"/>
          <w:numId w:val="24"/>
        </w:numPr>
        <w:spacing w:after="0" w:line="240" w:lineRule="auto"/>
        <w:jc w:val="both"/>
        <w:rPr>
          <w:rFonts w:ascii="Arial" w:hAnsi="Arial" w:cs="Arial"/>
          <w:sz w:val="24"/>
          <w:szCs w:val="24"/>
        </w:rPr>
      </w:pPr>
      <w:r w:rsidRPr="00315335">
        <w:rPr>
          <w:rFonts w:ascii="Arial" w:hAnsi="Arial" w:cs="Arial"/>
          <w:sz w:val="24"/>
          <w:szCs w:val="24"/>
        </w:rPr>
        <w:t>terenurile agricole productive – terenurile arabile, viile livezile, pepinierele viticole, pomicole,  păşunile, fâneţele, serele, solariile, răsadniţele etc.</w:t>
      </w:r>
    </w:p>
    <w:p w:rsidR="00F70541" w:rsidRPr="00315335" w:rsidRDefault="00F70541" w:rsidP="00E14739">
      <w:pPr>
        <w:numPr>
          <w:ilvl w:val="0"/>
          <w:numId w:val="24"/>
        </w:numPr>
        <w:spacing w:after="0" w:line="240" w:lineRule="auto"/>
        <w:jc w:val="both"/>
        <w:rPr>
          <w:rFonts w:ascii="Arial" w:hAnsi="Arial" w:cs="Arial"/>
          <w:sz w:val="24"/>
          <w:szCs w:val="24"/>
        </w:rPr>
      </w:pPr>
      <w:r w:rsidRPr="00315335">
        <w:rPr>
          <w:rFonts w:ascii="Arial" w:hAnsi="Arial" w:cs="Arial"/>
          <w:sz w:val="24"/>
          <w:szCs w:val="24"/>
        </w:rPr>
        <w:t>terenurile cu vegetaţie forestieră dacă nu fac parte din amenajamentele silvice, păşunile împădurite;</w:t>
      </w:r>
    </w:p>
    <w:p w:rsidR="00F70541" w:rsidRPr="00315335" w:rsidRDefault="00F70541" w:rsidP="00E14739">
      <w:pPr>
        <w:numPr>
          <w:ilvl w:val="0"/>
          <w:numId w:val="24"/>
        </w:numPr>
        <w:spacing w:after="0" w:line="240" w:lineRule="auto"/>
        <w:jc w:val="both"/>
        <w:rPr>
          <w:rFonts w:ascii="Arial" w:hAnsi="Arial" w:cs="Arial"/>
          <w:sz w:val="24"/>
          <w:szCs w:val="24"/>
        </w:rPr>
      </w:pPr>
      <w:r w:rsidRPr="00315335">
        <w:rPr>
          <w:rFonts w:ascii="Arial" w:hAnsi="Arial" w:cs="Arial"/>
          <w:sz w:val="24"/>
          <w:szCs w:val="24"/>
        </w:rPr>
        <w:t>terenurile ocupate cu construcţii şi instalaţii agrozootehnice, amenajări piscicole şi de îmbunătăţiri funciare, drumuri tehnologice etc.</w:t>
      </w:r>
    </w:p>
    <w:p w:rsidR="00F70541" w:rsidRPr="00315335" w:rsidRDefault="00F70541" w:rsidP="00E14739">
      <w:pPr>
        <w:numPr>
          <w:ilvl w:val="0"/>
          <w:numId w:val="24"/>
        </w:numPr>
        <w:spacing w:after="0" w:line="240" w:lineRule="auto"/>
        <w:jc w:val="both"/>
        <w:rPr>
          <w:rFonts w:ascii="Arial" w:hAnsi="Arial" w:cs="Arial"/>
          <w:sz w:val="24"/>
          <w:szCs w:val="24"/>
        </w:rPr>
      </w:pPr>
      <w:r w:rsidRPr="00315335">
        <w:rPr>
          <w:rFonts w:ascii="Arial" w:hAnsi="Arial" w:cs="Arial"/>
          <w:sz w:val="24"/>
          <w:szCs w:val="24"/>
        </w:rPr>
        <w:t>terenuri neproductive care pot fi amenajate şi folosite pentru producţia agricolă.</w:t>
      </w:r>
    </w:p>
    <w:p w:rsidR="00F70541" w:rsidRPr="00315335" w:rsidRDefault="00F70541" w:rsidP="00F70541">
      <w:pPr>
        <w:pStyle w:val="Titlu1"/>
        <w:spacing w:before="0" w:after="0"/>
        <w:jc w:val="both"/>
        <w:rPr>
          <w:b w:val="0"/>
          <w:sz w:val="24"/>
          <w:szCs w:val="24"/>
        </w:rPr>
      </w:pPr>
    </w:p>
    <w:p w:rsidR="008A262E" w:rsidRDefault="00F70541" w:rsidP="00F70541">
      <w:pPr>
        <w:pStyle w:val="Titlu1"/>
        <w:spacing w:before="0" w:after="0"/>
        <w:jc w:val="both"/>
        <w:rPr>
          <w:b w:val="0"/>
          <w:sz w:val="24"/>
          <w:szCs w:val="24"/>
          <w:lang w:val="ro-RO"/>
        </w:rPr>
      </w:pPr>
      <w:r w:rsidRPr="00315335">
        <w:rPr>
          <w:b w:val="0"/>
          <w:sz w:val="24"/>
          <w:szCs w:val="24"/>
        </w:rPr>
        <w:t>Tabelul IV.1.1-1</w:t>
      </w:r>
      <w:r w:rsidRPr="00315335">
        <w:rPr>
          <w:b w:val="0"/>
          <w:sz w:val="24"/>
          <w:szCs w:val="24"/>
          <w:lang w:val="ro-RO"/>
        </w:rPr>
        <w:t xml:space="preserve">Structura fondului funciar din judeţul Brăila </w:t>
      </w:r>
    </w:p>
    <w:p w:rsidR="008A262E" w:rsidRDefault="00F70541" w:rsidP="00F70541">
      <w:pPr>
        <w:pStyle w:val="Titlu1"/>
        <w:spacing w:before="0" w:after="0"/>
        <w:jc w:val="both"/>
        <w:rPr>
          <w:b w:val="0"/>
          <w:sz w:val="24"/>
          <w:szCs w:val="24"/>
          <w:lang w:val="ro-RO"/>
        </w:rPr>
      </w:pPr>
      <w:r w:rsidRPr="00315335">
        <w:rPr>
          <w:b w:val="0"/>
          <w:sz w:val="24"/>
          <w:szCs w:val="24"/>
          <w:lang w:val="ro-RO"/>
        </w:rPr>
        <w:t xml:space="preserve">(date furnizate de Direcţia pentru Agricultură Judeţeană Brăila pentru anul 2015; </w:t>
      </w:r>
    </w:p>
    <w:p w:rsidR="00F70541" w:rsidRDefault="00F70541" w:rsidP="00F70541">
      <w:pPr>
        <w:pStyle w:val="Titlu1"/>
        <w:spacing w:before="0" w:after="0"/>
        <w:jc w:val="both"/>
        <w:rPr>
          <w:b w:val="0"/>
          <w:sz w:val="24"/>
          <w:szCs w:val="24"/>
          <w:lang w:val="ro-RO"/>
        </w:rPr>
      </w:pPr>
      <w:r w:rsidRPr="00315335">
        <w:rPr>
          <w:b w:val="0"/>
          <w:sz w:val="24"/>
          <w:szCs w:val="24"/>
          <w:lang w:val="ro-RO"/>
        </w:rPr>
        <w:t>DAJB nu a</w:t>
      </w:r>
      <w:r w:rsidR="008A262E">
        <w:rPr>
          <w:b w:val="0"/>
          <w:sz w:val="24"/>
          <w:szCs w:val="24"/>
          <w:lang w:val="ro-RO"/>
        </w:rPr>
        <w:t xml:space="preserve"> </w:t>
      </w:r>
      <w:r w:rsidRPr="00315335">
        <w:rPr>
          <w:b w:val="0"/>
          <w:sz w:val="24"/>
          <w:szCs w:val="24"/>
          <w:lang w:val="ro-RO"/>
        </w:rPr>
        <w:t>furnizat date referitoare la terenurile neagricole pentru anul 2016-2018 iar pe site-ul Institutului Național de Statistică se precizează că ”până la finalizarea acțiunii de cadastrare a țării  de către Agenția Națională de Cadastru și Publicitate Imobiliară seriile de date sunt blocate la nivelul anului 2014”):</w:t>
      </w:r>
    </w:p>
    <w:p w:rsidR="008A262E" w:rsidRDefault="008A262E" w:rsidP="008A262E">
      <w:pPr>
        <w:rPr>
          <w:lang w:eastAsia="en-US"/>
        </w:rPr>
      </w:pPr>
    </w:p>
    <w:p w:rsidR="008A262E" w:rsidRPr="008A262E" w:rsidRDefault="008A262E" w:rsidP="008A262E">
      <w:pPr>
        <w:rPr>
          <w:lang w:eastAsia="en-US"/>
        </w:rPr>
      </w:pPr>
    </w:p>
    <w:p w:rsidR="00F70541" w:rsidRPr="00315335" w:rsidRDefault="00F70541" w:rsidP="00F705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1903"/>
        <w:gridCol w:w="1404"/>
      </w:tblGrid>
      <w:tr w:rsidR="00315335" w:rsidRPr="00315335" w:rsidTr="00916B06">
        <w:trPr>
          <w:cantSplit/>
          <w:jc w:val="center"/>
        </w:trPr>
        <w:tc>
          <w:tcPr>
            <w:tcW w:w="359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lastRenderedPageBreak/>
              <w:t>Tipuri de folosinţă</w:t>
            </w:r>
          </w:p>
        </w:tc>
        <w:tc>
          <w:tcPr>
            <w:tcW w:w="330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Suprafaţa</w:t>
            </w:r>
          </w:p>
        </w:tc>
      </w:tr>
      <w:tr w:rsidR="00315335" w:rsidRPr="00315335" w:rsidTr="00916B0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1903"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ha</w:t>
            </w:r>
          </w:p>
        </w:tc>
        <w:tc>
          <w:tcPr>
            <w:tcW w:w="1404" w:type="dxa"/>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w:t>
            </w:r>
          </w:p>
        </w:tc>
      </w:tr>
      <w:tr w:rsidR="00315335" w:rsidRPr="00315335" w:rsidTr="00916B06">
        <w:trPr>
          <w:trHeight w:val="709"/>
          <w:jc w:val="center"/>
        </w:trPr>
        <w:tc>
          <w:tcPr>
            <w:tcW w:w="3599" w:type="dxa"/>
            <w:tcBorders>
              <w:top w:val="single" w:sz="4" w:space="0" w:color="auto"/>
              <w:left w:val="single" w:sz="4" w:space="0" w:color="auto"/>
              <w:bottom w:val="single" w:sz="4" w:space="0" w:color="auto"/>
              <w:right w:val="single" w:sz="4" w:space="0" w:color="auto"/>
            </w:tcBorders>
            <w:shd w:val="clear" w:color="auto" w:fill="FBF3F3"/>
          </w:tcPr>
          <w:p w:rsidR="00F70541" w:rsidRPr="00315335" w:rsidRDefault="00F70541" w:rsidP="00916B06">
            <w:pPr>
              <w:spacing w:after="0" w:line="240" w:lineRule="auto"/>
              <w:rPr>
                <w:rFonts w:ascii="Arial" w:hAnsi="Arial" w:cs="Arial"/>
                <w:sz w:val="24"/>
                <w:szCs w:val="24"/>
              </w:rPr>
            </w:pPr>
            <w:r w:rsidRPr="00315335">
              <w:rPr>
                <w:rFonts w:ascii="Arial" w:hAnsi="Arial" w:cs="Arial"/>
                <w:sz w:val="24"/>
                <w:szCs w:val="24"/>
              </w:rPr>
              <w:t xml:space="preserve">Terenuri agricol, din care: </w:t>
            </w:r>
          </w:p>
          <w:p w:rsidR="00F70541" w:rsidRPr="00315335" w:rsidRDefault="00F70541" w:rsidP="00916B06">
            <w:pPr>
              <w:spacing w:after="0" w:line="240" w:lineRule="auto"/>
              <w:ind w:left="360"/>
              <w:rPr>
                <w:rFonts w:ascii="Arial" w:hAnsi="Arial" w:cs="Arial"/>
                <w:sz w:val="24"/>
                <w:szCs w:val="24"/>
              </w:rPr>
            </w:pPr>
          </w:p>
          <w:p w:rsidR="00F70541" w:rsidRPr="00315335" w:rsidRDefault="00F70541" w:rsidP="00916B06">
            <w:pPr>
              <w:spacing w:after="0" w:line="240" w:lineRule="auto"/>
              <w:ind w:left="360"/>
              <w:rPr>
                <w:rFonts w:ascii="Arial" w:hAnsi="Arial" w:cs="Arial"/>
                <w:i/>
                <w:sz w:val="24"/>
                <w:szCs w:val="24"/>
              </w:rPr>
            </w:pPr>
            <w:r w:rsidRPr="00315335">
              <w:rPr>
                <w:rFonts w:ascii="Arial" w:hAnsi="Arial" w:cs="Arial"/>
                <w:i/>
                <w:sz w:val="24"/>
                <w:szCs w:val="24"/>
              </w:rPr>
              <w:t>Teren</w:t>
            </w:r>
            <w:r w:rsidRPr="00315335">
              <w:rPr>
                <w:rFonts w:ascii="Arial" w:hAnsi="Arial" w:cs="Arial"/>
                <w:sz w:val="24"/>
                <w:szCs w:val="24"/>
              </w:rPr>
              <w:t xml:space="preserve"> a</w:t>
            </w:r>
            <w:r w:rsidRPr="00315335">
              <w:rPr>
                <w:rFonts w:ascii="Arial" w:hAnsi="Arial" w:cs="Arial"/>
                <w:i/>
                <w:sz w:val="24"/>
                <w:szCs w:val="24"/>
              </w:rPr>
              <w:t>rabil</w:t>
            </w:r>
          </w:p>
          <w:p w:rsidR="00F70541" w:rsidRPr="00315335" w:rsidRDefault="00F70541" w:rsidP="00916B06">
            <w:pPr>
              <w:spacing w:after="0" w:line="240" w:lineRule="auto"/>
              <w:rPr>
                <w:rFonts w:ascii="Arial" w:hAnsi="Arial" w:cs="Arial"/>
                <w:sz w:val="24"/>
                <w:szCs w:val="24"/>
              </w:rPr>
            </w:pPr>
          </w:p>
          <w:p w:rsidR="00F70541" w:rsidRPr="00315335" w:rsidRDefault="00F70541" w:rsidP="00916B06">
            <w:pPr>
              <w:spacing w:after="0" w:line="240" w:lineRule="auto"/>
              <w:rPr>
                <w:rFonts w:ascii="Arial" w:hAnsi="Arial" w:cs="Arial"/>
                <w:sz w:val="24"/>
                <w:szCs w:val="24"/>
              </w:rPr>
            </w:pPr>
            <w:r w:rsidRPr="00315335">
              <w:rPr>
                <w:rFonts w:ascii="Arial" w:hAnsi="Arial" w:cs="Arial"/>
                <w:sz w:val="24"/>
                <w:szCs w:val="24"/>
              </w:rPr>
              <w:t>Terenuri neagricol, din care:</w:t>
            </w:r>
          </w:p>
          <w:p w:rsidR="00F70541" w:rsidRPr="00315335" w:rsidRDefault="00F70541" w:rsidP="00916B06">
            <w:pPr>
              <w:tabs>
                <w:tab w:val="num" w:pos="1092"/>
              </w:tabs>
              <w:spacing w:after="0" w:line="240" w:lineRule="auto"/>
              <w:ind w:left="360"/>
              <w:rPr>
                <w:rFonts w:ascii="Arial" w:hAnsi="Arial" w:cs="Arial"/>
                <w:sz w:val="24"/>
                <w:szCs w:val="24"/>
              </w:rPr>
            </w:pPr>
          </w:p>
          <w:p w:rsidR="00F70541" w:rsidRPr="00315335" w:rsidRDefault="00F70541" w:rsidP="00916B06">
            <w:pPr>
              <w:tabs>
                <w:tab w:val="num" w:pos="1092"/>
              </w:tabs>
              <w:spacing w:after="0" w:line="240" w:lineRule="auto"/>
              <w:ind w:left="360"/>
              <w:rPr>
                <w:rFonts w:ascii="Arial" w:hAnsi="Arial" w:cs="Arial"/>
                <w:i/>
                <w:sz w:val="24"/>
                <w:szCs w:val="24"/>
              </w:rPr>
            </w:pPr>
            <w:r w:rsidRPr="00315335">
              <w:rPr>
                <w:rFonts w:ascii="Arial" w:hAnsi="Arial" w:cs="Arial"/>
                <w:i/>
                <w:sz w:val="24"/>
                <w:szCs w:val="24"/>
              </w:rPr>
              <w:t>Păduri</w:t>
            </w:r>
          </w:p>
          <w:p w:rsidR="00F70541" w:rsidRPr="00315335" w:rsidRDefault="00F70541" w:rsidP="00916B06">
            <w:pPr>
              <w:tabs>
                <w:tab w:val="num" w:pos="1092"/>
              </w:tabs>
              <w:spacing w:after="0" w:line="240" w:lineRule="auto"/>
              <w:ind w:left="360"/>
              <w:rPr>
                <w:rFonts w:ascii="Arial" w:hAnsi="Arial" w:cs="Arial"/>
                <w:i/>
                <w:sz w:val="24"/>
                <w:szCs w:val="24"/>
              </w:rPr>
            </w:pPr>
            <w:r w:rsidRPr="00315335">
              <w:rPr>
                <w:rFonts w:ascii="Arial" w:hAnsi="Arial" w:cs="Arial"/>
                <w:i/>
                <w:sz w:val="24"/>
                <w:szCs w:val="24"/>
              </w:rPr>
              <w:t>Ape</w:t>
            </w:r>
          </w:p>
          <w:p w:rsidR="00F70541" w:rsidRPr="00315335" w:rsidRDefault="00F70541" w:rsidP="00916B06">
            <w:pPr>
              <w:tabs>
                <w:tab w:val="num" w:pos="1092"/>
              </w:tabs>
              <w:spacing w:after="0" w:line="240" w:lineRule="auto"/>
              <w:ind w:left="360"/>
              <w:rPr>
                <w:rFonts w:ascii="Arial" w:hAnsi="Arial" w:cs="Arial"/>
                <w:i/>
                <w:sz w:val="24"/>
                <w:szCs w:val="24"/>
              </w:rPr>
            </w:pPr>
            <w:r w:rsidRPr="00315335">
              <w:rPr>
                <w:rFonts w:ascii="Arial" w:hAnsi="Arial" w:cs="Arial"/>
                <w:i/>
                <w:sz w:val="24"/>
                <w:szCs w:val="24"/>
              </w:rPr>
              <w:t>Drumuri şi căi ferate</w:t>
            </w:r>
          </w:p>
          <w:p w:rsidR="00F70541" w:rsidRPr="00315335" w:rsidRDefault="00F70541" w:rsidP="00916B06">
            <w:pPr>
              <w:tabs>
                <w:tab w:val="left" w:pos="652"/>
                <w:tab w:val="left" w:pos="1078"/>
              </w:tabs>
              <w:spacing w:after="0" w:line="240" w:lineRule="auto"/>
              <w:ind w:left="360"/>
              <w:rPr>
                <w:rFonts w:ascii="Arial" w:hAnsi="Arial" w:cs="Arial"/>
                <w:i/>
                <w:sz w:val="24"/>
                <w:szCs w:val="24"/>
              </w:rPr>
            </w:pPr>
            <w:r w:rsidRPr="00315335">
              <w:rPr>
                <w:rFonts w:ascii="Arial" w:hAnsi="Arial" w:cs="Arial"/>
                <w:i/>
                <w:sz w:val="24"/>
                <w:szCs w:val="24"/>
              </w:rPr>
              <w:t>Curţi şi construcţii</w:t>
            </w:r>
          </w:p>
          <w:p w:rsidR="00F70541" w:rsidRPr="00315335" w:rsidRDefault="00F70541" w:rsidP="00916B06">
            <w:pPr>
              <w:tabs>
                <w:tab w:val="left" w:pos="652"/>
                <w:tab w:val="left" w:pos="1078"/>
              </w:tabs>
              <w:spacing w:after="0" w:line="240" w:lineRule="auto"/>
              <w:ind w:left="360"/>
              <w:rPr>
                <w:rFonts w:ascii="Arial" w:hAnsi="Arial" w:cs="Arial"/>
                <w:sz w:val="24"/>
                <w:szCs w:val="24"/>
              </w:rPr>
            </w:pPr>
            <w:r w:rsidRPr="00315335">
              <w:rPr>
                <w:rFonts w:ascii="Arial" w:hAnsi="Arial" w:cs="Arial"/>
                <w:i/>
                <w:sz w:val="24"/>
                <w:szCs w:val="24"/>
              </w:rPr>
              <w:t>Neproductive</w:t>
            </w:r>
          </w:p>
          <w:p w:rsidR="00F70541" w:rsidRPr="00315335" w:rsidRDefault="00F70541" w:rsidP="00916B06">
            <w:pPr>
              <w:spacing w:after="0" w:line="240" w:lineRule="auto"/>
              <w:jc w:val="center"/>
              <w:rPr>
                <w:rFonts w:ascii="Arial" w:hAnsi="Arial" w:cs="Arial"/>
                <w:sz w:val="24"/>
                <w:szCs w:val="24"/>
              </w:rPr>
            </w:pPr>
          </w:p>
          <w:p w:rsidR="00F70541" w:rsidRPr="00315335" w:rsidRDefault="00F70541" w:rsidP="00916B06">
            <w:pPr>
              <w:spacing w:after="0" w:line="240" w:lineRule="auto"/>
              <w:rPr>
                <w:rFonts w:ascii="Arial" w:hAnsi="Arial" w:cs="Arial"/>
                <w:sz w:val="24"/>
                <w:szCs w:val="24"/>
              </w:rPr>
            </w:pPr>
            <w:r w:rsidRPr="00315335">
              <w:rPr>
                <w:rFonts w:ascii="Arial" w:hAnsi="Arial" w:cs="Arial"/>
                <w:sz w:val="24"/>
                <w:szCs w:val="24"/>
              </w:rPr>
              <w:t>Total</w:t>
            </w:r>
          </w:p>
        </w:tc>
        <w:tc>
          <w:tcPr>
            <w:tcW w:w="1903" w:type="dxa"/>
            <w:tcBorders>
              <w:top w:val="single" w:sz="4" w:space="0" w:color="auto"/>
              <w:left w:val="single" w:sz="4" w:space="0" w:color="auto"/>
              <w:bottom w:val="single" w:sz="4" w:space="0" w:color="auto"/>
              <w:right w:val="single" w:sz="4" w:space="0" w:color="auto"/>
            </w:tcBorders>
            <w:shd w:val="clear" w:color="auto" w:fill="FBF3F3"/>
            <w:vAlign w:val="center"/>
            <w:hideMark/>
          </w:tcPr>
          <w:p w:rsidR="00F70541" w:rsidRPr="00315335" w:rsidRDefault="00F70541" w:rsidP="00916B06">
            <w:pPr>
              <w:jc w:val="right"/>
              <w:rPr>
                <w:rFonts w:ascii="Arial" w:hAnsi="Arial" w:cs="Arial"/>
                <w:sz w:val="24"/>
                <w:szCs w:val="24"/>
              </w:rPr>
            </w:pPr>
            <w:r w:rsidRPr="00315335">
              <w:rPr>
                <w:rFonts w:ascii="Arial" w:hAnsi="Arial" w:cs="Arial"/>
                <w:sz w:val="24"/>
                <w:szCs w:val="24"/>
              </w:rPr>
              <w:t>387363</w:t>
            </w: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351.166</w:t>
            </w:r>
          </w:p>
          <w:p w:rsidR="00F70541" w:rsidRPr="00315335" w:rsidRDefault="00F70541" w:rsidP="00916B06">
            <w:pPr>
              <w:spacing w:after="0" w:line="240" w:lineRule="auto"/>
              <w:jc w:val="right"/>
              <w:rPr>
                <w:rFonts w:ascii="Arial" w:hAnsi="Arial" w:cs="Arial"/>
                <w:sz w:val="24"/>
                <w:szCs w:val="24"/>
              </w:rPr>
            </w:pP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 xml:space="preserve"> 84.997</w:t>
            </w:r>
          </w:p>
          <w:p w:rsidR="00F70541" w:rsidRPr="00315335" w:rsidRDefault="00F70541" w:rsidP="00916B06">
            <w:pPr>
              <w:spacing w:after="0" w:line="240" w:lineRule="auto"/>
              <w:rPr>
                <w:rFonts w:ascii="Arial" w:hAnsi="Arial" w:cs="Arial"/>
                <w:sz w:val="24"/>
                <w:szCs w:val="24"/>
              </w:rPr>
            </w:pP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30047</w:t>
            </w: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26417</w:t>
            </w: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 xml:space="preserve">  8136</w:t>
            </w: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14094</w:t>
            </w:r>
          </w:p>
          <w:p w:rsidR="00F70541" w:rsidRPr="00315335" w:rsidRDefault="00F70541" w:rsidP="00916B06">
            <w:pPr>
              <w:spacing w:after="0" w:line="240" w:lineRule="auto"/>
              <w:rPr>
                <w:rFonts w:ascii="Arial" w:hAnsi="Arial" w:cs="Arial"/>
                <w:sz w:val="24"/>
                <w:szCs w:val="24"/>
              </w:rPr>
            </w:pPr>
            <w:r w:rsidRPr="00315335">
              <w:rPr>
                <w:rFonts w:ascii="Arial" w:hAnsi="Arial" w:cs="Arial"/>
                <w:i/>
                <w:sz w:val="24"/>
                <w:szCs w:val="24"/>
              </w:rPr>
              <w:t xml:space="preserve">  7971</w:t>
            </w:r>
          </w:p>
          <w:p w:rsidR="00F70541" w:rsidRPr="00315335" w:rsidRDefault="00F70541" w:rsidP="00916B06">
            <w:pPr>
              <w:spacing w:after="0" w:line="240" w:lineRule="auto"/>
              <w:jc w:val="right"/>
              <w:rPr>
                <w:rFonts w:ascii="Arial" w:hAnsi="Arial" w:cs="Arial"/>
                <w:sz w:val="24"/>
                <w:szCs w:val="24"/>
              </w:rPr>
            </w:pP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476576</w:t>
            </w:r>
          </w:p>
        </w:tc>
        <w:tc>
          <w:tcPr>
            <w:tcW w:w="1404" w:type="dxa"/>
            <w:tcBorders>
              <w:top w:val="single" w:sz="4" w:space="0" w:color="auto"/>
              <w:left w:val="single" w:sz="4" w:space="0" w:color="auto"/>
              <w:bottom w:val="single" w:sz="4" w:space="0" w:color="auto"/>
              <w:right w:val="single" w:sz="4" w:space="0" w:color="auto"/>
            </w:tcBorders>
            <w:shd w:val="clear" w:color="auto" w:fill="FBF3F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82,16</w:t>
            </w:r>
          </w:p>
          <w:p w:rsidR="00F70541" w:rsidRPr="00315335" w:rsidRDefault="00F70541" w:rsidP="00916B06">
            <w:pPr>
              <w:spacing w:after="0" w:line="240" w:lineRule="auto"/>
              <w:jc w:val="right"/>
              <w:rPr>
                <w:rFonts w:ascii="Arial" w:hAnsi="Arial" w:cs="Arial"/>
                <w:sz w:val="24"/>
                <w:szCs w:val="24"/>
              </w:rPr>
            </w:pP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73,80</w:t>
            </w:r>
          </w:p>
          <w:p w:rsidR="00F70541" w:rsidRPr="00315335" w:rsidRDefault="00F70541" w:rsidP="00916B06">
            <w:pPr>
              <w:spacing w:after="0" w:line="240" w:lineRule="auto"/>
              <w:jc w:val="right"/>
              <w:rPr>
                <w:rFonts w:ascii="Arial" w:hAnsi="Arial" w:cs="Arial"/>
                <w:sz w:val="24"/>
                <w:szCs w:val="24"/>
              </w:rPr>
            </w:pP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17,83</w:t>
            </w:r>
          </w:p>
          <w:p w:rsidR="00F70541" w:rsidRPr="00315335" w:rsidRDefault="00F70541" w:rsidP="00916B06">
            <w:pPr>
              <w:spacing w:after="0" w:line="240" w:lineRule="auto"/>
              <w:rPr>
                <w:rFonts w:ascii="Arial" w:hAnsi="Arial" w:cs="Arial"/>
                <w:sz w:val="24"/>
                <w:szCs w:val="24"/>
              </w:rPr>
            </w:pP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6,30</w:t>
            </w: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5,14</w:t>
            </w: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1,72</w:t>
            </w: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2,96</w:t>
            </w:r>
          </w:p>
          <w:p w:rsidR="00F70541" w:rsidRPr="00315335" w:rsidRDefault="00F70541" w:rsidP="00916B06">
            <w:pPr>
              <w:spacing w:after="0" w:line="240" w:lineRule="auto"/>
              <w:rPr>
                <w:rFonts w:ascii="Arial" w:hAnsi="Arial" w:cs="Arial"/>
                <w:i/>
                <w:sz w:val="24"/>
                <w:szCs w:val="24"/>
              </w:rPr>
            </w:pPr>
            <w:r w:rsidRPr="00315335">
              <w:rPr>
                <w:rFonts w:ascii="Arial" w:hAnsi="Arial" w:cs="Arial"/>
                <w:i/>
                <w:sz w:val="24"/>
                <w:szCs w:val="24"/>
              </w:rPr>
              <w:t>1,67</w:t>
            </w:r>
          </w:p>
          <w:p w:rsidR="00F70541" w:rsidRPr="00315335" w:rsidRDefault="00F70541" w:rsidP="00916B06">
            <w:pPr>
              <w:spacing w:after="0" w:line="240" w:lineRule="auto"/>
              <w:jc w:val="right"/>
              <w:rPr>
                <w:rFonts w:ascii="Arial" w:hAnsi="Arial" w:cs="Arial"/>
                <w:sz w:val="24"/>
                <w:szCs w:val="24"/>
              </w:rPr>
            </w:pP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100,00</w:t>
            </w:r>
          </w:p>
        </w:tc>
      </w:tr>
    </w:tbl>
    <w:p w:rsidR="00F70541" w:rsidRPr="00315335" w:rsidRDefault="00F70541" w:rsidP="00F70541">
      <w:pPr>
        <w:tabs>
          <w:tab w:val="left" w:pos="2160"/>
          <w:tab w:val="left" w:leader="dot" w:pos="8640"/>
        </w:tabs>
        <w:spacing w:after="0" w:line="240" w:lineRule="auto"/>
        <w:ind w:right="-38" w:firstLine="720"/>
        <w:jc w:val="both"/>
        <w:rPr>
          <w:rFonts w:ascii="Arial" w:hAnsi="Arial" w:cs="Arial"/>
          <w:sz w:val="24"/>
          <w:szCs w:val="24"/>
        </w:rPr>
      </w:pPr>
    </w:p>
    <w:p w:rsidR="00F70541" w:rsidRPr="00315335" w:rsidRDefault="00F70541" w:rsidP="00F70541">
      <w:pPr>
        <w:tabs>
          <w:tab w:val="left" w:pos="2160"/>
          <w:tab w:val="left" w:leader="dot" w:pos="8640"/>
        </w:tabs>
        <w:spacing w:after="0" w:line="240" w:lineRule="auto"/>
        <w:ind w:right="-38" w:firstLine="720"/>
        <w:jc w:val="both"/>
        <w:rPr>
          <w:rFonts w:ascii="Arial" w:hAnsi="Arial" w:cs="Arial"/>
          <w:sz w:val="24"/>
          <w:szCs w:val="24"/>
        </w:rPr>
      </w:pPr>
      <w:r w:rsidRPr="00315335">
        <w:rPr>
          <w:rFonts w:ascii="Arial" w:hAnsi="Arial" w:cs="Arial"/>
          <w:sz w:val="24"/>
          <w:szCs w:val="24"/>
        </w:rPr>
        <w:t>Ponderea principală a terenurilor din judeţul Brăila o deţin terenurile agricole (82,16%), urmate de păduri şi alte terenuri cu vegetaţie forestieră (6,3%) și ape (5,14%). Alte categorii de terenuri ocupă 11,89 % (ape, drumuri şi căi ferate, curţi şi construcţii etc.)</w:t>
      </w:r>
    </w:p>
    <w:p w:rsidR="00F70541" w:rsidRPr="00315335" w:rsidRDefault="00F70541" w:rsidP="00F70541">
      <w:pPr>
        <w:tabs>
          <w:tab w:val="left" w:pos="2160"/>
          <w:tab w:val="left" w:leader="dot" w:pos="8640"/>
        </w:tabs>
        <w:spacing w:after="0" w:line="240" w:lineRule="auto"/>
        <w:ind w:right="-38" w:firstLine="720"/>
        <w:jc w:val="both"/>
        <w:rPr>
          <w:rFonts w:ascii="Arial" w:hAnsi="Arial" w:cs="Arial"/>
          <w:sz w:val="24"/>
          <w:szCs w:val="24"/>
        </w:rPr>
      </w:pPr>
    </w:p>
    <w:p w:rsidR="00F70541" w:rsidRPr="00315335" w:rsidRDefault="00F70541" w:rsidP="00F70541">
      <w:pPr>
        <w:tabs>
          <w:tab w:val="left" w:pos="2160"/>
          <w:tab w:val="left" w:leader="dot" w:pos="8640"/>
        </w:tabs>
        <w:spacing w:after="0" w:line="240" w:lineRule="auto"/>
        <w:ind w:right="-38" w:firstLine="720"/>
        <w:jc w:val="both"/>
        <w:rPr>
          <w:rFonts w:ascii="Arial" w:hAnsi="Arial" w:cs="Arial"/>
          <w:sz w:val="24"/>
          <w:szCs w:val="24"/>
        </w:rPr>
      </w:pPr>
    </w:p>
    <w:p w:rsidR="00F70541" w:rsidRPr="00315335" w:rsidRDefault="00F70541" w:rsidP="00F70541">
      <w:pPr>
        <w:tabs>
          <w:tab w:val="left" w:pos="2160"/>
          <w:tab w:val="left" w:leader="dot" w:pos="8640"/>
        </w:tabs>
        <w:spacing w:after="0" w:line="240" w:lineRule="auto"/>
        <w:ind w:right="-38"/>
        <w:jc w:val="center"/>
        <w:rPr>
          <w:rFonts w:ascii="Arial" w:hAnsi="Arial" w:cs="Arial"/>
          <w:sz w:val="24"/>
          <w:szCs w:val="24"/>
        </w:rPr>
      </w:pPr>
      <w:r w:rsidRPr="00315335">
        <w:rPr>
          <w:rFonts w:ascii="Arial" w:hAnsi="Arial" w:cs="Arial"/>
          <w:noProof/>
          <w:sz w:val="24"/>
          <w:szCs w:val="24"/>
        </w:rPr>
        <w:drawing>
          <wp:inline distT="0" distB="0" distL="0" distR="0" wp14:anchorId="4CA7D7E2" wp14:editId="5E11EA04">
            <wp:extent cx="5017135" cy="2352675"/>
            <wp:effectExtent l="19050" t="0" r="12065" b="0"/>
            <wp:docPr id="24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70541" w:rsidRPr="00315335" w:rsidRDefault="00F70541" w:rsidP="00F70541">
      <w:pPr>
        <w:tabs>
          <w:tab w:val="left" w:pos="2160"/>
          <w:tab w:val="left" w:leader="dot" w:pos="8640"/>
        </w:tabs>
        <w:spacing w:after="0" w:line="240" w:lineRule="auto"/>
        <w:ind w:right="-38"/>
        <w:jc w:val="both"/>
        <w:rPr>
          <w:rFonts w:ascii="Arial" w:hAnsi="Arial" w:cs="Arial"/>
          <w:sz w:val="24"/>
          <w:szCs w:val="24"/>
        </w:rPr>
      </w:pPr>
    </w:p>
    <w:p w:rsidR="00F70541" w:rsidRPr="00315335" w:rsidRDefault="00F70541" w:rsidP="00F70541">
      <w:pPr>
        <w:tabs>
          <w:tab w:val="left" w:pos="2160"/>
          <w:tab w:val="left" w:leader="dot" w:pos="8640"/>
        </w:tabs>
        <w:spacing w:after="0" w:line="240" w:lineRule="auto"/>
        <w:ind w:right="-38"/>
        <w:jc w:val="center"/>
        <w:rPr>
          <w:rFonts w:ascii="Arial" w:hAnsi="Arial" w:cs="Arial"/>
          <w:kern w:val="32"/>
          <w:sz w:val="24"/>
          <w:szCs w:val="24"/>
        </w:rPr>
      </w:pPr>
      <w:r w:rsidRPr="00315335">
        <w:rPr>
          <w:rFonts w:ascii="Arial" w:hAnsi="Arial" w:cs="Arial"/>
          <w:kern w:val="32"/>
          <w:sz w:val="24"/>
          <w:szCs w:val="24"/>
        </w:rPr>
        <w:t xml:space="preserve">Fig.IV.1.1-1 </w:t>
      </w:r>
    </w:p>
    <w:p w:rsidR="00F70541" w:rsidRDefault="00F70541" w:rsidP="00F70541">
      <w:pPr>
        <w:tabs>
          <w:tab w:val="left" w:pos="2160"/>
          <w:tab w:val="left" w:leader="dot" w:pos="8640"/>
        </w:tabs>
        <w:spacing w:after="0" w:line="240" w:lineRule="auto"/>
        <w:ind w:right="-38"/>
        <w:jc w:val="center"/>
        <w:rPr>
          <w:rFonts w:ascii="Arial" w:hAnsi="Arial" w:cs="Arial"/>
          <w:b/>
          <w:kern w:val="32"/>
          <w:sz w:val="24"/>
          <w:szCs w:val="24"/>
        </w:rPr>
      </w:pPr>
    </w:p>
    <w:p w:rsidR="008A262E" w:rsidRPr="00315335" w:rsidRDefault="008A262E" w:rsidP="00F70541">
      <w:pPr>
        <w:tabs>
          <w:tab w:val="left" w:pos="2160"/>
          <w:tab w:val="left" w:leader="dot" w:pos="8640"/>
        </w:tabs>
        <w:spacing w:after="0" w:line="240" w:lineRule="auto"/>
        <w:ind w:right="-38"/>
        <w:jc w:val="center"/>
        <w:rPr>
          <w:rFonts w:ascii="Arial" w:hAnsi="Arial" w:cs="Arial"/>
          <w:b/>
          <w:kern w:val="32"/>
          <w:sz w:val="24"/>
          <w:szCs w:val="24"/>
        </w:rPr>
      </w:pPr>
    </w:p>
    <w:p w:rsidR="00F70541" w:rsidRPr="00315335" w:rsidRDefault="00F70541" w:rsidP="00F70541">
      <w:pPr>
        <w:pStyle w:val="Titlu1"/>
        <w:spacing w:before="0" w:after="0"/>
        <w:jc w:val="center"/>
        <w:rPr>
          <w:b w:val="0"/>
          <w:bCs w:val="0"/>
          <w:sz w:val="24"/>
          <w:szCs w:val="24"/>
        </w:rPr>
      </w:pPr>
      <w:r w:rsidRPr="00315335">
        <w:rPr>
          <w:noProof/>
          <w:sz w:val="24"/>
          <w:szCs w:val="24"/>
          <w:lang w:val="ro-RO" w:eastAsia="ro-RO"/>
        </w:rPr>
        <w:drawing>
          <wp:inline distT="0" distB="0" distL="0" distR="0" wp14:anchorId="704B9163" wp14:editId="1E157F6C">
            <wp:extent cx="5312074" cy="1846053"/>
            <wp:effectExtent l="0" t="0" r="22225" b="20955"/>
            <wp:docPr id="6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70541" w:rsidRPr="00315335" w:rsidRDefault="00F70541" w:rsidP="00F70541">
      <w:pPr>
        <w:pStyle w:val="Titlu1"/>
        <w:spacing w:before="0" w:after="0"/>
        <w:ind w:left="2211" w:firstLine="737"/>
        <w:jc w:val="both"/>
        <w:rPr>
          <w:b w:val="0"/>
          <w:bCs w:val="0"/>
          <w:sz w:val="24"/>
          <w:szCs w:val="24"/>
        </w:rPr>
      </w:pPr>
      <w:r w:rsidRPr="00315335">
        <w:rPr>
          <w:b w:val="0"/>
          <w:bCs w:val="0"/>
          <w:sz w:val="24"/>
          <w:szCs w:val="24"/>
        </w:rPr>
        <w:t xml:space="preserve">Fig. nr. IV.1.1- 2 </w:t>
      </w:r>
    </w:p>
    <w:p w:rsidR="00F70541" w:rsidRPr="00315335" w:rsidRDefault="00F70541" w:rsidP="00F70541">
      <w:pPr>
        <w:pStyle w:val="Titlu1"/>
        <w:spacing w:before="0" w:after="0"/>
        <w:jc w:val="both"/>
        <w:rPr>
          <w:b w:val="0"/>
          <w:bCs w:val="0"/>
          <w:sz w:val="24"/>
          <w:szCs w:val="24"/>
        </w:rPr>
      </w:pPr>
    </w:p>
    <w:p w:rsidR="00F70541" w:rsidRPr="00315335" w:rsidRDefault="00F70541" w:rsidP="00F70541">
      <w:pPr>
        <w:spacing w:after="0" w:line="240" w:lineRule="auto"/>
        <w:jc w:val="both"/>
        <w:rPr>
          <w:rFonts w:ascii="Arial" w:hAnsi="Arial" w:cs="Arial"/>
          <w:b/>
          <w:sz w:val="24"/>
          <w:szCs w:val="24"/>
        </w:rPr>
      </w:pPr>
    </w:p>
    <w:p w:rsidR="00F70541" w:rsidRPr="00315335" w:rsidRDefault="00F70541" w:rsidP="00F70541">
      <w:pPr>
        <w:spacing w:after="0" w:line="240" w:lineRule="auto"/>
        <w:jc w:val="both"/>
        <w:rPr>
          <w:rFonts w:ascii="Arial" w:hAnsi="Arial" w:cs="Arial"/>
          <w:b/>
          <w:sz w:val="24"/>
          <w:szCs w:val="24"/>
        </w:rPr>
      </w:pPr>
    </w:p>
    <w:p w:rsidR="008A262E" w:rsidRDefault="008A262E" w:rsidP="00F70541">
      <w:pPr>
        <w:spacing w:after="0" w:line="240" w:lineRule="auto"/>
        <w:jc w:val="both"/>
        <w:rPr>
          <w:rFonts w:ascii="Arial" w:hAnsi="Arial" w:cs="Arial"/>
          <w:sz w:val="24"/>
          <w:szCs w:val="24"/>
        </w:rPr>
      </w:pPr>
    </w:p>
    <w:p w:rsidR="008A262E" w:rsidRDefault="008A262E" w:rsidP="00F70541">
      <w:pPr>
        <w:spacing w:after="0" w:line="240" w:lineRule="auto"/>
        <w:jc w:val="both"/>
        <w:rPr>
          <w:rFonts w:ascii="Arial" w:hAnsi="Arial" w:cs="Arial"/>
          <w:sz w:val="24"/>
          <w:szCs w:val="24"/>
        </w:rPr>
      </w:pPr>
    </w:p>
    <w:p w:rsidR="00F70541" w:rsidRPr="00315335" w:rsidRDefault="00F70541" w:rsidP="00F70541">
      <w:pPr>
        <w:spacing w:after="0" w:line="240" w:lineRule="auto"/>
        <w:jc w:val="both"/>
        <w:rPr>
          <w:rFonts w:ascii="Arial" w:hAnsi="Arial" w:cs="Arial"/>
          <w:sz w:val="24"/>
          <w:szCs w:val="24"/>
        </w:rPr>
      </w:pPr>
      <w:r w:rsidRPr="00315335">
        <w:rPr>
          <w:rFonts w:ascii="Arial" w:hAnsi="Arial" w:cs="Arial"/>
          <w:sz w:val="24"/>
          <w:szCs w:val="24"/>
        </w:rPr>
        <w:t>Tabelul IV.1.1. - 2 Utilizarea terenurilor agricole la nivelul anului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1582"/>
        <w:gridCol w:w="1566"/>
      </w:tblGrid>
      <w:tr w:rsidR="00315335" w:rsidRPr="00315335" w:rsidTr="00916B06">
        <w:trPr>
          <w:cantSplit/>
          <w:trHeight w:val="333"/>
          <w:jc w:val="center"/>
        </w:trPr>
        <w:tc>
          <w:tcPr>
            <w:tcW w:w="25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both"/>
              <w:rPr>
                <w:rFonts w:ascii="Arial" w:hAnsi="Arial" w:cs="Arial"/>
                <w:b/>
                <w:sz w:val="24"/>
                <w:szCs w:val="24"/>
              </w:rPr>
            </w:pPr>
            <w:r w:rsidRPr="00315335">
              <w:rPr>
                <w:rFonts w:ascii="Arial" w:hAnsi="Arial" w:cs="Arial"/>
                <w:b/>
                <w:sz w:val="24"/>
                <w:szCs w:val="24"/>
              </w:rPr>
              <w:lastRenderedPageBreak/>
              <w:t>Tipuri de folosinţă</w:t>
            </w:r>
          </w:p>
        </w:tc>
        <w:tc>
          <w:tcPr>
            <w:tcW w:w="314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Suprafaţa</w:t>
            </w:r>
          </w:p>
        </w:tc>
      </w:tr>
      <w:tr w:rsidR="00315335" w:rsidRPr="00315335" w:rsidTr="00916B06">
        <w:trPr>
          <w:cantSplit/>
          <w:trHeight w:val="4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541" w:rsidRPr="00315335" w:rsidRDefault="00F70541" w:rsidP="00916B06">
            <w:pPr>
              <w:spacing w:after="0" w:line="240" w:lineRule="auto"/>
              <w:rPr>
                <w:rFonts w:ascii="Arial" w:hAnsi="Arial" w:cs="Arial"/>
                <w:b/>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ha</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w:t>
            </w:r>
          </w:p>
        </w:tc>
      </w:tr>
      <w:tr w:rsidR="00315335" w:rsidRPr="00315335" w:rsidTr="00916B06">
        <w:trPr>
          <w:trHeight w:val="1433"/>
          <w:jc w:val="center"/>
        </w:trPr>
        <w:tc>
          <w:tcPr>
            <w:tcW w:w="2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both"/>
              <w:rPr>
                <w:rFonts w:ascii="Arial" w:hAnsi="Arial" w:cs="Arial"/>
                <w:sz w:val="24"/>
                <w:szCs w:val="24"/>
              </w:rPr>
            </w:pPr>
            <w:r w:rsidRPr="00315335">
              <w:rPr>
                <w:rFonts w:ascii="Arial" w:hAnsi="Arial" w:cs="Arial"/>
                <w:sz w:val="24"/>
                <w:szCs w:val="24"/>
              </w:rPr>
              <w:t>Agricol</w:t>
            </w:r>
          </w:p>
          <w:p w:rsidR="00F70541" w:rsidRPr="00315335" w:rsidRDefault="00F70541" w:rsidP="00E14739">
            <w:pPr>
              <w:numPr>
                <w:ilvl w:val="0"/>
                <w:numId w:val="25"/>
              </w:numPr>
              <w:spacing w:after="0" w:line="240" w:lineRule="auto"/>
              <w:jc w:val="both"/>
              <w:rPr>
                <w:rFonts w:ascii="Arial" w:hAnsi="Arial" w:cs="Arial"/>
                <w:sz w:val="24"/>
                <w:szCs w:val="24"/>
              </w:rPr>
            </w:pPr>
            <w:r w:rsidRPr="00315335">
              <w:rPr>
                <w:rFonts w:ascii="Arial" w:hAnsi="Arial" w:cs="Arial"/>
                <w:sz w:val="24"/>
                <w:szCs w:val="24"/>
              </w:rPr>
              <w:t>arabil</w:t>
            </w:r>
          </w:p>
          <w:p w:rsidR="00F70541" w:rsidRPr="00315335" w:rsidRDefault="00F70541" w:rsidP="00E14739">
            <w:pPr>
              <w:numPr>
                <w:ilvl w:val="0"/>
                <w:numId w:val="26"/>
              </w:numPr>
              <w:spacing w:after="0" w:line="240" w:lineRule="auto"/>
              <w:jc w:val="both"/>
              <w:rPr>
                <w:rFonts w:ascii="Arial" w:hAnsi="Arial" w:cs="Arial"/>
                <w:sz w:val="24"/>
                <w:szCs w:val="24"/>
              </w:rPr>
            </w:pPr>
            <w:r w:rsidRPr="00315335">
              <w:rPr>
                <w:rFonts w:ascii="Arial" w:hAnsi="Arial" w:cs="Arial"/>
                <w:sz w:val="24"/>
                <w:szCs w:val="24"/>
              </w:rPr>
              <w:t>păşuni</w:t>
            </w:r>
          </w:p>
          <w:p w:rsidR="00F70541" w:rsidRPr="00315335" w:rsidRDefault="00F70541" w:rsidP="00E14739">
            <w:pPr>
              <w:numPr>
                <w:ilvl w:val="0"/>
                <w:numId w:val="26"/>
              </w:numPr>
              <w:spacing w:after="0" w:line="240" w:lineRule="auto"/>
              <w:jc w:val="both"/>
              <w:rPr>
                <w:rFonts w:ascii="Arial" w:hAnsi="Arial" w:cs="Arial"/>
                <w:sz w:val="24"/>
                <w:szCs w:val="24"/>
              </w:rPr>
            </w:pPr>
            <w:r w:rsidRPr="00315335">
              <w:rPr>
                <w:rFonts w:ascii="Arial" w:hAnsi="Arial" w:cs="Arial"/>
                <w:sz w:val="24"/>
                <w:szCs w:val="24"/>
              </w:rPr>
              <w:t>vii</w:t>
            </w:r>
          </w:p>
          <w:p w:rsidR="00F70541" w:rsidRPr="00315335" w:rsidRDefault="00F70541" w:rsidP="00E14739">
            <w:pPr>
              <w:numPr>
                <w:ilvl w:val="0"/>
                <w:numId w:val="26"/>
              </w:numPr>
              <w:spacing w:after="0" w:line="240" w:lineRule="auto"/>
              <w:jc w:val="both"/>
              <w:rPr>
                <w:rFonts w:ascii="Arial" w:hAnsi="Arial" w:cs="Arial"/>
                <w:sz w:val="24"/>
                <w:szCs w:val="24"/>
              </w:rPr>
            </w:pPr>
            <w:r w:rsidRPr="00315335">
              <w:rPr>
                <w:rFonts w:ascii="Arial" w:hAnsi="Arial" w:cs="Arial"/>
                <w:sz w:val="24"/>
                <w:szCs w:val="24"/>
              </w:rPr>
              <w:t>livezi</w:t>
            </w:r>
          </w:p>
        </w:tc>
        <w:tc>
          <w:tcPr>
            <w:tcW w:w="1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391.578</w:t>
            </w: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351.166</w:t>
            </w: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32.721</w:t>
            </w: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6.741</w:t>
            </w: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950</w:t>
            </w:r>
          </w:p>
        </w:tc>
        <w:tc>
          <w:tcPr>
            <w:tcW w:w="15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100,00</w:t>
            </w: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89,68</w:t>
            </w: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8,36</w:t>
            </w: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1,72</w:t>
            </w:r>
          </w:p>
          <w:p w:rsidR="00F70541" w:rsidRPr="00315335" w:rsidRDefault="00F70541" w:rsidP="00916B06">
            <w:pPr>
              <w:spacing w:after="0" w:line="240" w:lineRule="auto"/>
              <w:jc w:val="right"/>
              <w:rPr>
                <w:rFonts w:ascii="Arial" w:hAnsi="Arial" w:cs="Arial"/>
                <w:sz w:val="24"/>
                <w:szCs w:val="24"/>
              </w:rPr>
            </w:pPr>
            <w:r w:rsidRPr="00315335">
              <w:rPr>
                <w:rFonts w:ascii="Arial" w:hAnsi="Arial" w:cs="Arial"/>
                <w:sz w:val="24"/>
                <w:szCs w:val="24"/>
              </w:rPr>
              <w:t>0,24</w:t>
            </w:r>
          </w:p>
        </w:tc>
      </w:tr>
    </w:tbl>
    <w:p w:rsidR="00F70541" w:rsidRPr="00315335" w:rsidRDefault="00F70541" w:rsidP="00F70541">
      <w:pPr>
        <w:spacing w:after="0" w:line="240" w:lineRule="auto"/>
        <w:ind w:firstLine="720"/>
        <w:jc w:val="both"/>
        <w:rPr>
          <w:rFonts w:ascii="Arial" w:hAnsi="Arial" w:cs="Arial"/>
          <w:sz w:val="24"/>
          <w:szCs w:val="24"/>
        </w:rPr>
      </w:pPr>
    </w:p>
    <w:p w:rsidR="00F70541" w:rsidRPr="00315335" w:rsidRDefault="00F70541" w:rsidP="00F70541">
      <w:pPr>
        <w:spacing w:after="0" w:line="240" w:lineRule="auto"/>
        <w:ind w:firstLine="720"/>
        <w:jc w:val="both"/>
        <w:rPr>
          <w:rFonts w:ascii="Arial" w:hAnsi="Arial" w:cs="Arial"/>
          <w:sz w:val="24"/>
          <w:szCs w:val="24"/>
          <w:lang w:val="it-IT"/>
        </w:rPr>
      </w:pPr>
      <w:r w:rsidRPr="00315335">
        <w:rPr>
          <w:rFonts w:ascii="Arial" w:hAnsi="Arial" w:cs="Arial"/>
          <w:sz w:val="24"/>
          <w:szCs w:val="24"/>
          <w:lang w:val="it-IT"/>
        </w:rPr>
        <w:t>Ponderea principală a terenurilor agricole din județul Brăila o deţin terenurile agricole arabile (90,63%).</w:t>
      </w:r>
    </w:p>
    <w:p w:rsidR="00F70541" w:rsidRPr="00315335" w:rsidRDefault="00F70541" w:rsidP="00F70541">
      <w:pPr>
        <w:spacing w:after="0" w:line="240" w:lineRule="auto"/>
        <w:jc w:val="center"/>
        <w:rPr>
          <w:rFonts w:ascii="Arial" w:hAnsi="Arial" w:cs="Arial"/>
          <w:sz w:val="24"/>
          <w:szCs w:val="24"/>
        </w:rPr>
      </w:pPr>
      <w:r w:rsidRPr="00315335">
        <w:rPr>
          <w:rFonts w:ascii="Arial" w:hAnsi="Arial" w:cs="Arial"/>
          <w:noProof/>
          <w:sz w:val="24"/>
          <w:szCs w:val="24"/>
        </w:rPr>
        <w:drawing>
          <wp:inline distT="0" distB="0" distL="0" distR="0" wp14:anchorId="39C620D6" wp14:editId="00E679FA">
            <wp:extent cx="5872792" cy="1802921"/>
            <wp:effectExtent l="0" t="0" r="13970" b="26035"/>
            <wp:docPr id="68"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70541" w:rsidRPr="00315335" w:rsidRDefault="00F70541" w:rsidP="00F70541">
      <w:pPr>
        <w:pStyle w:val="Titlu1"/>
        <w:spacing w:before="0" w:after="0"/>
        <w:jc w:val="center"/>
        <w:rPr>
          <w:b w:val="0"/>
          <w:bCs w:val="0"/>
          <w:sz w:val="24"/>
          <w:szCs w:val="24"/>
          <w:lang w:val="es-ES"/>
        </w:rPr>
      </w:pPr>
      <w:r w:rsidRPr="00315335">
        <w:rPr>
          <w:b w:val="0"/>
          <w:bCs w:val="0"/>
          <w:sz w:val="24"/>
          <w:szCs w:val="24"/>
          <w:lang w:val="es-ES"/>
        </w:rPr>
        <w:t>Fig. IV.1.1- 3 -</w:t>
      </w:r>
      <w:r w:rsidRPr="00315335">
        <w:rPr>
          <w:b w:val="0"/>
          <w:sz w:val="24"/>
          <w:szCs w:val="24"/>
        </w:rPr>
        <w:t xml:space="preserve"> Utilizarea terenurilor agricole la nivelul anului 2018</w:t>
      </w:r>
    </w:p>
    <w:p w:rsidR="00F70541" w:rsidRPr="00315335" w:rsidRDefault="00F70541" w:rsidP="00F70541">
      <w:pPr>
        <w:pStyle w:val="Titlu1"/>
        <w:spacing w:before="0" w:after="0"/>
        <w:jc w:val="both"/>
        <w:rPr>
          <w:b w:val="0"/>
          <w:bCs w:val="0"/>
          <w:sz w:val="24"/>
          <w:szCs w:val="24"/>
          <w:lang w:val="es-ES"/>
        </w:rPr>
      </w:pPr>
    </w:p>
    <w:p w:rsidR="00F70541" w:rsidRPr="00315335" w:rsidRDefault="00F70541" w:rsidP="00F70541">
      <w:pPr>
        <w:pStyle w:val="Titlu1"/>
        <w:spacing w:before="0" w:after="0"/>
        <w:jc w:val="both"/>
        <w:rPr>
          <w:b w:val="0"/>
          <w:bCs w:val="0"/>
          <w:sz w:val="24"/>
          <w:szCs w:val="24"/>
          <w:lang w:val="es-ES"/>
        </w:rPr>
      </w:pPr>
    </w:p>
    <w:p w:rsidR="00F70541" w:rsidRPr="00315335" w:rsidRDefault="00F70541" w:rsidP="00F70541">
      <w:pPr>
        <w:pStyle w:val="Titlu1"/>
        <w:spacing w:before="0" w:after="0"/>
        <w:jc w:val="both"/>
        <w:rPr>
          <w:sz w:val="24"/>
          <w:szCs w:val="24"/>
          <w:lang w:val="es-ES"/>
        </w:rPr>
      </w:pPr>
      <w:r w:rsidRPr="00315335">
        <w:rPr>
          <w:bCs w:val="0"/>
          <w:sz w:val="24"/>
          <w:szCs w:val="24"/>
          <w:lang w:val="es-ES"/>
        </w:rPr>
        <w:t xml:space="preserve"> IV.1.2 </w:t>
      </w:r>
      <w:r w:rsidRPr="00315335">
        <w:rPr>
          <w:bCs w:val="0"/>
          <w:i/>
          <w:sz w:val="24"/>
          <w:szCs w:val="24"/>
          <w:lang w:val="es-ES"/>
        </w:rPr>
        <w:t>Tendințe privind schimbarea destinației utilizării terenurilor</w:t>
      </w:r>
    </w:p>
    <w:p w:rsidR="00F70541" w:rsidRPr="00315335" w:rsidRDefault="00F70541" w:rsidP="00F70541">
      <w:pPr>
        <w:pStyle w:val="Indentcorptext"/>
        <w:tabs>
          <w:tab w:val="left" w:pos="2460"/>
        </w:tabs>
        <w:spacing w:after="0" w:line="240" w:lineRule="auto"/>
        <w:ind w:left="0"/>
        <w:jc w:val="both"/>
        <w:rPr>
          <w:rFonts w:ascii="Arial" w:hAnsi="Arial" w:cs="Arial"/>
          <w:b/>
          <w:sz w:val="24"/>
          <w:szCs w:val="24"/>
        </w:rPr>
      </w:pPr>
      <w:r w:rsidRPr="00315335">
        <w:rPr>
          <w:rFonts w:ascii="Arial" w:hAnsi="Arial" w:cs="Arial"/>
          <w:sz w:val="24"/>
          <w:szCs w:val="24"/>
          <w:lang w:val="es-ES"/>
        </w:rPr>
        <w:tab/>
      </w:r>
      <w:r w:rsidRPr="00315335">
        <w:rPr>
          <w:rFonts w:ascii="Arial" w:hAnsi="Arial" w:cs="Arial"/>
          <w:sz w:val="24"/>
          <w:szCs w:val="24"/>
          <w:lang w:val="es-ES"/>
        </w:rPr>
        <w:tab/>
      </w:r>
      <w:r w:rsidRPr="00315335">
        <w:rPr>
          <w:rFonts w:ascii="Arial" w:hAnsi="Arial" w:cs="Arial"/>
          <w:sz w:val="24"/>
          <w:szCs w:val="24"/>
          <w:lang w:val="es-ES"/>
        </w:rPr>
        <w:tab/>
      </w:r>
      <w:r w:rsidRPr="00315335">
        <w:rPr>
          <w:rFonts w:ascii="Arial" w:hAnsi="Arial" w:cs="Arial"/>
          <w:sz w:val="24"/>
          <w:szCs w:val="24"/>
          <w:lang w:val="es-ES"/>
        </w:rPr>
        <w:tab/>
      </w:r>
      <w:r w:rsidRPr="00315335">
        <w:rPr>
          <w:rFonts w:ascii="Arial" w:hAnsi="Arial" w:cs="Arial"/>
          <w:sz w:val="24"/>
          <w:szCs w:val="24"/>
          <w:lang w:val="es-ES"/>
        </w:rPr>
        <w:tab/>
      </w:r>
      <w:r w:rsidRPr="00315335">
        <w:rPr>
          <w:rFonts w:ascii="Arial" w:hAnsi="Arial" w:cs="Arial"/>
          <w:sz w:val="24"/>
          <w:szCs w:val="24"/>
          <w:lang w:val="es-ES"/>
        </w:rPr>
        <w:tab/>
      </w:r>
    </w:p>
    <w:p w:rsidR="00F70541" w:rsidRPr="00315335" w:rsidRDefault="00F70541" w:rsidP="00F70541">
      <w:pPr>
        <w:pStyle w:val="Titlu1"/>
        <w:spacing w:before="0" w:after="0"/>
        <w:jc w:val="center"/>
        <w:rPr>
          <w:b w:val="0"/>
          <w:sz w:val="24"/>
          <w:szCs w:val="24"/>
        </w:rPr>
      </w:pPr>
      <w:r w:rsidRPr="00315335">
        <w:rPr>
          <w:b w:val="0"/>
          <w:sz w:val="24"/>
          <w:szCs w:val="24"/>
        </w:rPr>
        <w:t>Tabel IV.1.2. -1</w:t>
      </w:r>
      <w:r w:rsidRPr="00315335">
        <w:rPr>
          <w:b w:val="0"/>
          <w:bCs w:val="0"/>
          <w:sz w:val="24"/>
          <w:szCs w:val="24"/>
          <w:lang w:val="es-ES"/>
        </w:rPr>
        <w:t>Schimbări în acoperirea/utilizarea terenurilor în perioada 2011-2015</w:t>
      </w:r>
    </w:p>
    <w:tbl>
      <w:tblPr>
        <w:tblpPr w:leftFromText="180" w:rightFromText="180" w:vertAnchor="text" w:horzAnchor="margin" w:tblpXSpec="center" w:tblpY="14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DD"/>
        <w:tblLayout w:type="fixed"/>
        <w:tblLook w:val="01E0" w:firstRow="1" w:lastRow="1" w:firstColumn="1" w:lastColumn="1" w:noHBand="0" w:noVBand="0"/>
      </w:tblPr>
      <w:tblGrid>
        <w:gridCol w:w="1690"/>
        <w:gridCol w:w="1157"/>
        <w:gridCol w:w="1157"/>
        <w:gridCol w:w="1152"/>
        <w:gridCol w:w="1108"/>
        <w:gridCol w:w="1108"/>
        <w:gridCol w:w="1252"/>
        <w:gridCol w:w="1299"/>
      </w:tblGrid>
      <w:tr w:rsidR="00F70541" w:rsidRPr="00315335" w:rsidTr="00916B06">
        <w:trPr>
          <w:trHeight w:val="450"/>
        </w:trPr>
        <w:tc>
          <w:tcPr>
            <w:tcW w:w="1847" w:type="dxa"/>
            <w:vMerge w:val="restar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F70541" w:rsidRPr="00315335" w:rsidRDefault="00F70541" w:rsidP="00916B06">
            <w:pPr>
              <w:pStyle w:val="Indentcorptext"/>
              <w:spacing w:after="0" w:line="240" w:lineRule="auto"/>
              <w:ind w:left="0"/>
              <w:jc w:val="center"/>
              <w:rPr>
                <w:rFonts w:ascii="Arial" w:hAnsi="Arial" w:cs="Arial"/>
                <w:b/>
                <w:sz w:val="20"/>
                <w:szCs w:val="20"/>
              </w:rPr>
            </w:pPr>
            <w:r w:rsidRPr="00315335">
              <w:rPr>
                <w:rFonts w:ascii="Arial" w:hAnsi="Arial" w:cs="Arial"/>
                <w:b/>
                <w:sz w:val="20"/>
                <w:szCs w:val="20"/>
              </w:rPr>
              <w:t>Categoria</w:t>
            </w:r>
          </w:p>
          <w:p w:rsidR="00F70541" w:rsidRPr="00315335" w:rsidRDefault="00F70541" w:rsidP="00916B06">
            <w:pPr>
              <w:pStyle w:val="Indentcorptext"/>
              <w:spacing w:after="0" w:line="240" w:lineRule="auto"/>
              <w:ind w:left="0"/>
              <w:jc w:val="center"/>
              <w:rPr>
                <w:rFonts w:ascii="Arial" w:hAnsi="Arial" w:cs="Arial"/>
                <w:b/>
                <w:sz w:val="20"/>
                <w:szCs w:val="20"/>
              </w:rPr>
            </w:pPr>
            <w:r w:rsidRPr="00315335">
              <w:rPr>
                <w:rFonts w:ascii="Arial" w:hAnsi="Arial" w:cs="Arial"/>
                <w:b/>
                <w:sz w:val="20"/>
                <w:szCs w:val="20"/>
              </w:rPr>
              <w:t>de acoperire</w:t>
            </w:r>
          </w:p>
        </w:tc>
        <w:tc>
          <w:tcPr>
            <w:tcW w:w="6167" w:type="dxa"/>
            <w:gridSpan w:val="5"/>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F70541" w:rsidRPr="00315335" w:rsidRDefault="00F70541" w:rsidP="00916B06">
            <w:pPr>
              <w:pStyle w:val="Indentcorptext"/>
              <w:spacing w:after="0" w:line="240" w:lineRule="auto"/>
              <w:ind w:left="0"/>
              <w:jc w:val="center"/>
              <w:rPr>
                <w:rFonts w:ascii="Arial" w:hAnsi="Arial" w:cs="Arial"/>
                <w:b/>
                <w:sz w:val="20"/>
                <w:szCs w:val="20"/>
              </w:rPr>
            </w:pPr>
            <w:r w:rsidRPr="00315335">
              <w:rPr>
                <w:rFonts w:ascii="Arial" w:hAnsi="Arial" w:cs="Arial"/>
                <w:b/>
                <w:sz w:val="20"/>
                <w:szCs w:val="20"/>
              </w:rPr>
              <w:t>Suprafaţa (ha)</w:t>
            </w:r>
          </w:p>
        </w:tc>
        <w:tc>
          <w:tcPr>
            <w:tcW w:w="1361" w:type="dxa"/>
            <w:tcBorders>
              <w:bottom w:val="single" w:sz="4" w:space="0" w:color="auto"/>
            </w:tcBorders>
            <w:shd w:val="clear" w:color="DDD9C3" w:themeColor="background2" w:themeShade="E6" w:fill="FFEFBD"/>
            <w:vAlign w:val="center"/>
          </w:tcPr>
          <w:p w:rsidR="00F70541" w:rsidRPr="00315335" w:rsidRDefault="00F70541" w:rsidP="00916B06">
            <w:pPr>
              <w:spacing w:after="0" w:line="240" w:lineRule="auto"/>
              <w:jc w:val="center"/>
              <w:rPr>
                <w:rFonts w:ascii="Arial" w:hAnsi="Arial" w:cs="Arial"/>
                <w:sz w:val="20"/>
                <w:szCs w:val="20"/>
              </w:rPr>
            </w:pPr>
            <w:r w:rsidRPr="00315335">
              <w:rPr>
                <w:rFonts w:ascii="Arial" w:hAnsi="Arial" w:cs="Arial"/>
                <w:sz w:val="20"/>
                <w:szCs w:val="20"/>
              </w:rPr>
              <w:t>Schimbări în acoperirea terenurilor</w:t>
            </w:r>
          </w:p>
          <w:p w:rsidR="00F70541" w:rsidRPr="00315335" w:rsidRDefault="00F70541" w:rsidP="00916B06">
            <w:pPr>
              <w:spacing w:after="0" w:line="240" w:lineRule="auto"/>
              <w:jc w:val="center"/>
              <w:rPr>
                <w:rFonts w:ascii="Arial" w:hAnsi="Arial" w:cs="Arial"/>
                <w:sz w:val="20"/>
                <w:szCs w:val="20"/>
              </w:rPr>
            </w:pPr>
            <w:r w:rsidRPr="00315335">
              <w:rPr>
                <w:rFonts w:ascii="Arial" w:hAnsi="Arial" w:cs="Arial"/>
                <w:sz w:val="20"/>
                <w:szCs w:val="20"/>
              </w:rPr>
              <w:t>2011-2015(ha)</w:t>
            </w:r>
          </w:p>
        </w:tc>
        <w:tc>
          <w:tcPr>
            <w:tcW w:w="1413" w:type="dxa"/>
            <w:tcBorders>
              <w:bottom w:val="single" w:sz="4" w:space="0" w:color="auto"/>
            </w:tcBorders>
            <w:shd w:val="clear" w:color="DDD9C3" w:themeColor="background2" w:themeShade="E6" w:fill="FFEFBD"/>
            <w:vAlign w:val="center"/>
          </w:tcPr>
          <w:p w:rsidR="00F70541" w:rsidRPr="00315335" w:rsidRDefault="00F70541" w:rsidP="00916B06">
            <w:pPr>
              <w:spacing w:after="0" w:line="240" w:lineRule="auto"/>
              <w:jc w:val="center"/>
              <w:rPr>
                <w:rFonts w:ascii="Arial" w:hAnsi="Arial" w:cs="Arial"/>
                <w:sz w:val="20"/>
                <w:szCs w:val="20"/>
              </w:rPr>
            </w:pPr>
            <w:r w:rsidRPr="00315335">
              <w:rPr>
                <w:rFonts w:ascii="Arial" w:hAnsi="Arial" w:cs="Arial"/>
                <w:sz w:val="20"/>
                <w:szCs w:val="20"/>
              </w:rPr>
              <w:t>Schimbări în acoperirea terenurilor</w:t>
            </w:r>
          </w:p>
          <w:p w:rsidR="00F70541" w:rsidRPr="00315335" w:rsidRDefault="00F70541" w:rsidP="00916B06">
            <w:pPr>
              <w:spacing w:after="0" w:line="240" w:lineRule="auto"/>
              <w:jc w:val="center"/>
              <w:rPr>
                <w:rFonts w:ascii="Arial" w:hAnsi="Arial" w:cs="Arial"/>
                <w:sz w:val="20"/>
                <w:szCs w:val="20"/>
              </w:rPr>
            </w:pPr>
            <w:r w:rsidRPr="00315335">
              <w:rPr>
                <w:rFonts w:ascii="Arial" w:hAnsi="Arial" w:cs="Arial"/>
                <w:sz w:val="20"/>
                <w:szCs w:val="20"/>
              </w:rPr>
              <w:t>% din anul 2011)</w:t>
            </w:r>
          </w:p>
        </w:tc>
      </w:tr>
      <w:tr w:rsidR="00F70541" w:rsidRPr="00315335" w:rsidTr="00916B06">
        <w:trPr>
          <w:trHeight w:val="360"/>
        </w:trPr>
        <w:tc>
          <w:tcPr>
            <w:tcW w:w="1847" w:type="dxa"/>
            <w:vMerge/>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F70541" w:rsidRPr="00315335" w:rsidRDefault="00F70541" w:rsidP="00916B06">
            <w:pPr>
              <w:spacing w:after="0" w:line="240" w:lineRule="auto"/>
              <w:rPr>
                <w:rFonts w:ascii="Arial" w:eastAsia="Times New Roman" w:hAnsi="Arial" w:cs="Arial"/>
                <w:b/>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F70541" w:rsidRPr="00315335" w:rsidRDefault="00F70541" w:rsidP="00916B06">
            <w:pPr>
              <w:spacing w:after="0" w:line="240" w:lineRule="auto"/>
              <w:jc w:val="center"/>
              <w:rPr>
                <w:rFonts w:ascii="Arial" w:hAnsi="Arial" w:cs="Arial"/>
                <w:b/>
              </w:rPr>
            </w:pPr>
            <w:r w:rsidRPr="00315335">
              <w:rPr>
                <w:rFonts w:ascii="Arial" w:hAnsi="Arial" w:cs="Arial"/>
                <w:b/>
              </w:rPr>
              <w:t>2011</w:t>
            </w:r>
          </w:p>
        </w:tc>
        <w:tc>
          <w:tcPr>
            <w:tcW w:w="1256"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F70541" w:rsidRPr="00315335" w:rsidRDefault="00F70541" w:rsidP="00916B06">
            <w:pPr>
              <w:spacing w:after="0" w:line="240" w:lineRule="auto"/>
              <w:jc w:val="center"/>
              <w:rPr>
                <w:rFonts w:ascii="Arial" w:hAnsi="Arial" w:cs="Arial"/>
                <w:b/>
              </w:rPr>
            </w:pPr>
            <w:r w:rsidRPr="00315335">
              <w:rPr>
                <w:rFonts w:ascii="Arial" w:hAnsi="Arial" w:cs="Arial"/>
                <w:b/>
              </w:rPr>
              <w:t>2012</w:t>
            </w:r>
          </w:p>
        </w:tc>
        <w:tc>
          <w:tcPr>
            <w:tcW w:w="1251"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F70541" w:rsidRPr="00315335" w:rsidRDefault="00F70541" w:rsidP="00916B06">
            <w:pPr>
              <w:spacing w:after="0" w:line="240" w:lineRule="auto"/>
              <w:jc w:val="center"/>
              <w:rPr>
                <w:rFonts w:ascii="Arial" w:hAnsi="Arial" w:cs="Arial"/>
                <w:b/>
              </w:rPr>
            </w:pPr>
            <w:r w:rsidRPr="00315335">
              <w:rPr>
                <w:rFonts w:ascii="Arial" w:hAnsi="Arial" w:cs="Arial"/>
                <w:b/>
              </w:rPr>
              <w:t>2013</w:t>
            </w:r>
          </w:p>
        </w:tc>
        <w:tc>
          <w:tcPr>
            <w:tcW w:w="1202"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F70541" w:rsidRPr="00315335" w:rsidRDefault="00F70541" w:rsidP="00916B06">
            <w:pPr>
              <w:spacing w:after="0" w:line="240" w:lineRule="auto"/>
              <w:jc w:val="center"/>
              <w:rPr>
                <w:rFonts w:ascii="Arial" w:hAnsi="Arial" w:cs="Arial"/>
                <w:b/>
              </w:rPr>
            </w:pPr>
            <w:r w:rsidRPr="00315335">
              <w:rPr>
                <w:rFonts w:ascii="Arial" w:hAnsi="Arial" w:cs="Arial"/>
                <w:b/>
              </w:rPr>
              <w:t>2014</w:t>
            </w:r>
          </w:p>
        </w:tc>
        <w:tc>
          <w:tcPr>
            <w:tcW w:w="1202"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F70541" w:rsidRPr="00315335" w:rsidRDefault="00F70541" w:rsidP="00916B06">
            <w:pPr>
              <w:spacing w:after="0" w:line="240" w:lineRule="auto"/>
              <w:jc w:val="center"/>
              <w:rPr>
                <w:rFonts w:ascii="Arial" w:hAnsi="Arial" w:cs="Arial"/>
                <w:b/>
              </w:rPr>
            </w:pPr>
            <w:r w:rsidRPr="00315335">
              <w:rPr>
                <w:rFonts w:ascii="Arial" w:hAnsi="Arial" w:cs="Arial"/>
                <w:b/>
              </w:rPr>
              <w:t>2015</w:t>
            </w:r>
          </w:p>
        </w:tc>
        <w:tc>
          <w:tcPr>
            <w:tcW w:w="1361" w:type="dxa"/>
            <w:tcBorders>
              <w:top w:val="nil"/>
            </w:tcBorders>
            <w:shd w:val="clear" w:color="DDD9C3" w:themeColor="background2" w:themeShade="E6" w:fill="FFEFBD"/>
          </w:tcPr>
          <w:p w:rsidR="00F70541" w:rsidRPr="00315335" w:rsidRDefault="00F70541" w:rsidP="00916B06">
            <w:pPr>
              <w:spacing w:after="0" w:line="240" w:lineRule="auto"/>
              <w:rPr>
                <w:rFonts w:ascii="Arial" w:hAnsi="Arial" w:cs="Arial"/>
              </w:rPr>
            </w:pPr>
          </w:p>
        </w:tc>
        <w:tc>
          <w:tcPr>
            <w:tcW w:w="1413" w:type="dxa"/>
            <w:tcBorders>
              <w:top w:val="nil"/>
            </w:tcBorders>
            <w:shd w:val="clear" w:color="DDD9C3" w:themeColor="background2" w:themeShade="E6" w:fill="FFEFBD"/>
          </w:tcPr>
          <w:p w:rsidR="00F70541" w:rsidRPr="00315335" w:rsidRDefault="00F70541" w:rsidP="00916B06">
            <w:pPr>
              <w:spacing w:after="0" w:line="240" w:lineRule="auto"/>
              <w:rPr>
                <w:rFonts w:ascii="Arial" w:hAnsi="Arial" w:cs="Arial"/>
              </w:rPr>
            </w:pPr>
          </w:p>
        </w:tc>
      </w:tr>
      <w:tr w:rsidR="00F70541" w:rsidRPr="00315335" w:rsidTr="00916B06">
        <w:trPr>
          <w:trHeight w:val="360"/>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rPr>
                <w:rFonts w:ascii="Arial" w:hAnsi="Arial" w:cs="Arial"/>
              </w:rPr>
            </w:pPr>
            <w:r w:rsidRPr="00315335">
              <w:rPr>
                <w:rFonts w:ascii="Arial" w:hAnsi="Arial" w:cs="Arial"/>
              </w:rPr>
              <w:t>TOTAL</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eastAsia="SimSun" w:hAnsi="Arial" w:cs="Arial"/>
                <w:lang w:val="en-GB"/>
              </w:rPr>
            </w:pPr>
            <w:r w:rsidRPr="00315335">
              <w:rPr>
                <w:rFonts w:ascii="Arial" w:eastAsia="SimSun" w:hAnsi="Arial" w:cs="Arial"/>
                <w:lang w:val="en-GB"/>
              </w:rPr>
              <w:t>476576</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eastAsia="SimSun" w:hAnsi="Arial" w:cs="Arial"/>
                <w:lang w:val="en-GB"/>
              </w:rPr>
            </w:pPr>
            <w:r w:rsidRPr="00315335">
              <w:rPr>
                <w:rFonts w:ascii="Arial" w:eastAsia="SimSun" w:hAnsi="Arial" w:cs="Arial"/>
                <w:lang w:val="en-GB"/>
              </w:rPr>
              <w:t>476576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eastAsia="SimSun" w:hAnsi="Arial" w:cs="Arial"/>
                <w:lang w:val="en-GB"/>
              </w:rPr>
            </w:pPr>
            <w:r w:rsidRPr="00315335">
              <w:rPr>
                <w:rFonts w:ascii="Arial" w:eastAsia="SimSun" w:hAnsi="Arial" w:cs="Arial"/>
                <w:lang w:val="en-GB"/>
              </w:rPr>
              <w:t>476576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eastAsia="SimSun" w:hAnsi="Arial" w:cs="Arial"/>
                <w:lang w:val="en-GB"/>
              </w:rPr>
            </w:pPr>
            <w:r w:rsidRPr="00315335">
              <w:rPr>
                <w:rFonts w:ascii="Arial" w:eastAsia="SimSun" w:hAnsi="Arial" w:cs="Arial"/>
                <w:lang w:val="en-GB"/>
              </w:rPr>
              <w:t>476576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pStyle w:val="Indentcorptext"/>
              <w:spacing w:after="0" w:line="240" w:lineRule="auto"/>
              <w:ind w:left="0"/>
              <w:jc w:val="center"/>
              <w:rPr>
                <w:rFonts w:ascii="Arial" w:eastAsia="SimSun" w:hAnsi="Arial" w:cs="Arial"/>
                <w:lang w:val="en-GB"/>
              </w:rPr>
            </w:pPr>
            <w:r w:rsidRPr="00315335">
              <w:rPr>
                <w:rFonts w:ascii="Arial" w:eastAsia="SimSun" w:hAnsi="Arial" w:cs="Arial"/>
                <w:lang w:val="en-GB"/>
              </w:rPr>
              <w:t>476576</w:t>
            </w:r>
          </w:p>
        </w:tc>
        <w:tc>
          <w:tcPr>
            <w:tcW w:w="1361" w:type="dxa"/>
            <w:tcBorders>
              <w:top w:val="nil"/>
            </w:tcBorders>
            <w:shd w:val="clear" w:color="auto" w:fill="FFFFE7"/>
          </w:tcPr>
          <w:p w:rsidR="00F70541" w:rsidRPr="00315335" w:rsidRDefault="00F70541" w:rsidP="00916B06">
            <w:pPr>
              <w:spacing w:after="0" w:line="240" w:lineRule="auto"/>
              <w:rPr>
                <w:rFonts w:ascii="Arial" w:hAnsi="Arial" w:cs="Arial"/>
              </w:rPr>
            </w:pPr>
          </w:p>
        </w:tc>
        <w:tc>
          <w:tcPr>
            <w:tcW w:w="1413" w:type="dxa"/>
            <w:tcBorders>
              <w:top w:val="nil"/>
            </w:tcBorders>
            <w:shd w:val="clear" w:color="auto" w:fill="FFFFE7"/>
          </w:tcPr>
          <w:p w:rsidR="00F70541" w:rsidRPr="00315335" w:rsidRDefault="00F70541" w:rsidP="00916B06">
            <w:pPr>
              <w:spacing w:after="0" w:line="240" w:lineRule="auto"/>
              <w:rPr>
                <w:rFonts w:ascii="Arial" w:hAnsi="Arial" w:cs="Arial"/>
              </w:rPr>
            </w:pPr>
          </w:p>
        </w:tc>
      </w:tr>
      <w:tr w:rsidR="00F70541" w:rsidRPr="00315335" w:rsidTr="00916B06">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rPr>
                <w:rFonts w:ascii="Arial" w:hAnsi="Arial" w:cs="Arial"/>
              </w:rPr>
            </w:pPr>
            <w:r w:rsidRPr="00315335">
              <w:rPr>
                <w:rFonts w:ascii="Arial" w:hAnsi="Arial" w:cs="Arial"/>
              </w:rPr>
              <w:t>Terenuri agricole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387.363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387.160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387.598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jc w:val="center"/>
              <w:rPr>
                <w:rFonts w:ascii="Arial" w:hAnsi="Arial" w:cs="Arial"/>
              </w:rPr>
            </w:pPr>
            <w:r w:rsidRPr="00315335">
              <w:rPr>
                <w:rFonts w:ascii="Arial" w:hAnsi="Arial" w:cs="Arial"/>
              </w:rPr>
              <w:t>387.750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389.907</w:t>
            </w:r>
          </w:p>
        </w:tc>
        <w:tc>
          <w:tcPr>
            <w:tcW w:w="1361"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2544</w:t>
            </w:r>
          </w:p>
        </w:tc>
        <w:tc>
          <w:tcPr>
            <w:tcW w:w="1413"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0,65</w:t>
            </w:r>
          </w:p>
        </w:tc>
      </w:tr>
      <w:tr w:rsidR="00F70541" w:rsidRPr="00315335" w:rsidTr="00916B06">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rPr>
                <w:rFonts w:ascii="Arial" w:hAnsi="Arial" w:cs="Arial"/>
              </w:rPr>
            </w:pPr>
            <w:r w:rsidRPr="00315335">
              <w:rPr>
                <w:rFonts w:ascii="Arial" w:hAnsi="Arial" w:cs="Arial"/>
              </w:rPr>
              <w:t>Arabil</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350.447</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350625</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350.862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jc w:val="center"/>
              <w:rPr>
                <w:rFonts w:ascii="Arial" w:hAnsi="Arial" w:cs="Arial"/>
              </w:rPr>
            </w:pPr>
            <w:r w:rsidRPr="00315335">
              <w:rPr>
                <w:rFonts w:ascii="Arial" w:hAnsi="Arial" w:cs="Arial"/>
              </w:rPr>
              <w:t>351.420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351.782</w:t>
            </w:r>
          </w:p>
        </w:tc>
        <w:tc>
          <w:tcPr>
            <w:tcW w:w="1361" w:type="dxa"/>
            <w:tcBorders>
              <w:top w:val="nil"/>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1335</w:t>
            </w:r>
          </w:p>
        </w:tc>
        <w:tc>
          <w:tcPr>
            <w:tcW w:w="1413" w:type="dxa"/>
            <w:tcBorders>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0,38</w:t>
            </w:r>
          </w:p>
        </w:tc>
      </w:tr>
      <w:tr w:rsidR="00F70541" w:rsidRPr="00315335" w:rsidTr="00916B06">
        <w:trPr>
          <w:trHeight w:val="271"/>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rPr>
                <w:rFonts w:ascii="Arial" w:hAnsi="Arial" w:cs="Arial"/>
              </w:rPr>
            </w:pPr>
            <w:r w:rsidRPr="00315335">
              <w:rPr>
                <w:rFonts w:ascii="Arial" w:hAnsi="Arial" w:cs="Arial"/>
              </w:rPr>
              <w:t>Păşuni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31.733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31332</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31.538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jc w:val="center"/>
              <w:rPr>
                <w:rFonts w:ascii="Arial" w:hAnsi="Arial" w:cs="Arial"/>
              </w:rPr>
            </w:pPr>
            <w:r w:rsidRPr="00315335">
              <w:rPr>
                <w:rFonts w:ascii="Arial" w:hAnsi="Arial" w:cs="Arial"/>
              </w:rPr>
              <w:t>31.132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33.151</w:t>
            </w:r>
          </w:p>
        </w:tc>
        <w:tc>
          <w:tcPr>
            <w:tcW w:w="1361"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1418</w:t>
            </w:r>
          </w:p>
        </w:tc>
        <w:tc>
          <w:tcPr>
            <w:tcW w:w="1413"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-4,46</w:t>
            </w:r>
          </w:p>
        </w:tc>
      </w:tr>
      <w:tr w:rsidR="00F70541" w:rsidRPr="00315335" w:rsidTr="00916B06">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rPr>
                <w:rFonts w:ascii="Arial" w:hAnsi="Arial" w:cs="Arial"/>
              </w:rPr>
            </w:pPr>
            <w:r w:rsidRPr="00315335">
              <w:rPr>
                <w:rFonts w:ascii="Arial" w:hAnsi="Arial" w:cs="Arial"/>
              </w:rPr>
              <w:t>Fâneţe şi pajişti naturale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jc w:val="center"/>
              <w:rPr>
                <w:rFonts w:ascii="Arial" w:hAnsi="Arial" w:cs="Arial"/>
              </w:rPr>
            </w:pPr>
            <w:r w:rsidRPr="00315335">
              <w:rPr>
                <w:rFonts w:ascii="Arial" w:hAnsi="Arial" w:cs="Arial"/>
              </w:rPr>
              <w:t>0</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0</w:t>
            </w:r>
          </w:p>
        </w:tc>
        <w:tc>
          <w:tcPr>
            <w:tcW w:w="1361"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0</w:t>
            </w:r>
          </w:p>
        </w:tc>
        <w:tc>
          <w:tcPr>
            <w:tcW w:w="1413"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0</w:t>
            </w:r>
          </w:p>
        </w:tc>
      </w:tr>
      <w:tr w:rsidR="00F70541" w:rsidRPr="00315335" w:rsidTr="00916B06">
        <w:trPr>
          <w:trHeight w:val="399"/>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rPr>
                <w:rFonts w:ascii="Arial" w:hAnsi="Arial" w:cs="Arial"/>
              </w:rPr>
            </w:pPr>
            <w:r w:rsidRPr="00315335">
              <w:rPr>
                <w:rFonts w:ascii="Arial" w:hAnsi="Arial" w:cs="Arial"/>
              </w:rPr>
              <w:t>Vii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4.529</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4545</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4560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4560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4287</w:t>
            </w:r>
          </w:p>
        </w:tc>
        <w:tc>
          <w:tcPr>
            <w:tcW w:w="1361" w:type="dxa"/>
            <w:tcBorders>
              <w:top w:val="nil"/>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-242</w:t>
            </w:r>
          </w:p>
        </w:tc>
        <w:tc>
          <w:tcPr>
            <w:tcW w:w="1413" w:type="dxa"/>
            <w:tcBorders>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-5,34</w:t>
            </w:r>
          </w:p>
        </w:tc>
      </w:tr>
      <w:tr w:rsidR="00F70541" w:rsidRPr="00315335" w:rsidTr="00916B06">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rPr>
                <w:rFonts w:ascii="Arial" w:hAnsi="Arial" w:cs="Arial"/>
              </w:rPr>
            </w:pPr>
            <w:r w:rsidRPr="00315335">
              <w:rPr>
                <w:rFonts w:ascii="Arial" w:hAnsi="Arial" w:cs="Arial"/>
              </w:rPr>
              <w:t>Livezi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654</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658</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638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638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687</w:t>
            </w:r>
          </w:p>
        </w:tc>
        <w:tc>
          <w:tcPr>
            <w:tcW w:w="1361" w:type="dxa"/>
            <w:tcBorders>
              <w:top w:val="nil"/>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-33</w:t>
            </w:r>
          </w:p>
        </w:tc>
        <w:tc>
          <w:tcPr>
            <w:tcW w:w="1413" w:type="dxa"/>
            <w:tcBorders>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-5,04</w:t>
            </w:r>
          </w:p>
        </w:tc>
      </w:tr>
      <w:tr w:rsidR="00F70541" w:rsidRPr="00315335" w:rsidTr="00916B06">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rPr>
                <w:rFonts w:ascii="Arial" w:hAnsi="Arial" w:cs="Arial"/>
              </w:rPr>
            </w:pPr>
            <w:r w:rsidRPr="00315335">
              <w:rPr>
                <w:rFonts w:ascii="Arial" w:hAnsi="Arial" w:cs="Arial"/>
              </w:rPr>
              <w:t>Terenuri  neagricole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89.213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89.416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jc w:val="center"/>
              <w:rPr>
                <w:rFonts w:ascii="Arial" w:hAnsi="Arial" w:cs="Arial"/>
              </w:rPr>
            </w:pPr>
            <w:r w:rsidRPr="00315335">
              <w:rPr>
                <w:rFonts w:ascii="Arial" w:hAnsi="Arial" w:cs="Arial"/>
              </w:rPr>
              <w:t>88.978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88.826</w:t>
            </w:r>
          </w:p>
        </w:tc>
        <w:tc>
          <w:tcPr>
            <w:tcW w:w="1202"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86.665</w:t>
            </w:r>
          </w:p>
        </w:tc>
        <w:tc>
          <w:tcPr>
            <w:tcW w:w="1361"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-2548</w:t>
            </w:r>
          </w:p>
        </w:tc>
        <w:tc>
          <w:tcPr>
            <w:tcW w:w="1413"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-2,86</w:t>
            </w:r>
          </w:p>
        </w:tc>
      </w:tr>
      <w:tr w:rsidR="00F70541" w:rsidRPr="00315335" w:rsidTr="00916B06">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rPr>
                <w:rFonts w:ascii="Arial" w:hAnsi="Arial" w:cs="Arial"/>
              </w:rPr>
            </w:pPr>
            <w:r w:rsidRPr="00315335">
              <w:rPr>
                <w:rFonts w:ascii="Arial" w:hAnsi="Arial" w:cs="Arial"/>
              </w:rPr>
              <w:t>Păduri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28.383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28552</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jc w:val="center"/>
              <w:rPr>
                <w:rFonts w:ascii="Arial" w:hAnsi="Arial" w:cs="Arial"/>
              </w:rPr>
            </w:pPr>
            <w:r w:rsidRPr="00315335">
              <w:rPr>
                <w:rFonts w:ascii="Arial" w:hAnsi="Arial" w:cs="Arial"/>
              </w:rPr>
              <w:t>28653</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28687</w:t>
            </w:r>
          </w:p>
        </w:tc>
        <w:tc>
          <w:tcPr>
            <w:tcW w:w="1202"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30047</w:t>
            </w:r>
          </w:p>
        </w:tc>
        <w:tc>
          <w:tcPr>
            <w:tcW w:w="1361"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1664</w:t>
            </w:r>
          </w:p>
        </w:tc>
        <w:tc>
          <w:tcPr>
            <w:tcW w:w="1413"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5,86</w:t>
            </w:r>
          </w:p>
        </w:tc>
      </w:tr>
      <w:tr w:rsidR="00F70541" w:rsidRPr="00315335" w:rsidTr="00916B06">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tabs>
                <w:tab w:val="num" w:pos="1092"/>
              </w:tabs>
              <w:spacing w:after="0" w:line="240" w:lineRule="auto"/>
              <w:rPr>
                <w:rFonts w:ascii="Arial" w:hAnsi="Arial" w:cs="Arial"/>
              </w:rPr>
            </w:pPr>
            <w:r w:rsidRPr="00315335">
              <w:rPr>
                <w:rFonts w:ascii="Arial" w:hAnsi="Arial" w:cs="Arial"/>
              </w:rPr>
              <w:t>Ape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30.672</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30.590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jc w:val="center"/>
              <w:rPr>
                <w:rFonts w:ascii="Arial" w:hAnsi="Arial" w:cs="Arial"/>
              </w:rPr>
            </w:pPr>
            <w:r w:rsidRPr="00315335">
              <w:rPr>
                <w:rFonts w:ascii="Arial" w:hAnsi="Arial" w:cs="Arial"/>
              </w:rPr>
              <w:t>30556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spacing w:after="0" w:line="240" w:lineRule="auto"/>
              <w:jc w:val="center"/>
              <w:rPr>
                <w:rFonts w:ascii="Arial" w:eastAsia="Times New Roman" w:hAnsi="Arial" w:cs="Arial"/>
              </w:rPr>
            </w:pPr>
            <w:r w:rsidRPr="00315335">
              <w:rPr>
                <w:rFonts w:ascii="Arial" w:eastAsia="Times New Roman" w:hAnsi="Arial" w:cs="Arial"/>
              </w:rPr>
              <w:t>30331</w:t>
            </w:r>
          </w:p>
        </w:tc>
        <w:tc>
          <w:tcPr>
            <w:tcW w:w="1202"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eastAsia="Times New Roman" w:hAnsi="Arial" w:cs="Arial"/>
              </w:rPr>
            </w:pPr>
            <w:r w:rsidRPr="00315335">
              <w:rPr>
                <w:rFonts w:ascii="Arial" w:eastAsia="Times New Roman" w:hAnsi="Arial" w:cs="Arial"/>
              </w:rPr>
              <w:t>26417</w:t>
            </w:r>
          </w:p>
        </w:tc>
        <w:tc>
          <w:tcPr>
            <w:tcW w:w="1361"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-4255</w:t>
            </w:r>
          </w:p>
        </w:tc>
        <w:tc>
          <w:tcPr>
            <w:tcW w:w="1413"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-13,86</w:t>
            </w:r>
          </w:p>
        </w:tc>
      </w:tr>
      <w:tr w:rsidR="00F70541" w:rsidRPr="00315335" w:rsidTr="00916B06">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F70541" w:rsidRPr="00315335" w:rsidRDefault="00F70541" w:rsidP="00916B06">
            <w:pPr>
              <w:tabs>
                <w:tab w:val="num" w:pos="1092"/>
              </w:tabs>
              <w:spacing w:after="0" w:line="240" w:lineRule="auto"/>
              <w:rPr>
                <w:rFonts w:ascii="Arial" w:hAnsi="Arial" w:cs="Arial"/>
              </w:rPr>
            </w:pPr>
            <w:r w:rsidRPr="00315335">
              <w:rPr>
                <w:rFonts w:ascii="Arial" w:hAnsi="Arial" w:cs="Arial"/>
              </w:rPr>
              <w:t>Drumuri şi căi ferate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8.587</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8597</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jc w:val="center"/>
              <w:rPr>
                <w:rFonts w:ascii="Arial" w:hAnsi="Arial" w:cs="Arial"/>
              </w:rPr>
            </w:pPr>
            <w:r w:rsidRPr="00315335">
              <w:rPr>
                <w:rFonts w:ascii="Arial" w:hAnsi="Arial" w:cs="Arial"/>
              </w:rPr>
              <w:t>8592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8586</w:t>
            </w:r>
          </w:p>
        </w:tc>
        <w:tc>
          <w:tcPr>
            <w:tcW w:w="1202"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8136</w:t>
            </w:r>
          </w:p>
        </w:tc>
        <w:tc>
          <w:tcPr>
            <w:tcW w:w="1361"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-451</w:t>
            </w:r>
          </w:p>
        </w:tc>
        <w:tc>
          <w:tcPr>
            <w:tcW w:w="1413"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-5,25</w:t>
            </w:r>
          </w:p>
        </w:tc>
      </w:tr>
      <w:tr w:rsidR="00F70541" w:rsidRPr="00315335" w:rsidTr="00916B06">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F70541" w:rsidRPr="00315335" w:rsidRDefault="00F70541" w:rsidP="00916B06">
            <w:pPr>
              <w:tabs>
                <w:tab w:val="left" w:pos="652"/>
                <w:tab w:val="left" w:pos="1078"/>
              </w:tabs>
              <w:spacing w:after="0" w:line="240" w:lineRule="auto"/>
              <w:rPr>
                <w:rFonts w:ascii="Arial" w:hAnsi="Arial" w:cs="Arial"/>
              </w:rPr>
            </w:pPr>
            <w:r w:rsidRPr="00315335">
              <w:rPr>
                <w:rFonts w:ascii="Arial" w:hAnsi="Arial" w:cs="Arial"/>
              </w:rPr>
              <w:t>Curţi şi construcţii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13.058</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hAnsi="Arial" w:cs="Arial"/>
              </w:rPr>
            </w:pPr>
            <w:r w:rsidRPr="00315335">
              <w:rPr>
                <w:rFonts w:ascii="Arial" w:hAnsi="Arial" w:cs="Arial"/>
              </w:rPr>
              <w:t>13.066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jc w:val="center"/>
              <w:rPr>
                <w:rFonts w:ascii="Arial" w:hAnsi="Arial" w:cs="Arial"/>
              </w:rPr>
            </w:pPr>
            <w:r w:rsidRPr="00315335">
              <w:rPr>
                <w:rFonts w:ascii="Arial" w:hAnsi="Arial" w:cs="Arial"/>
              </w:rPr>
              <w:t>13267</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13294</w:t>
            </w:r>
          </w:p>
        </w:tc>
        <w:tc>
          <w:tcPr>
            <w:tcW w:w="1202"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14094</w:t>
            </w:r>
          </w:p>
        </w:tc>
        <w:tc>
          <w:tcPr>
            <w:tcW w:w="1361"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1036</w:t>
            </w:r>
          </w:p>
        </w:tc>
        <w:tc>
          <w:tcPr>
            <w:tcW w:w="1413"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7,93</w:t>
            </w:r>
          </w:p>
        </w:tc>
      </w:tr>
      <w:tr w:rsidR="00F70541" w:rsidRPr="00315335" w:rsidTr="00916B06">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F70541" w:rsidRPr="00315335" w:rsidRDefault="00F70541" w:rsidP="00916B06">
            <w:pPr>
              <w:tabs>
                <w:tab w:val="num" w:pos="1092"/>
              </w:tabs>
              <w:spacing w:after="0" w:line="240" w:lineRule="auto"/>
              <w:rPr>
                <w:rFonts w:ascii="Arial" w:hAnsi="Arial" w:cs="Arial"/>
              </w:rPr>
            </w:pPr>
            <w:r w:rsidRPr="00315335">
              <w:rPr>
                <w:rFonts w:ascii="Arial" w:hAnsi="Arial" w:cs="Arial"/>
              </w:rPr>
              <w:t>Neproductive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eastAsia="SimSun" w:hAnsi="Arial" w:cs="Arial"/>
                <w:lang w:val="en-GB"/>
              </w:rPr>
            </w:pPr>
            <w:r w:rsidRPr="00315335">
              <w:rPr>
                <w:rFonts w:ascii="Arial" w:eastAsia="SimSun" w:hAnsi="Arial" w:cs="Arial"/>
                <w:lang w:val="en-GB"/>
              </w:rPr>
              <w:t>8.513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pStyle w:val="Indentcorptext"/>
              <w:spacing w:after="0" w:line="240" w:lineRule="auto"/>
              <w:ind w:left="0"/>
              <w:jc w:val="center"/>
              <w:rPr>
                <w:rFonts w:ascii="Arial" w:eastAsia="SimSun" w:hAnsi="Arial" w:cs="Arial"/>
                <w:lang w:val="en-GB"/>
              </w:rPr>
            </w:pPr>
            <w:r w:rsidRPr="00315335">
              <w:rPr>
                <w:rFonts w:ascii="Arial" w:eastAsia="SimSun" w:hAnsi="Arial" w:cs="Arial"/>
                <w:lang w:val="en-GB"/>
              </w:rPr>
              <w:t>8616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F70541" w:rsidRPr="00315335" w:rsidRDefault="00F70541" w:rsidP="00916B06">
            <w:pPr>
              <w:spacing w:after="0" w:line="240" w:lineRule="auto"/>
              <w:jc w:val="center"/>
              <w:rPr>
                <w:rFonts w:ascii="Arial" w:hAnsi="Arial" w:cs="Arial"/>
              </w:rPr>
            </w:pPr>
            <w:r w:rsidRPr="00315335">
              <w:rPr>
                <w:rFonts w:ascii="Arial" w:hAnsi="Arial" w:cs="Arial"/>
              </w:rPr>
              <w:t>8110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7928</w:t>
            </w:r>
          </w:p>
        </w:tc>
        <w:tc>
          <w:tcPr>
            <w:tcW w:w="1202"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7971</w:t>
            </w:r>
          </w:p>
        </w:tc>
        <w:tc>
          <w:tcPr>
            <w:tcW w:w="1361" w:type="dxa"/>
            <w:tcBorders>
              <w:top w:val="single" w:sz="4" w:space="0" w:color="auto"/>
              <w:bottom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-542</w:t>
            </w:r>
          </w:p>
        </w:tc>
        <w:tc>
          <w:tcPr>
            <w:tcW w:w="1134" w:type="dxa"/>
            <w:tcBorders>
              <w:top w:val="single" w:sz="4" w:space="0" w:color="auto"/>
            </w:tcBorders>
            <w:shd w:val="clear" w:color="auto" w:fill="FFFFE7"/>
            <w:vAlign w:val="center"/>
          </w:tcPr>
          <w:p w:rsidR="00F70541" w:rsidRPr="00315335" w:rsidRDefault="00F70541" w:rsidP="00916B06">
            <w:pPr>
              <w:spacing w:after="0" w:line="240" w:lineRule="auto"/>
              <w:jc w:val="center"/>
              <w:rPr>
                <w:rFonts w:ascii="Arial" w:hAnsi="Arial" w:cs="Arial"/>
              </w:rPr>
            </w:pPr>
            <w:r w:rsidRPr="00315335">
              <w:rPr>
                <w:rFonts w:ascii="Arial" w:hAnsi="Arial" w:cs="Arial"/>
              </w:rPr>
              <w:t>-6,36</w:t>
            </w:r>
          </w:p>
        </w:tc>
      </w:tr>
    </w:tbl>
    <w:p w:rsidR="00F70541" w:rsidRPr="00315335" w:rsidRDefault="00F70541" w:rsidP="00F70541">
      <w:pPr>
        <w:spacing w:after="0" w:line="240" w:lineRule="auto"/>
        <w:jc w:val="both"/>
        <w:rPr>
          <w:rFonts w:ascii="Arial" w:hAnsi="Arial" w:cs="Arial"/>
          <w:sz w:val="24"/>
          <w:szCs w:val="24"/>
        </w:rPr>
      </w:pPr>
    </w:p>
    <w:p w:rsidR="00F70541" w:rsidRPr="00315335" w:rsidRDefault="00F70541" w:rsidP="00F70541">
      <w:pPr>
        <w:spacing w:after="0" w:line="240" w:lineRule="auto"/>
        <w:jc w:val="both"/>
        <w:rPr>
          <w:rFonts w:ascii="Arial" w:hAnsi="Arial" w:cs="Arial"/>
          <w:sz w:val="24"/>
          <w:szCs w:val="24"/>
        </w:rPr>
      </w:pPr>
    </w:p>
    <w:p w:rsidR="00F70541" w:rsidRPr="00315335" w:rsidRDefault="00F70541" w:rsidP="00F70541">
      <w:pPr>
        <w:spacing w:after="0" w:line="240" w:lineRule="auto"/>
        <w:jc w:val="center"/>
        <w:rPr>
          <w:rFonts w:ascii="Arial" w:hAnsi="Arial" w:cs="Arial"/>
          <w:sz w:val="24"/>
          <w:szCs w:val="24"/>
        </w:rPr>
      </w:pPr>
      <w:r w:rsidRPr="00315335">
        <w:rPr>
          <w:rFonts w:ascii="Arial" w:hAnsi="Arial" w:cs="Arial"/>
          <w:noProof/>
          <w:sz w:val="24"/>
          <w:szCs w:val="24"/>
        </w:rPr>
        <w:lastRenderedPageBreak/>
        <w:drawing>
          <wp:inline distT="0" distB="0" distL="0" distR="0" wp14:anchorId="24E22332" wp14:editId="126CF190">
            <wp:extent cx="4859164" cy="2794959"/>
            <wp:effectExtent l="19050" t="0" r="17636" b="5391"/>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70541" w:rsidRPr="00315335" w:rsidRDefault="00F70541" w:rsidP="00F70541">
      <w:pPr>
        <w:spacing w:after="0" w:line="240" w:lineRule="auto"/>
        <w:jc w:val="both"/>
        <w:rPr>
          <w:rFonts w:ascii="Arial" w:hAnsi="Arial" w:cs="Arial"/>
          <w:sz w:val="24"/>
          <w:szCs w:val="24"/>
        </w:rPr>
      </w:pPr>
      <w:r w:rsidRPr="00315335">
        <w:rPr>
          <w:rFonts w:ascii="Arial" w:hAnsi="Arial" w:cs="Arial"/>
          <w:bCs/>
          <w:sz w:val="24"/>
          <w:szCs w:val="24"/>
          <w:lang w:val="es-ES"/>
        </w:rPr>
        <w:t>Fig. IV.1.2-1</w:t>
      </w:r>
      <w:r w:rsidRPr="00315335">
        <w:rPr>
          <w:rFonts w:ascii="Arial" w:hAnsi="Arial" w:cs="Arial"/>
          <w:sz w:val="24"/>
          <w:szCs w:val="24"/>
        </w:rPr>
        <w:t xml:space="preserve"> Schimbări în acoperirea/utilizarea terenurilor, în perioada 2011-2015 (ha)</w:t>
      </w:r>
    </w:p>
    <w:p w:rsidR="00F70541" w:rsidRPr="00315335" w:rsidRDefault="00F70541" w:rsidP="00F70541">
      <w:pPr>
        <w:spacing w:after="0" w:line="240" w:lineRule="auto"/>
        <w:jc w:val="both"/>
        <w:rPr>
          <w:rFonts w:ascii="Arial" w:hAnsi="Arial" w:cs="Arial"/>
          <w:sz w:val="24"/>
          <w:szCs w:val="24"/>
        </w:rPr>
      </w:pPr>
    </w:p>
    <w:p w:rsidR="00F70541" w:rsidRPr="00315335" w:rsidRDefault="00F70541" w:rsidP="00F70541">
      <w:pPr>
        <w:spacing w:after="0" w:line="240" w:lineRule="auto"/>
        <w:jc w:val="center"/>
        <w:rPr>
          <w:rFonts w:ascii="Arial" w:hAnsi="Arial" w:cs="Arial"/>
          <w:sz w:val="24"/>
          <w:szCs w:val="24"/>
          <w:lang w:val="es-ES"/>
        </w:rPr>
      </w:pPr>
      <w:r w:rsidRPr="00315335">
        <w:rPr>
          <w:rFonts w:ascii="Arial" w:hAnsi="Arial" w:cs="Arial"/>
          <w:noProof/>
          <w:sz w:val="24"/>
          <w:szCs w:val="24"/>
        </w:rPr>
        <w:drawing>
          <wp:inline distT="0" distB="0" distL="0" distR="0" wp14:anchorId="787BC95C" wp14:editId="3FE8BEC7">
            <wp:extent cx="5199931" cy="2639683"/>
            <wp:effectExtent l="19050" t="0" r="19769" b="8267"/>
            <wp:docPr id="7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F70541" w:rsidRPr="00315335" w:rsidRDefault="00F70541" w:rsidP="00F70541">
      <w:pPr>
        <w:spacing w:after="0" w:line="240" w:lineRule="auto"/>
        <w:jc w:val="center"/>
        <w:rPr>
          <w:rFonts w:ascii="Arial" w:hAnsi="Arial" w:cs="Arial"/>
          <w:sz w:val="24"/>
          <w:szCs w:val="24"/>
          <w:lang w:val="es-ES"/>
        </w:rPr>
      </w:pPr>
    </w:p>
    <w:p w:rsidR="00F70541" w:rsidRPr="00315335" w:rsidRDefault="00F70541" w:rsidP="00F70541">
      <w:pPr>
        <w:spacing w:after="0" w:line="240" w:lineRule="auto"/>
        <w:jc w:val="both"/>
        <w:rPr>
          <w:rFonts w:ascii="Arial" w:hAnsi="Arial" w:cs="Arial"/>
          <w:sz w:val="24"/>
          <w:szCs w:val="24"/>
        </w:rPr>
      </w:pPr>
      <w:r w:rsidRPr="00315335">
        <w:rPr>
          <w:rFonts w:ascii="Arial" w:hAnsi="Arial" w:cs="Arial"/>
          <w:bCs/>
          <w:sz w:val="24"/>
          <w:szCs w:val="24"/>
          <w:lang w:val="es-ES"/>
        </w:rPr>
        <w:t>Fig. IV.1.2-2</w:t>
      </w:r>
      <w:r w:rsidRPr="00315335">
        <w:rPr>
          <w:rFonts w:ascii="Arial" w:hAnsi="Arial" w:cs="Arial"/>
          <w:sz w:val="24"/>
          <w:szCs w:val="24"/>
        </w:rPr>
        <w:t xml:space="preserve"> Schimbări în acoperirea/utilizarea terenurilor, în perioada 2011-2015 (% din anul 2011)</w:t>
      </w:r>
    </w:p>
    <w:p w:rsidR="00F70541" w:rsidRPr="00315335" w:rsidRDefault="00F70541" w:rsidP="00F70541">
      <w:pPr>
        <w:pStyle w:val="Subsol"/>
        <w:jc w:val="both"/>
        <w:rPr>
          <w:rFonts w:ascii="Arial" w:hAnsi="Arial" w:cs="Arial"/>
          <w:b/>
          <w:sz w:val="24"/>
          <w:szCs w:val="24"/>
        </w:rPr>
      </w:pPr>
    </w:p>
    <w:p w:rsidR="00F70541" w:rsidRPr="00315335" w:rsidRDefault="00F70541" w:rsidP="00F70541">
      <w:pPr>
        <w:pStyle w:val="Subsol"/>
        <w:jc w:val="center"/>
        <w:rPr>
          <w:rFonts w:ascii="Arial" w:hAnsi="Arial" w:cs="Arial"/>
          <w:b/>
          <w:sz w:val="24"/>
          <w:szCs w:val="24"/>
        </w:rPr>
      </w:pPr>
      <w:r w:rsidRPr="00315335">
        <w:rPr>
          <w:rFonts w:ascii="Arial" w:hAnsi="Arial" w:cs="Arial"/>
          <w:b/>
          <w:noProof/>
          <w:sz w:val="24"/>
          <w:szCs w:val="24"/>
        </w:rPr>
        <w:lastRenderedPageBreak/>
        <w:drawing>
          <wp:inline distT="0" distB="0" distL="0" distR="0" wp14:anchorId="5EEBAD2F" wp14:editId="125FDC90">
            <wp:extent cx="2810510" cy="4839335"/>
            <wp:effectExtent l="19050" t="0" r="27940" b="0"/>
            <wp:docPr id="7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315335">
        <w:rPr>
          <w:rFonts w:ascii="Arial" w:hAnsi="Arial" w:cs="Arial"/>
          <w:b/>
          <w:noProof/>
          <w:sz w:val="24"/>
          <w:szCs w:val="24"/>
        </w:rPr>
        <w:drawing>
          <wp:inline distT="0" distB="0" distL="0" distR="0" wp14:anchorId="029D36CA" wp14:editId="644B98E1">
            <wp:extent cx="2810510" cy="4829810"/>
            <wp:effectExtent l="19050" t="0" r="27940" b="8890"/>
            <wp:docPr id="7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70541" w:rsidRPr="00315335" w:rsidRDefault="00F70541" w:rsidP="00F70541">
      <w:pPr>
        <w:pStyle w:val="Subsol"/>
        <w:jc w:val="both"/>
        <w:rPr>
          <w:rFonts w:ascii="Arial" w:hAnsi="Arial" w:cs="Arial"/>
          <w:b/>
          <w:sz w:val="24"/>
          <w:szCs w:val="24"/>
        </w:rPr>
      </w:pPr>
    </w:p>
    <w:p w:rsidR="00F70541" w:rsidRPr="00315335" w:rsidRDefault="00F70541" w:rsidP="00F70541">
      <w:pPr>
        <w:pStyle w:val="Subsol"/>
        <w:rPr>
          <w:rFonts w:ascii="Arial" w:hAnsi="Arial" w:cs="Arial"/>
          <w:sz w:val="24"/>
          <w:szCs w:val="24"/>
        </w:rPr>
      </w:pPr>
      <w:r w:rsidRPr="00315335">
        <w:rPr>
          <w:rFonts w:ascii="Arial" w:hAnsi="Arial" w:cs="Arial"/>
          <w:sz w:val="24"/>
          <w:szCs w:val="24"/>
          <w:lang w:val="it-IT"/>
        </w:rPr>
        <w:t>Fig. nr. IV.1.2- 3 -</w:t>
      </w:r>
      <w:r w:rsidRPr="00315335">
        <w:rPr>
          <w:rFonts w:ascii="Arial" w:hAnsi="Arial" w:cs="Arial"/>
          <w:bCs/>
          <w:iCs/>
          <w:sz w:val="24"/>
          <w:szCs w:val="24"/>
        </w:rPr>
        <w:t>Evoluţia suprafeţei agricole la nivelul județului Brăila în perioada 2011 – 2015 (ha și respectiv- procente din anul 2011).</w:t>
      </w: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p>
    <w:p w:rsidR="00F70541" w:rsidRPr="00315335" w:rsidRDefault="00F70541" w:rsidP="00F70541">
      <w:pPr>
        <w:pStyle w:val="Indentcorptext"/>
        <w:tabs>
          <w:tab w:val="left" w:pos="2478"/>
        </w:tabs>
        <w:spacing w:after="0" w:line="240" w:lineRule="auto"/>
        <w:ind w:left="0"/>
        <w:jc w:val="center"/>
        <w:rPr>
          <w:rFonts w:ascii="Arial" w:hAnsi="Arial" w:cs="Arial"/>
          <w:b/>
          <w:sz w:val="24"/>
          <w:szCs w:val="24"/>
          <w:lang w:val="ro-RO"/>
        </w:rPr>
      </w:pPr>
      <w:r w:rsidRPr="00315335">
        <w:rPr>
          <w:rFonts w:ascii="Arial" w:hAnsi="Arial" w:cs="Arial"/>
          <w:b/>
          <w:noProof/>
          <w:sz w:val="24"/>
          <w:szCs w:val="24"/>
          <w:lang w:val="ro-RO" w:eastAsia="ro-RO"/>
        </w:rPr>
        <w:drawing>
          <wp:inline distT="0" distB="0" distL="0" distR="0" wp14:anchorId="4334E41B" wp14:editId="5F1FADA8">
            <wp:extent cx="5475078" cy="2372265"/>
            <wp:effectExtent l="19050" t="0" r="11322" b="8985"/>
            <wp:docPr id="7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p>
    <w:p w:rsidR="00F70541" w:rsidRPr="00315335" w:rsidRDefault="00F70541" w:rsidP="00F70541">
      <w:pPr>
        <w:pStyle w:val="Subsol"/>
        <w:rPr>
          <w:rFonts w:ascii="Arial" w:hAnsi="Arial" w:cs="Arial"/>
          <w:sz w:val="24"/>
          <w:szCs w:val="24"/>
        </w:rPr>
      </w:pPr>
      <w:r w:rsidRPr="00315335">
        <w:rPr>
          <w:rFonts w:ascii="Arial" w:hAnsi="Arial" w:cs="Arial"/>
          <w:sz w:val="24"/>
          <w:szCs w:val="24"/>
          <w:lang w:val="it-IT"/>
        </w:rPr>
        <w:t xml:space="preserve">Fig. nr. IV.1.2- 4 - </w:t>
      </w:r>
      <w:r w:rsidRPr="00315335">
        <w:rPr>
          <w:rFonts w:ascii="Arial" w:hAnsi="Arial" w:cs="Arial"/>
          <w:bCs/>
          <w:iCs/>
          <w:sz w:val="24"/>
          <w:szCs w:val="24"/>
        </w:rPr>
        <w:t>Evoluţia suprafeţei terenurilor cu altă destinație decât agricolă la nivelul județului Brăila în perioada 2011 - 2015</w:t>
      </w:r>
    </w:p>
    <w:p w:rsidR="00F70541" w:rsidRPr="00315335" w:rsidRDefault="00F70541" w:rsidP="00F70541">
      <w:pPr>
        <w:pStyle w:val="Indentcorptext"/>
        <w:tabs>
          <w:tab w:val="left" w:pos="2478"/>
        </w:tabs>
        <w:spacing w:after="0" w:line="240" w:lineRule="auto"/>
        <w:ind w:left="0"/>
        <w:jc w:val="both"/>
        <w:rPr>
          <w:rFonts w:ascii="Arial" w:hAnsi="Arial" w:cs="Arial"/>
          <w:sz w:val="24"/>
          <w:szCs w:val="24"/>
          <w:lang w:val="ro-RO"/>
        </w:rPr>
      </w:pPr>
    </w:p>
    <w:p w:rsidR="00F70541" w:rsidRPr="00315335" w:rsidRDefault="00F70541" w:rsidP="00F70541">
      <w:pPr>
        <w:pStyle w:val="Indentcorptext"/>
        <w:tabs>
          <w:tab w:val="left" w:pos="2478"/>
        </w:tabs>
        <w:spacing w:after="0" w:line="240" w:lineRule="auto"/>
        <w:ind w:left="0" w:firstLine="709"/>
        <w:jc w:val="both"/>
        <w:rPr>
          <w:rFonts w:ascii="Arial" w:hAnsi="Arial" w:cs="Arial"/>
          <w:sz w:val="24"/>
          <w:szCs w:val="24"/>
          <w:lang w:val="ro-RO"/>
        </w:rPr>
      </w:pPr>
      <w:r w:rsidRPr="00315335">
        <w:rPr>
          <w:rFonts w:ascii="Arial" w:hAnsi="Arial" w:cs="Arial"/>
          <w:sz w:val="24"/>
          <w:szCs w:val="24"/>
          <w:lang w:val="ro-RO"/>
        </w:rPr>
        <w:t xml:space="preserve">În ceea ce privește utilizarea terenurilor cu altă destinație decât agricolă în perioada analizată se constată </w:t>
      </w:r>
    </w:p>
    <w:p w:rsidR="00F70541" w:rsidRPr="00315335" w:rsidRDefault="00F70541" w:rsidP="00E14739">
      <w:pPr>
        <w:pStyle w:val="Indentcorptext"/>
        <w:numPr>
          <w:ilvl w:val="0"/>
          <w:numId w:val="26"/>
        </w:numPr>
        <w:tabs>
          <w:tab w:val="left" w:pos="2478"/>
        </w:tabs>
        <w:spacing w:after="0" w:line="240" w:lineRule="auto"/>
        <w:jc w:val="both"/>
        <w:rPr>
          <w:rFonts w:ascii="Arial" w:hAnsi="Arial" w:cs="Arial"/>
          <w:b/>
          <w:sz w:val="24"/>
          <w:szCs w:val="24"/>
          <w:lang w:val="ro-RO"/>
        </w:rPr>
      </w:pPr>
      <w:r w:rsidRPr="00315335">
        <w:rPr>
          <w:rFonts w:ascii="Arial" w:hAnsi="Arial" w:cs="Arial"/>
          <w:sz w:val="24"/>
          <w:szCs w:val="24"/>
          <w:lang w:val="ro-RO"/>
        </w:rPr>
        <w:t>ușoară scădere a terenurilor neproductive în ultimii doi ani, după ce în perioada 2011-2012 se observă o ușoară creștere a acestora;</w:t>
      </w:r>
    </w:p>
    <w:p w:rsidR="00F70541" w:rsidRPr="00315335" w:rsidRDefault="00F70541" w:rsidP="00E14739">
      <w:pPr>
        <w:pStyle w:val="Indentcorptext"/>
        <w:numPr>
          <w:ilvl w:val="0"/>
          <w:numId w:val="26"/>
        </w:numPr>
        <w:tabs>
          <w:tab w:val="left" w:pos="2478"/>
        </w:tabs>
        <w:spacing w:after="0" w:line="240" w:lineRule="auto"/>
        <w:jc w:val="both"/>
        <w:rPr>
          <w:rFonts w:ascii="Arial" w:hAnsi="Arial" w:cs="Arial"/>
          <w:b/>
          <w:sz w:val="24"/>
          <w:szCs w:val="24"/>
          <w:lang w:val="ro-RO"/>
        </w:rPr>
      </w:pPr>
      <w:r w:rsidRPr="00315335">
        <w:rPr>
          <w:rFonts w:ascii="Arial" w:hAnsi="Arial" w:cs="Arial"/>
          <w:sz w:val="24"/>
          <w:szCs w:val="24"/>
          <w:lang w:val="ro-RO"/>
        </w:rPr>
        <w:t>o ușoară scădere a terenurilor ocupate de ape.</w:t>
      </w:r>
    </w:p>
    <w:p w:rsidR="00F70541" w:rsidRPr="00315335" w:rsidRDefault="00F70541" w:rsidP="00F70541">
      <w:pPr>
        <w:pStyle w:val="Subsol"/>
        <w:rPr>
          <w:rFonts w:ascii="Arial" w:hAnsi="Arial" w:cs="Arial"/>
          <w:b/>
          <w:sz w:val="24"/>
          <w:szCs w:val="24"/>
          <w:lang w:val="it-IT"/>
        </w:rPr>
      </w:pPr>
    </w:p>
    <w:p w:rsidR="00F70541" w:rsidRPr="00315335" w:rsidRDefault="00F70541" w:rsidP="00F70541">
      <w:pPr>
        <w:pStyle w:val="Subsol"/>
        <w:rPr>
          <w:rFonts w:ascii="Arial" w:hAnsi="Arial" w:cs="Arial"/>
          <w:b/>
          <w:sz w:val="24"/>
          <w:szCs w:val="24"/>
          <w:lang w:val="it-IT"/>
        </w:rPr>
      </w:pPr>
    </w:p>
    <w:p w:rsidR="00F70541" w:rsidRPr="00315335" w:rsidRDefault="00F70541" w:rsidP="00F70541">
      <w:pPr>
        <w:pStyle w:val="Indentcorptext"/>
        <w:tabs>
          <w:tab w:val="left" w:pos="2478"/>
        </w:tabs>
        <w:spacing w:after="0" w:line="240" w:lineRule="auto"/>
        <w:ind w:left="0"/>
        <w:jc w:val="center"/>
        <w:rPr>
          <w:rFonts w:ascii="Arial" w:hAnsi="Arial" w:cs="Arial"/>
          <w:b/>
          <w:sz w:val="24"/>
          <w:szCs w:val="24"/>
          <w:lang w:val="ro-RO"/>
        </w:rPr>
      </w:pPr>
      <w:r w:rsidRPr="00315335">
        <w:rPr>
          <w:rFonts w:ascii="Arial" w:hAnsi="Arial" w:cs="Arial"/>
          <w:b/>
          <w:noProof/>
          <w:sz w:val="24"/>
          <w:szCs w:val="24"/>
          <w:lang w:val="ro-RO" w:eastAsia="ro-RO"/>
        </w:rPr>
        <w:lastRenderedPageBreak/>
        <w:drawing>
          <wp:inline distT="0" distB="0" distL="0" distR="0" wp14:anchorId="5D55FBAB" wp14:editId="46A4AFB4">
            <wp:extent cx="5032591" cy="2320506"/>
            <wp:effectExtent l="19050" t="0" r="15659" b="3594"/>
            <wp:docPr id="7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70541" w:rsidRPr="00315335" w:rsidRDefault="00F70541" w:rsidP="00F70541">
      <w:pPr>
        <w:pStyle w:val="Subsol"/>
        <w:rPr>
          <w:rFonts w:ascii="Arial" w:hAnsi="Arial" w:cs="Arial"/>
          <w:b/>
          <w:sz w:val="24"/>
          <w:szCs w:val="24"/>
          <w:lang w:val="it-IT"/>
        </w:rPr>
      </w:pPr>
    </w:p>
    <w:p w:rsidR="00F70541" w:rsidRPr="00315335" w:rsidRDefault="00F70541" w:rsidP="00F70541">
      <w:pPr>
        <w:pStyle w:val="Subsol"/>
        <w:rPr>
          <w:rFonts w:ascii="Arial" w:hAnsi="Arial" w:cs="Arial"/>
          <w:bCs/>
          <w:iCs/>
          <w:sz w:val="24"/>
          <w:szCs w:val="24"/>
        </w:rPr>
      </w:pPr>
      <w:r w:rsidRPr="00315335">
        <w:rPr>
          <w:rFonts w:ascii="Arial" w:hAnsi="Arial" w:cs="Arial"/>
          <w:sz w:val="24"/>
          <w:szCs w:val="24"/>
          <w:lang w:val="it-IT"/>
        </w:rPr>
        <w:t xml:space="preserve">Fig. nr. IV.1.2.5 - </w:t>
      </w:r>
      <w:r w:rsidRPr="00315335">
        <w:rPr>
          <w:rFonts w:ascii="Arial" w:hAnsi="Arial" w:cs="Arial"/>
          <w:bCs/>
          <w:iCs/>
          <w:sz w:val="24"/>
          <w:szCs w:val="24"/>
        </w:rPr>
        <w:t>Evoluţia suprafeţei terenurilor urbane și artificiale la nivelul județului Brăila în perioada 2011 – 2015</w:t>
      </w:r>
    </w:p>
    <w:p w:rsidR="00F70541" w:rsidRPr="00315335" w:rsidRDefault="00F70541" w:rsidP="00F70541">
      <w:pPr>
        <w:pStyle w:val="Subsol"/>
        <w:rPr>
          <w:rFonts w:ascii="Arial" w:hAnsi="Arial" w:cs="Arial"/>
          <w:b/>
          <w:sz w:val="24"/>
          <w:szCs w:val="24"/>
        </w:rPr>
      </w:pPr>
    </w:p>
    <w:p w:rsidR="00F70541" w:rsidRPr="00315335" w:rsidRDefault="00F70541" w:rsidP="00F70541">
      <w:pPr>
        <w:pStyle w:val="Indentcorptext"/>
        <w:tabs>
          <w:tab w:val="left" w:pos="2478"/>
        </w:tabs>
        <w:spacing w:after="0" w:line="240" w:lineRule="auto"/>
        <w:ind w:left="0" w:firstLine="709"/>
        <w:jc w:val="both"/>
        <w:rPr>
          <w:rFonts w:ascii="Arial" w:hAnsi="Arial" w:cs="Arial"/>
          <w:sz w:val="24"/>
          <w:szCs w:val="24"/>
          <w:lang w:val="ro-RO"/>
        </w:rPr>
      </w:pPr>
      <w:r w:rsidRPr="00315335">
        <w:rPr>
          <w:rFonts w:ascii="Arial" w:hAnsi="Arial" w:cs="Arial"/>
          <w:sz w:val="24"/>
          <w:szCs w:val="24"/>
          <w:lang w:val="ro-RO"/>
        </w:rPr>
        <w:t>În ceea ce privește terenurile urbane și artificiale (curți și construcții și drumuri și căi ferate) se constată o ușoară creștere a acestora în perioada 2011 – 2014 iar în 2015 o creștere accentuată a terenurilor curți construcții și o scădere ușoară a terenurilor drumuri și căi ferate.</w:t>
      </w: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r w:rsidRPr="00315335">
        <w:rPr>
          <w:rFonts w:ascii="Arial" w:hAnsi="Arial" w:cs="Arial"/>
          <w:b/>
          <w:sz w:val="24"/>
          <w:szCs w:val="24"/>
          <w:lang w:val="ro-RO"/>
        </w:rPr>
        <w:t xml:space="preserve"> IV.2. Impactul schimbării utilizării terenurilor asupra mediului</w:t>
      </w: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r w:rsidRPr="00315335">
        <w:rPr>
          <w:rFonts w:ascii="Arial" w:hAnsi="Arial" w:cs="Arial"/>
          <w:b/>
          <w:sz w:val="24"/>
          <w:szCs w:val="24"/>
          <w:lang w:val="ro-RO"/>
        </w:rPr>
        <w:t xml:space="preserve">  IV.2.1. </w:t>
      </w:r>
      <w:r w:rsidRPr="00315335">
        <w:rPr>
          <w:rFonts w:ascii="Arial" w:hAnsi="Arial" w:cs="Arial"/>
          <w:b/>
          <w:i/>
          <w:sz w:val="24"/>
          <w:szCs w:val="24"/>
          <w:lang w:val="ro-RO"/>
        </w:rPr>
        <w:t>Impactul schimbării utilizării terenurilor asupra terenurilor agricole</w:t>
      </w:r>
    </w:p>
    <w:p w:rsidR="00F70541" w:rsidRPr="00315335" w:rsidRDefault="00F70541" w:rsidP="00F70541">
      <w:pPr>
        <w:pStyle w:val="Indentcorptext"/>
        <w:tabs>
          <w:tab w:val="left" w:pos="2478"/>
        </w:tabs>
        <w:spacing w:after="0" w:line="240" w:lineRule="auto"/>
        <w:ind w:left="0" w:firstLine="709"/>
        <w:jc w:val="both"/>
        <w:rPr>
          <w:rFonts w:ascii="Arial" w:hAnsi="Arial" w:cs="Arial"/>
          <w:sz w:val="24"/>
          <w:szCs w:val="24"/>
          <w:lang w:val="ro-RO"/>
        </w:rPr>
      </w:pPr>
      <w:r w:rsidRPr="00315335">
        <w:rPr>
          <w:rFonts w:ascii="Arial" w:hAnsi="Arial" w:cs="Arial"/>
          <w:sz w:val="24"/>
          <w:szCs w:val="24"/>
          <w:lang w:val="ro-RO"/>
        </w:rPr>
        <w:t>Din datele furnizate de Direcţia pentru Agricultură Judeţeană Brăila, conform graficului de mai jos (figura IV.2.1.-1) se constată că în 2011-2017 suprafața terenurilor agricole din județul Brăila a crescut ușor în timp ce în ultimul  an aceasta a crescut într-o măsură mai mare.</w:t>
      </w:r>
    </w:p>
    <w:p w:rsidR="00F70541" w:rsidRPr="00315335" w:rsidRDefault="00F70541" w:rsidP="00F70541">
      <w:pPr>
        <w:pStyle w:val="Indentcorptext"/>
        <w:tabs>
          <w:tab w:val="left" w:pos="2478"/>
        </w:tabs>
        <w:spacing w:after="0" w:line="240" w:lineRule="auto"/>
        <w:ind w:left="0" w:firstLine="709"/>
        <w:jc w:val="both"/>
        <w:rPr>
          <w:rFonts w:ascii="Arial" w:hAnsi="Arial" w:cs="Arial"/>
          <w:sz w:val="24"/>
          <w:szCs w:val="24"/>
          <w:lang w:val="ro-RO"/>
        </w:rPr>
      </w:pPr>
    </w:p>
    <w:p w:rsidR="00F70541" w:rsidRPr="00315335" w:rsidRDefault="00F70541" w:rsidP="00F70541">
      <w:pPr>
        <w:pStyle w:val="Indentcorptext"/>
        <w:tabs>
          <w:tab w:val="left" w:pos="2478"/>
        </w:tabs>
        <w:spacing w:after="0" w:line="240" w:lineRule="auto"/>
        <w:ind w:left="0" w:firstLine="709"/>
        <w:jc w:val="both"/>
        <w:rPr>
          <w:rFonts w:ascii="Arial" w:hAnsi="Arial" w:cs="Arial"/>
          <w:sz w:val="24"/>
          <w:szCs w:val="24"/>
          <w:lang w:val="ro-RO"/>
        </w:rPr>
      </w:pPr>
      <w:r w:rsidRPr="00315335">
        <w:rPr>
          <w:rFonts w:ascii="Arial" w:hAnsi="Arial" w:cs="Arial"/>
          <w:noProof/>
          <w:sz w:val="24"/>
          <w:szCs w:val="24"/>
          <w:lang w:val="ro-RO" w:eastAsia="ro-RO"/>
        </w:rPr>
        <w:drawing>
          <wp:inline distT="0" distB="0" distL="0" distR="0" wp14:anchorId="36F56B67" wp14:editId="00260E30">
            <wp:extent cx="5615796" cy="2147977"/>
            <wp:effectExtent l="0" t="0" r="4445" b="5080"/>
            <wp:docPr id="57"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70541" w:rsidRPr="00315335" w:rsidRDefault="00F70541" w:rsidP="00F70541">
      <w:pPr>
        <w:pStyle w:val="Subsol"/>
        <w:rPr>
          <w:rFonts w:ascii="Arial" w:hAnsi="Arial" w:cs="Arial"/>
          <w:bCs/>
          <w:iCs/>
          <w:sz w:val="24"/>
          <w:szCs w:val="24"/>
        </w:rPr>
      </w:pPr>
      <w:r w:rsidRPr="00315335">
        <w:rPr>
          <w:rFonts w:ascii="Arial" w:hAnsi="Arial" w:cs="Arial"/>
          <w:sz w:val="24"/>
          <w:szCs w:val="24"/>
          <w:lang w:val="it-IT"/>
        </w:rPr>
        <w:t>Fig. nr. IV.2.1-1 -</w:t>
      </w:r>
      <w:r w:rsidRPr="00315335">
        <w:rPr>
          <w:rFonts w:ascii="Arial" w:hAnsi="Arial" w:cs="Arial"/>
          <w:bCs/>
          <w:iCs/>
          <w:sz w:val="24"/>
          <w:szCs w:val="24"/>
        </w:rPr>
        <w:t>Evoluţia suprafeţei agricole la nivelul județului Brăila în perioada 2011 – 2018</w:t>
      </w:r>
    </w:p>
    <w:p w:rsidR="00F70541" w:rsidRPr="00315335" w:rsidRDefault="00F70541" w:rsidP="00F70541">
      <w:pPr>
        <w:pStyle w:val="Indentcorptext"/>
        <w:tabs>
          <w:tab w:val="left" w:pos="2478"/>
        </w:tabs>
        <w:spacing w:after="0" w:line="240" w:lineRule="auto"/>
        <w:ind w:left="0" w:firstLine="709"/>
        <w:jc w:val="both"/>
        <w:rPr>
          <w:rFonts w:ascii="Arial" w:hAnsi="Arial" w:cs="Arial"/>
          <w:sz w:val="24"/>
          <w:szCs w:val="24"/>
          <w:lang w:val="ro-RO"/>
        </w:rPr>
      </w:pPr>
    </w:p>
    <w:p w:rsidR="00F70541" w:rsidRPr="00315335" w:rsidRDefault="00F70541" w:rsidP="00F70541">
      <w:pPr>
        <w:pStyle w:val="Indentcorptext"/>
        <w:tabs>
          <w:tab w:val="left" w:pos="2478"/>
        </w:tabs>
        <w:spacing w:after="0" w:line="240" w:lineRule="auto"/>
        <w:ind w:left="0" w:firstLine="709"/>
        <w:jc w:val="both"/>
        <w:rPr>
          <w:rFonts w:ascii="Arial" w:hAnsi="Arial" w:cs="Arial"/>
          <w:sz w:val="24"/>
          <w:szCs w:val="24"/>
          <w:lang w:val="ro-RO"/>
        </w:rPr>
      </w:pPr>
      <w:r w:rsidRPr="00315335">
        <w:rPr>
          <w:rFonts w:ascii="Arial" w:hAnsi="Arial" w:cs="Arial"/>
          <w:sz w:val="24"/>
          <w:szCs w:val="24"/>
          <w:lang w:val="ro-RO"/>
        </w:rPr>
        <w:t>Ponderea terenurilor agricole convertite în suprafețe artificiale în perioada 2011-2015 este reprezentată în tabelul de mai jos:</w:t>
      </w:r>
    </w:p>
    <w:p w:rsidR="00F70541" w:rsidRPr="00315335" w:rsidRDefault="00F70541" w:rsidP="00F70541">
      <w:pPr>
        <w:pStyle w:val="Indentcorptext"/>
        <w:tabs>
          <w:tab w:val="left" w:pos="2478"/>
        </w:tabs>
        <w:spacing w:after="0" w:line="240" w:lineRule="auto"/>
        <w:ind w:left="0" w:firstLine="851"/>
        <w:rPr>
          <w:rFonts w:ascii="Arial" w:hAnsi="Arial" w:cs="Arial"/>
          <w:sz w:val="24"/>
          <w:szCs w:val="24"/>
          <w:lang w:val="ro-RO"/>
        </w:rPr>
      </w:pPr>
      <w:r w:rsidRPr="00315335">
        <w:rPr>
          <w:rFonts w:ascii="Arial" w:hAnsi="Arial" w:cs="Arial"/>
          <w:sz w:val="24"/>
          <w:szCs w:val="24"/>
        </w:rPr>
        <w:t>Tabel IV.2.1-1</w:t>
      </w:r>
    </w:p>
    <w:tbl>
      <w:tblPr>
        <w:tblpPr w:leftFromText="180" w:rightFromText="180" w:vertAnchor="text" w:horzAnchor="margin" w:tblpXSpec="center" w:tblpY="198"/>
        <w:tblOverlap w:val="never"/>
        <w:tblW w:w="3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272"/>
        <w:gridCol w:w="1274"/>
        <w:gridCol w:w="1269"/>
        <w:gridCol w:w="1219"/>
        <w:gridCol w:w="1219"/>
      </w:tblGrid>
      <w:tr w:rsidR="00315335" w:rsidRPr="00315335" w:rsidTr="00916B06">
        <w:trPr>
          <w:trHeight w:val="1125"/>
        </w:trPr>
        <w:tc>
          <w:tcPr>
            <w:tcW w:w="1152" w:type="pct"/>
            <w:tcBorders>
              <w:top w:val="single" w:sz="4" w:space="0" w:color="auto"/>
              <w:left w:val="single" w:sz="4" w:space="0" w:color="auto"/>
              <w:bottom w:val="single" w:sz="4" w:space="0" w:color="auto"/>
              <w:right w:val="single" w:sz="4" w:space="0" w:color="auto"/>
              <w:tl2br w:val="single" w:sz="4" w:space="0" w:color="auto"/>
            </w:tcBorders>
            <w:shd w:val="clear" w:color="auto" w:fill="DBE6C4"/>
            <w:vAlign w:val="center"/>
            <w:hideMark/>
          </w:tcPr>
          <w:p w:rsidR="00F70541" w:rsidRPr="00315335" w:rsidRDefault="00F70541" w:rsidP="00916B06">
            <w:pPr>
              <w:spacing w:after="0" w:line="240" w:lineRule="auto"/>
              <w:jc w:val="center"/>
              <w:rPr>
                <w:rFonts w:ascii="Arial" w:eastAsia="Times New Roman" w:hAnsi="Arial" w:cs="Arial"/>
                <w:b/>
                <w:sz w:val="24"/>
                <w:szCs w:val="24"/>
              </w:rPr>
            </w:pPr>
            <w:r w:rsidRPr="00315335">
              <w:rPr>
                <w:rFonts w:ascii="Arial" w:eastAsia="Times New Roman" w:hAnsi="Arial" w:cs="Arial"/>
                <w:b/>
                <w:sz w:val="24"/>
                <w:szCs w:val="24"/>
              </w:rPr>
              <w:t>An</w:t>
            </w:r>
          </w:p>
          <w:p w:rsidR="00F70541" w:rsidRPr="00315335" w:rsidRDefault="00F70541" w:rsidP="00916B06">
            <w:pPr>
              <w:spacing w:after="0" w:line="240" w:lineRule="auto"/>
              <w:jc w:val="center"/>
              <w:rPr>
                <w:rFonts w:ascii="Arial" w:eastAsia="Times New Roman" w:hAnsi="Arial" w:cs="Arial"/>
                <w:b/>
                <w:sz w:val="24"/>
                <w:szCs w:val="24"/>
              </w:rPr>
            </w:pPr>
          </w:p>
          <w:p w:rsidR="00F70541" w:rsidRPr="00315335" w:rsidRDefault="00F70541" w:rsidP="00916B06">
            <w:pPr>
              <w:spacing w:after="0" w:line="240" w:lineRule="auto"/>
              <w:jc w:val="center"/>
              <w:rPr>
                <w:rFonts w:ascii="Arial" w:eastAsia="Times New Roman" w:hAnsi="Arial" w:cs="Arial"/>
                <w:b/>
                <w:sz w:val="24"/>
                <w:szCs w:val="24"/>
              </w:rPr>
            </w:pPr>
          </w:p>
          <w:p w:rsidR="00F70541" w:rsidRPr="00315335" w:rsidRDefault="00F70541" w:rsidP="00916B06">
            <w:pPr>
              <w:spacing w:after="0" w:line="240" w:lineRule="auto"/>
              <w:jc w:val="center"/>
              <w:rPr>
                <w:rFonts w:ascii="Arial" w:eastAsia="Times New Roman" w:hAnsi="Arial" w:cs="Arial"/>
                <w:b/>
                <w:sz w:val="24"/>
                <w:szCs w:val="24"/>
              </w:rPr>
            </w:pPr>
            <w:r w:rsidRPr="00315335">
              <w:rPr>
                <w:rFonts w:ascii="Arial" w:eastAsia="Times New Roman" w:hAnsi="Arial" w:cs="Arial"/>
                <w:b/>
                <w:sz w:val="24"/>
                <w:szCs w:val="24"/>
              </w:rPr>
              <w:t>Suprafața</w:t>
            </w:r>
          </w:p>
        </w:tc>
        <w:tc>
          <w:tcPr>
            <w:tcW w:w="783"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2011</w:t>
            </w:r>
          </w:p>
        </w:tc>
        <w:tc>
          <w:tcPr>
            <w:tcW w:w="784"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2012</w:t>
            </w:r>
          </w:p>
        </w:tc>
        <w:tc>
          <w:tcPr>
            <w:tcW w:w="781"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2013</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2014</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tcPr>
          <w:p w:rsidR="00F70541" w:rsidRPr="00315335" w:rsidRDefault="00F70541" w:rsidP="00916B06">
            <w:pPr>
              <w:spacing w:after="0" w:line="240" w:lineRule="auto"/>
              <w:jc w:val="center"/>
              <w:rPr>
                <w:rFonts w:ascii="Arial" w:hAnsi="Arial" w:cs="Arial"/>
                <w:b/>
                <w:sz w:val="24"/>
                <w:szCs w:val="24"/>
              </w:rPr>
            </w:pPr>
            <w:r w:rsidRPr="00315335">
              <w:rPr>
                <w:rFonts w:ascii="Arial" w:hAnsi="Arial" w:cs="Arial"/>
                <w:b/>
                <w:sz w:val="24"/>
                <w:szCs w:val="24"/>
              </w:rPr>
              <w:t>2015</w:t>
            </w:r>
          </w:p>
        </w:tc>
      </w:tr>
      <w:tr w:rsidR="00315335" w:rsidRPr="00315335" w:rsidTr="00916B06">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rPr>
                <w:rFonts w:ascii="Arial" w:hAnsi="Arial" w:cs="Arial"/>
                <w:sz w:val="24"/>
                <w:szCs w:val="24"/>
              </w:rPr>
            </w:pPr>
            <w:r w:rsidRPr="00315335">
              <w:rPr>
                <w:rFonts w:ascii="Arial" w:hAnsi="Arial" w:cs="Arial"/>
                <w:sz w:val="24"/>
                <w:szCs w:val="24"/>
              </w:rPr>
              <w:t>Terenuri agricole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jc w:val="center"/>
              <w:rPr>
                <w:rFonts w:ascii="Arial" w:hAnsi="Arial" w:cs="Arial"/>
                <w:sz w:val="24"/>
                <w:szCs w:val="24"/>
              </w:rPr>
            </w:pPr>
            <w:r w:rsidRPr="00315335">
              <w:rPr>
                <w:rFonts w:ascii="Arial" w:hAnsi="Arial" w:cs="Arial"/>
                <w:sz w:val="24"/>
                <w:szCs w:val="24"/>
              </w:rPr>
              <w:t>387.363</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jc w:val="center"/>
              <w:rPr>
                <w:rFonts w:ascii="Arial" w:hAnsi="Arial" w:cs="Arial"/>
                <w:sz w:val="24"/>
                <w:szCs w:val="24"/>
              </w:rPr>
            </w:pPr>
            <w:r w:rsidRPr="00315335">
              <w:rPr>
                <w:rFonts w:ascii="Arial" w:hAnsi="Arial" w:cs="Arial"/>
                <w:sz w:val="24"/>
                <w:szCs w:val="24"/>
              </w:rPr>
              <w:t>387.160</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jc w:val="center"/>
              <w:rPr>
                <w:rFonts w:ascii="Arial" w:hAnsi="Arial" w:cs="Arial"/>
                <w:sz w:val="24"/>
                <w:szCs w:val="24"/>
              </w:rPr>
            </w:pPr>
            <w:r w:rsidRPr="00315335">
              <w:rPr>
                <w:rFonts w:ascii="Arial" w:hAnsi="Arial" w:cs="Arial"/>
                <w:sz w:val="24"/>
                <w:szCs w:val="24"/>
              </w:rPr>
              <w:t>387.598</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387.750</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389.907</w:t>
            </w:r>
          </w:p>
        </w:tc>
      </w:tr>
      <w:tr w:rsidR="00315335" w:rsidRPr="00315335" w:rsidTr="00916B06">
        <w:trPr>
          <w:trHeight w:val="1888"/>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spacing w:after="0" w:line="240" w:lineRule="auto"/>
              <w:rPr>
                <w:rFonts w:ascii="Arial" w:hAnsi="Arial" w:cs="Arial"/>
                <w:sz w:val="24"/>
                <w:szCs w:val="24"/>
              </w:rPr>
            </w:pPr>
            <w:r w:rsidRPr="00315335">
              <w:rPr>
                <w:rFonts w:ascii="Arial" w:hAnsi="Arial" w:cs="Arial"/>
                <w:sz w:val="24"/>
                <w:szCs w:val="24"/>
              </w:rPr>
              <w:lastRenderedPageBreak/>
              <w:t>Suprafața scoasă din circuitul agricol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jc w:val="center"/>
              <w:rPr>
                <w:rFonts w:ascii="Arial" w:hAnsi="Arial" w:cs="Arial"/>
                <w:sz w:val="24"/>
                <w:szCs w:val="24"/>
              </w:rPr>
            </w:pPr>
            <w:r w:rsidRPr="00315335">
              <w:rPr>
                <w:rFonts w:ascii="Arial" w:hAnsi="Arial" w:cs="Arial"/>
                <w:sz w:val="24"/>
                <w:szCs w:val="24"/>
              </w:rPr>
              <w:t>51,01</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jc w:val="center"/>
              <w:rPr>
                <w:rFonts w:ascii="Arial" w:hAnsi="Arial" w:cs="Arial"/>
                <w:sz w:val="24"/>
                <w:szCs w:val="24"/>
              </w:rPr>
            </w:pPr>
            <w:r w:rsidRPr="00315335">
              <w:rPr>
                <w:rFonts w:ascii="Arial" w:hAnsi="Arial" w:cs="Arial"/>
                <w:sz w:val="24"/>
                <w:szCs w:val="24"/>
              </w:rPr>
              <w:t>10,45</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jc w:val="center"/>
              <w:rPr>
                <w:rFonts w:ascii="Arial" w:hAnsi="Arial" w:cs="Arial"/>
                <w:sz w:val="24"/>
                <w:szCs w:val="24"/>
              </w:rPr>
            </w:pPr>
            <w:r w:rsidRPr="00315335">
              <w:rPr>
                <w:rFonts w:ascii="Arial" w:hAnsi="Arial" w:cs="Arial"/>
                <w:sz w:val="24"/>
                <w:szCs w:val="24"/>
              </w:rPr>
              <w:t>10,45</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10,52</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7,4</w:t>
            </w:r>
          </w:p>
        </w:tc>
      </w:tr>
      <w:tr w:rsidR="00315335" w:rsidRPr="00315335" w:rsidTr="00916B06">
        <w:trPr>
          <w:trHeight w:val="629"/>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spacing w:after="0" w:line="240" w:lineRule="auto"/>
              <w:rPr>
                <w:rFonts w:ascii="Arial" w:hAnsi="Arial" w:cs="Arial"/>
                <w:sz w:val="24"/>
                <w:szCs w:val="24"/>
              </w:rPr>
            </w:pPr>
            <w:r w:rsidRPr="00315335">
              <w:rPr>
                <w:rFonts w:ascii="Arial" w:hAnsi="Arial" w:cs="Arial"/>
                <w:sz w:val="24"/>
                <w:szCs w:val="24"/>
              </w:rPr>
              <w:t>% Suprafață scoasă din circuit agricol din suprafața teren agricol</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jc w:val="center"/>
              <w:rPr>
                <w:rFonts w:ascii="Arial" w:hAnsi="Arial" w:cs="Arial"/>
                <w:sz w:val="24"/>
                <w:szCs w:val="24"/>
              </w:rPr>
            </w:pPr>
            <w:r w:rsidRPr="00315335">
              <w:rPr>
                <w:rFonts w:ascii="Arial" w:hAnsi="Arial" w:cs="Arial"/>
                <w:sz w:val="24"/>
                <w:szCs w:val="24"/>
              </w:rPr>
              <w:t>0,013</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jc w:val="center"/>
              <w:rPr>
                <w:rFonts w:ascii="Arial" w:hAnsi="Arial" w:cs="Arial"/>
                <w:sz w:val="24"/>
                <w:szCs w:val="24"/>
              </w:rPr>
            </w:pPr>
            <w:r w:rsidRPr="00315335">
              <w:rPr>
                <w:rFonts w:ascii="Arial" w:hAnsi="Arial" w:cs="Arial"/>
                <w:sz w:val="24"/>
                <w:szCs w:val="24"/>
              </w:rPr>
              <w:t>0,003</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pStyle w:val="Indentcorptext"/>
              <w:spacing w:after="0" w:line="240" w:lineRule="auto"/>
              <w:ind w:left="0"/>
              <w:jc w:val="center"/>
              <w:rPr>
                <w:rFonts w:ascii="Arial" w:hAnsi="Arial" w:cs="Arial"/>
                <w:sz w:val="24"/>
                <w:szCs w:val="24"/>
              </w:rPr>
            </w:pPr>
            <w:r w:rsidRPr="00315335">
              <w:rPr>
                <w:rFonts w:ascii="Arial" w:hAnsi="Arial" w:cs="Arial"/>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0,002</w:t>
            </w:r>
          </w:p>
        </w:tc>
      </w:tr>
    </w:tbl>
    <w:p w:rsidR="00F70541" w:rsidRPr="00315335" w:rsidRDefault="00F70541" w:rsidP="00F70541">
      <w:pPr>
        <w:pStyle w:val="Indentcorptext"/>
        <w:tabs>
          <w:tab w:val="left" w:pos="2478"/>
        </w:tabs>
        <w:spacing w:after="0" w:line="240" w:lineRule="auto"/>
        <w:ind w:left="0" w:firstLine="851"/>
        <w:jc w:val="both"/>
        <w:rPr>
          <w:rFonts w:ascii="Arial" w:hAnsi="Arial" w:cs="Arial"/>
          <w:sz w:val="24"/>
          <w:szCs w:val="24"/>
          <w:lang w:val="ro-RO"/>
        </w:rPr>
      </w:pPr>
    </w:p>
    <w:p w:rsidR="00F70541" w:rsidRPr="00315335" w:rsidRDefault="00F70541" w:rsidP="00F70541">
      <w:pPr>
        <w:spacing w:after="0" w:line="240" w:lineRule="auto"/>
        <w:rPr>
          <w:rFonts w:ascii="Arial" w:hAnsi="Arial" w:cs="Arial"/>
          <w:sz w:val="24"/>
          <w:szCs w:val="24"/>
        </w:rPr>
      </w:pPr>
    </w:p>
    <w:p w:rsidR="00F70541" w:rsidRPr="00315335" w:rsidRDefault="00F70541" w:rsidP="00F70541">
      <w:pPr>
        <w:spacing w:after="0" w:line="240" w:lineRule="auto"/>
        <w:rPr>
          <w:rFonts w:ascii="Arial" w:hAnsi="Arial" w:cs="Arial"/>
          <w:sz w:val="24"/>
          <w:szCs w:val="24"/>
        </w:rPr>
      </w:pPr>
    </w:p>
    <w:p w:rsidR="00F70541" w:rsidRPr="00315335" w:rsidRDefault="00F70541" w:rsidP="00F70541">
      <w:pPr>
        <w:spacing w:after="0" w:line="240" w:lineRule="auto"/>
        <w:rPr>
          <w:rFonts w:ascii="Arial" w:hAnsi="Arial" w:cs="Arial"/>
          <w:sz w:val="24"/>
          <w:szCs w:val="24"/>
        </w:rPr>
      </w:pPr>
    </w:p>
    <w:p w:rsidR="00F70541" w:rsidRPr="00315335" w:rsidRDefault="00F70541" w:rsidP="00F70541">
      <w:pPr>
        <w:spacing w:after="0" w:line="240" w:lineRule="auto"/>
        <w:rPr>
          <w:rFonts w:ascii="Arial" w:hAnsi="Arial" w:cs="Arial"/>
          <w:sz w:val="24"/>
          <w:szCs w:val="24"/>
        </w:rPr>
      </w:pPr>
    </w:p>
    <w:p w:rsidR="00F70541" w:rsidRPr="00315335" w:rsidRDefault="00F70541" w:rsidP="00F70541">
      <w:pPr>
        <w:spacing w:after="0" w:line="240" w:lineRule="auto"/>
        <w:rPr>
          <w:rFonts w:ascii="Arial" w:hAnsi="Arial" w:cs="Arial"/>
          <w:sz w:val="24"/>
          <w:szCs w:val="24"/>
        </w:rPr>
      </w:pPr>
    </w:p>
    <w:p w:rsidR="00F70541" w:rsidRPr="00315335" w:rsidRDefault="00F70541" w:rsidP="00F70541">
      <w:pPr>
        <w:spacing w:after="0" w:line="240" w:lineRule="auto"/>
        <w:ind w:firstLine="708"/>
        <w:rPr>
          <w:rFonts w:ascii="Arial" w:eastAsia="Times New Roman" w:hAnsi="Arial" w:cs="Arial"/>
          <w:sz w:val="24"/>
          <w:szCs w:val="24"/>
        </w:rPr>
      </w:pPr>
    </w:p>
    <w:p w:rsidR="00F70541" w:rsidRPr="00315335" w:rsidRDefault="00F70541" w:rsidP="00F70541">
      <w:pPr>
        <w:spacing w:after="0" w:line="240" w:lineRule="auto"/>
        <w:ind w:firstLine="708"/>
        <w:rPr>
          <w:rFonts w:ascii="Arial" w:eastAsia="Times New Roman" w:hAnsi="Arial" w:cs="Arial"/>
          <w:sz w:val="24"/>
          <w:szCs w:val="24"/>
        </w:rPr>
      </w:pPr>
    </w:p>
    <w:p w:rsidR="00F70541" w:rsidRPr="00315335" w:rsidRDefault="00F70541" w:rsidP="00F70541">
      <w:pPr>
        <w:spacing w:after="0" w:line="240" w:lineRule="auto"/>
        <w:ind w:firstLine="708"/>
        <w:rPr>
          <w:rFonts w:ascii="Arial" w:eastAsia="Times New Roman" w:hAnsi="Arial" w:cs="Arial"/>
          <w:sz w:val="24"/>
          <w:szCs w:val="24"/>
        </w:rPr>
      </w:pPr>
    </w:p>
    <w:p w:rsidR="00F70541" w:rsidRPr="00315335" w:rsidRDefault="00F70541" w:rsidP="00F70541">
      <w:pPr>
        <w:spacing w:after="0" w:line="240" w:lineRule="auto"/>
        <w:ind w:firstLine="708"/>
        <w:jc w:val="both"/>
        <w:rPr>
          <w:rFonts w:ascii="Arial" w:eastAsia="Times New Roman" w:hAnsi="Arial" w:cs="Arial"/>
          <w:sz w:val="24"/>
          <w:szCs w:val="24"/>
        </w:rPr>
      </w:pPr>
    </w:p>
    <w:p w:rsidR="00F70541" w:rsidRPr="00315335" w:rsidRDefault="00F70541" w:rsidP="00F70541">
      <w:pPr>
        <w:spacing w:after="0" w:line="240" w:lineRule="auto"/>
        <w:ind w:firstLine="708"/>
        <w:jc w:val="both"/>
        <w:rPr>
          <w:rFonts w:ascii="Arial" w:eastAsia="Times New Roman" w:hAnsi="Arial" w:cs="Arial"/>
          <w:sz w:val="24"/>
          <w:szCs w:val="24"/>
        </w:rPr>
      </w:pPr>
    </w:p>
    <w:p w:rsidR="00F70541" w:rsidRPr="00315335" w:rsidRDefault="00F70541" w:rsidP="00F70541">
      <w:pPr>
        <w:spacing w:after="0" w:line="240" w:lineRule="auto"/>
        <w:ind w:firstLine="708"/>
        <w:jc w:val="both"/>
        <w:rPr>
          <w:rFonts w:ascii="Arial" w:eastAsia="Times New Roman" w:hAnsi="Arial" w:cs="Arial"/>
          <w:sz w:val="24"/>
          <w:szCs w:val="24"/>
        </w:rPr>
      </w:pPr>
    </w:p>
    <w:p w:rsidR="00F70541" w:rsidRPr="00315335" w:rsidRDefault="00F70541" w:rsidP="00F70541">
      <w:pPr>
        <w:spacing w:after="0" w:line="240" w:lineRule="auto"/>
        <w:ind w:firstLine="708"/>
        <w:jc w:val="both"/>
        <w:rPr>
          <w:rFonts w:ascii="Arial" w:eastAsia="Times New Roman" w:hAnsi="Arial" w:cs="Arial"/>
          <w:sz w:val="24"/>
          <w:szCs w:val="24"/>
        </w:rPr>
      </w:pPr>
    </w:p>
    <w:p w:rsidR="00F70541" w:rsidRPr="00315335" w:rsidRDefault="00F70541" w:rsidP="00F70541">
      <w:pPr>
        <w:spacing w:after="0" w:line="240" w:lineRule="auto"/>
        <w:jc w:val="both"/>
        <w:rPr>
          <w:rFonts w:ascii="Arial" w:eastAsia="Times New Roman" w:hAnsi="Arial" w:cs="Arial"/>
          <w:sz w:val="24"/>
          <w:szCs w:val="24"/>
        </w:rPr>
      </w:pPr>
    </w:p>
    <w:p w:rsidR="00F70541" w:rsidRPr="00315335" w:rsidRDefault="00F70541" w:rsidP="00F70541">
      <w:pPr>
        <w:spacing w:after="0" w:line="240" w:lineRule="auto"/>
        <w:ind w:firstLine="708"/>
        <w:jc w:val="both"/>
        <w:rPr>
          <w:rFonts w:ascii="Arial" w:eastAsia="Times New Roman" w:hAnsi="Arial" w:cs="Arial"/>
          <w:sz w:val="24"/>
          <w:szCs w:val="24"/>
        </w:rPr>
      </w:pPr>
      <w:r w:rsidRPr="00315335">
        <w:rPr>
          <w:rFonts w:ascii="Arial" w:eastAsia="Times New Roman" w:hAnsi="Arial" w:cs="Arial"/>
          <w:sz w:val="24"/>
          <w:szCs w:val="24"/>
        </w:rPr>
        <w:t xml:space="preserve">După cum se observă suprafețele de teren scoase din circuitul agricol au scăzut în </w:t>
      </w:r>
      <w:r w:rsidR="00953A23">
        <w:rPr>
          <w:rFonts w:ascii="Arial" w:eastAsia="Times New Roman" w:hAnsi="Arial" w:cs="Arial"/>
          <w:sz w:val="24"/>
          <w:szCs w:val="24"/>
        </w:rPr>
        <w:t xml:space="preserve">perioada </w:t>
      </w:r>
      <w:r w:rsidRPr="00315335">
        <w:rPr>
          <w:rFonts w:ascii="Arial" w:eastAsia="Times New Roman" w:hAnsi="Arial" w:cs="Arial"/>
          <w:sz w:val="24"/>
          <w:szCs w:val="24"/>
        </w:rPr>
        <w:t>2011-2015.</w:t>
      </w:r>
    </w:p>
    <w:p w:rsidR="00F70541" w:rsidRPr="00315335" w:rsidRDefault="00F70541" w:rsidP="00F70541">
      <w:pPr>
        <w:spacing w:after="0" w:line="240" w:lineRule="auto"/>
        <w:ind w:firstLine="708"/>
        <w:rPr>
          <w:rFonts w:ascii="Arial" w:eastAsia="Times New Roman" w:hAnsi="Arial" w:cs="Arial"/>
          <w:sz w:val="24"/>
          <w:szCs w:val="24"/>
        </w:rPr>
      </w:pPr>
      <w:r w:rsidRPr="00315335">
        <w:rPr>
          <w:rFonts w:ascii="Arial" w:eastAsia="Times New Roman" w:hAnsi="Arial" w:cs="Arial"/>
          <w:sz w:val="24"/>
          <w:szCs w:val="24"/>
        </w:rPr>
        <w:t xml:space="preserve">Deși în perioada analizată au fost scoase din circuitul agricol suprafețe mici de teren suprafața totală de teren agricol a crescut cu 2544 de hectare ceea ce reprezintă doar 0,65% din suprafața agricolă a anului 2011. </w:t>
      </w:r>
    </w:p>
    <w:p w:rsidR="00F70541" w:rsidRPr="00315335" w:rsidRDefault="00F70541" w:rsidP="00F70541">
      <w:pPr>
        <w:spacing w:after="0" w:line="240" w:lineRule="auto"/>
        <w:ind w:firstLine="708"/>
        <w:rPr>
          <w:rFonts w:ascii="Arial" w:eastAsia="Times New Roman" w:hAnsi="Arial" w:cs="Arial"/>
          <w:sz w:val="24"/>
          <w:szCs w:val="24"/>
        </w:rPr>
      </w:pPr>
      <w:r w:rsidRPr="00315335">
        <w:rPr>
          <w:rFonts w:ascii="Arial" w:eastAsia="Times New Roman" w:hAnsi="Arial" w:cs="Arial"/>
          <w:sz w:val="24"/>
          <w:szCs w:val="24"/>
        </w:rPr>
        <w:t>Motivația scoaterii terenurilor din circuitul agricol: construcții anexe pentru exploatații agricole, construcție ciupercărie, construcție fermă pui, montaj echipament auxiliar eoliene, foraj sonde gaze.</w:t>
      </w:r>
    </w:p>
    <w:p w:rsidR="00F70541" w:rsidRPr="00315335" w:rsidRDefault="00F70541" w:rsidP="00F70541">
      <w:pPr>
        <w:spacing w:after="0" w:line="240" w:lineRule="auto"/>
        <w:ind w:firstLine="708"/>
        <w:rPr>
          <w:rFonts w:ascii="Arial" w:hAnsi="Arial" w:cs="Arial"/>
          <w:b/>
          <w:sz w:val="24"/>
          <w:szCs w:val="24"/>
        </w:rPr>
      </w:pP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r w:rsidRPr="00315335">
        <w:rPr>
          <w:rFonts w:ascii="Arial" w:hAnsi="Arial" w:cs="Arial"/>
          <w:b/>
          <w:sz w:val="24"/>
          <w:szCs w:val="24"/>
          <w:lang w:val="ro-RO"/>
        </w:rPr>
        <w:t xml:space="preserve">      IV.2.2. </w:t>
      </w:r>
      <w:r w:rsidRPr="00315335">
        <w:rPr>
          <w:rFonts w:ascii="Arial" w:hAnsi="Arial" w:cs="Arial"/>
          <w:b/>
          <w:i/>
          <w:sz w:val="24"/>
          <w:szCs w:val="24"/>
          <w:lang w:val="ro-RO"/>
        </w:rPr>
        <w:t>Impactul schimbării utilizării terenurilor asupra habitatelor</w:t>
      </w: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p>
    <w:p w:rsidR="00F70541" w:rsidRPr="00315335" w:rsidRDefault="00F70541" w:rsidP="00F70541">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Modul de utilizare a terenurilor s-a schimbat subtanțial în ultimul secol. Schimbările au afectat suprafețele arealelor naturale și semi-naturale, crescând în acest mod gradul de fragmentare a arealelor naturale și semi-naturale. Acest indicator oferă informații cu privire la evoluția suprafețelor arealelor naturale și semi-naturale, calculând valorile derivate din hărțile de acoperire a terenurilor. </w:t>
      </w:r>
    </w:p>
    <w:p w:rsidR="00F70541" w:rsidRPr="00315335" w:rsidRDefault="00F70541" w:rsidP="00F70541">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Pe lângă fenomenul de distrugere integrală a habitatelor, apare şi cel de fragmentare prin drumuri, terenuri agricole, medii urbane ori construcţii. Fragmentarea habitatelor este procesul prin care o suprafaţă mare şi continuă a unui habitat este divizată în două sau mai multe fragmente. </w:t>
      </w:r>
    </w:p>
    <w:p w:rsidR="00F70541" w:rsidRPr="00315335" w:rsidRDefault="00F70541" w:rsidP="00F70541">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O cauză principală a fragmentării arealelor naturale și seminaturale este reprezentată de conversia terenurilor în scopul dezvoltării infrastructurii urbane, industriale, agricole, turistice sau de transport, aceasta reprezentând cauza principală a pierderii de biodiversitate, ducând la degradarea, distrugerea şi fragmentarea habitatelor şi implicit la declinul populaţiilor naturale. </w:t>
      </w:r>
    </w:p>
    <w:p w:rsidR="00F70541" w:rsidRPr="00315335" w:rsidRDefault="00F70541" w:rsidP="00F70541">
      <w:pPr>
        <w:spacing w:after="0" w:line="240" w:lineRule="auto"/>
        <w:ind w:firstLine="708"/>
        <w:jc w:val="both"/>
        <w:rPr>
          <w:rFonts w:ascii="Arial" w:hAnsi="Arial" w:cs="Arial"/>
          <w:sz w:val="24"/>
          <w:szCs w:val="24"/>
        </w:rPr>
      </w:pPr>
      <w:r w:rsidRPr="00315335">
        <w:rPr>
          <w:rFonts w:ascii="Arial" w:hAnsi="Arial" w:cs="Arial"/>
          <w:sz w:val="24"/>
          <w:szCs w:val="24"/>
        </w:rPr>
        <w:t xml:space="preserve">În judeţul Brăila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ca şi o mare parte din păşunile cu vegetaţie de stepă de pe terenuri cu exces de umiditate, care au fost asanate. </w:t>
      </w:r>
    </w:p>
    <w:p w:rsidR="00F70541" w:rsidRPr="00315335" w:rsidRDefault="00F70541" w:rsidP="00F70541">
      <w:pPr>
        <w:spacing w:after="0" w:line="240" w:lineRule="auto"/>
        <w:ind w:firstLine="708"/>
        <w:jc w:val="both"/>
        <w:rPr>
          <w:rFonts w:ascii="Arial" w:hAnsi="Arial" w:cs="Arial"/>
          <w:sz w:val="24"/>
          <w:szCs w:val="24"/>
        </w:rPr>
      </w:pPr>
      <w:r w:rsidRPr="00315335">
        <w:rPr>
          <w:rFonts w:ascii="Arial" w:hAnsi="Arial" w:cs="Arial"/>
          <w:sz w:val="24"/>
          <w:szCs w:val="24"/>
        </w:rPr>
        <w:t xml:space="preserve">Consecinţele îndiguirii sunt: </w:t>
      </w:r>
    </w:p>
    <w:p w:rsidR="00F70541" w:rsidRPr="00315335" w:rsidRDefault="00F70541" w:rsidP="00E14739">
      <w:pPr>
        <w:numPr>
          <w:ilvl w:val="0"/>
          <w:numId w:val="22"/>
        </w:numPr>
        <w:spacing w:after="0" w:line="240" w:lineRule="auto"/>
        <w:jc w:val="both"/>
        <w:rPr>
          <w:rFonts w:ascii="Arial" w:hAnsi="Arial" w:cs="Arial"/>
          <w:sz w:val="24"/>
          <w:szCs w:val="24"/>
          <w:lang w:val="it-IT"/>
        </w:rPr>
      </w:pPr>
      <w:r w:rsidRPr="00315335">
        <w:rPr>
          <w:rFonts w:ascii="Arial" w:hAnsi="Arial" w:cs="Arial"/>
          <w:sz w:val="24"/>
          <w:szCs w:val="24"/>
          <w:lang w:val="it-IT"/>
        </w:rPr>
        <w:t>modificarea regimului hidrologic al Dunării prin creşterea amplitudinii viiturilor;</w:t>
      </w:r>
    </w:p>
    <w:p w:rsidR="00F70541" w:rsidRPr="00315335" w:rsidRDefault="00F70541" w:rsidP="00E14739">
      <w:pPr>
        <w:numPr>
          <w:ilvl w:val="0"/>
          <w:numId w:val="22"/>
        </w:numPr>
        <w:spacing w:after="0" w:line="240" w:lineRule="auto"/>
        <w:jc w:val="both"/>
        <w:rPr>
          <w:rFonts w:ascii="Arial" w:hAnsi="Arial" w:cs="Arial"/>
          <w:sz w:val="24"/>
          <w:szCs w:val="24"/>
        </w:rPr>
      </w:pPr>
      <w:r w:rsidRPr="00315335">
        <w:rPr>
          <w:rFonts w:ascii="Arial" w:hAnsi="Arial" w:cs="Arial"/>
          <w:sz w:val="24"/>
          <w:szCs w:val="24"/>
        </w:rPr>
        <w:t>reducerea capacităţii de retenţie a nutrienţilor de către zonele inundabile;</w:t>
      </w:r>
    </w:p>
    <w:p w:rsidR="00F70541" w:rsidRPr="00315335" w:rsidRDefault="00F70541" w:rsidP="00E14739">
      <w:pPr>
        <w:numPr>
          <w:ilvl w:val="0"/>
          <w:numId w:val="22"/>
        </w:numPr>
        <w:spacing w:after="0" w:line="240" w:lineRule="auto"/>
        <w:jc w:val="both"/>
        <w:rPr>
          <w:rFonts w:ascii="Arial" w:hAnsi="Arial" w:cs="Arial"/>
          <w:sz w:val="24"/>
          <w:szCs w:val="24"/>
        </w:rPr>
      </w:pPr>
      <w:r w:rsidRPr="00315335">
        <w:rPr>
          <w:rFonts w:ascii="Arial" w:hAnsi="Arial" w:cs="Arial"/>
          <w:sz w:val="24"/>
          <w:szCs w:val="24"/>
        </w:rPr>
        <w:t>sărăturarea terenurilor desecate din cauza fluctuaţiilor nivelului pânzei freatice din sol;</w:t>
      </w:r>
    </w:p>
    <w:p w:rsidR="00F70541" w:rsidRPr="00315335" w:rsidRDefault="00F70541" w:rsidP="00E14739">
      <w:pPr>
        <w:numPr>
          <w:ilvl w:val="0"/>
          <w:numId w:val="22"/>
        </w:numPr>
        <w:spacing w:after="0" w:line="240" w:lineRule="auto"/>
        <w:jc w:val="both"/>
        <w:rPr>
          <w:rFonts w:ascii="Arial" w:hAnsi="Arial" w:cs="Arial"/>
          <w:sz w:val="24"/>
          <w:szCs w:val="24"/>
        </w:rPr>
      </w:pPr>
      <w:r w:rsidRPr="00315335">
        <w:rPr>
          <w:rFonts w:ascii="Arial" w:hAnsi="Arial" w:cs="Arial"/>
          <w:sz w:val="24"/>
          <w:szCs w:val="24"/>
        </w:rPr>
        <w:t>reducerea zonelor de reproducere a speciilor de peşti semimigratori;</w:t>
      </w:r>
    </w:p>
    <w:p w:rsidR="00F70541" w:rsidRPr="00315335" w:rsidRDefault="00F70541" w:rsidP="00E14739">
      <w:pPr>
        <w:numPr>
          <w:ilvl w:val="0"/>
          <w:numId w:val="22"/>
        </w:numPr>
        <w:spacing w:after="0" w:line="240" w:lineRule="auto"/>
        <w:jc w:val="both"/>
        <w:rPr>
          <w:rFonts w:ascii="Arial" w:hAnsi="Arial" w:cs="Arial"/>
          <w:sz w:val="24"/>
          <w:szCs w:val="24"/>
        </w:rPr>
      </w:pPr>
      <w:r w:rsidRPr="00315335">
        <w:rPr>
          <w:rFonts w:ascii="Arial" w:hAnsi="Arial" w:cs="Arial"/>
          <w:sz w:val="24"/>
          <w:szCs w:val="24"/>
        </w:rPr>
        <w:t>reducerea capturilor de peşte.</w:t>
      </w:r>
    </w:p>
    <w:p w:rsidR="00F70541" w:rsidRPr="00315335" w:rsidRDefault="00F70541" w:rsidP="00F70541">
      <w:pPr>
        <w:spacing w:after="0" w:line="240" w:lineRule="auto"/>
        <w:ind w:firstLine="708"/>
        <w:jc w:val="both"/>
        <w:rPr>
          <w:rFonts w:ascii="Arial" w:hAnsi="Arial" w:cs="Arial"/>
          <w:sz w:val="24"/>
          <w:szCs w:val="24"/>
        </w:rPr>
      </w:pPr>
      <w:r w:rsidRPr="00315335">
        <w:rPr>
          <w:rFonts w:ascii="Arial" w:hAnsi="Arial" w:cs="Arial"/>
          <w:sz w:val="24"/>
          <w:szCs w:val="24"/>
          <w:u w:val="single"/>
        </w:rPr>
        <w:t>Secarea</w:t>
      </w:r>
      <w:r w:rsidRPr="00315335">
        <w:rPr>
          <w:rFonts w:ascii="Arial" w:hAnsi="Arial" w:cs="Arial"/>
          <w:sz w:val="24"/>
          <w:szCs w:val="24"/>
        </w:rPr>
        <w:t xml:space="preserve">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Canalele realizate în scop piscicol determină în prezent scurgerea prematură a apei către Dunăre, fenomen generat de faptul că, în timp, fundul bălţilor s-a ridicat prin depunerea aluviunilor aduse de fluviu. </w:t>
      </w:r>
    </w:p>
    <w:p w:rsidR="00F70541" w:rsidRPr="00315335" w:rsidRDefault="00F70541" w:rsidP="00F70541">
      <w:pPr>
        <w:spacing w:after="0" w:line="240" w:lineRule="auto"/>
        <w:ind w:firstLine="708"/>
        <w:jc w:val="both"/>
        <w:rPr>
          <w:rFonts w:ascii="Arial" w:hAnsi="Arial" w:cs="Arial"/>
          <w:sz w:val="24"/>
          <w:szCs w:val="24"/>
        </w:rPr>
      </w:pPr>
      <w:r w:rsidRPr="00315335">
        <w:rPr>
          <w:rFonts w:ascii="Arial" w:hAnsi="Arial" w:cs="Arial"/>
          <w:sz w:val="24"/>
          <w:szCs w:val="24"/>
        </w:rPr>
        <w:lastRenderedPageBreak/>
        <w:t xml:space="preserve">Modificarea ecosistemelor a fost cauzată şi de utilizarea unor </w:t>
      </w:r>
      <w:r w:rsidRPr="00315335">
        <w:rPr>
          <w:rFonts w:ascii="Arial" w:hAnsi="Arial" w:cs="Arial"/>
          <w:sz w:val="24"/>
          <w:szCs w:val="24"/>
          <w:u w:val="single"/>
        </w:rPr>
        <w:t>metode şi tehnici agricole inadecvate</w:t>
      </w:r>
      <w:r w:rsidRPr="00315335">
        <w:rPr>
          <w:rFonts w:ascii="Arial" w:hAnsi="Arial" w:cs="Arial"/>
          <w:sz w:val="24"/>
          <w:szCs w:val="24"/>
        </w:rPr>
        <w:t xml:space="preserve"> precum folosirea pesticidelor, păşunatul intensiv sau neorganizat, arderea miriştilor.</w:t>
      </w:r>
    </w:p>
    <w:p w:rsidR="00F70541" w:rsidRPr="00315335" w:rsidRDefault="00F70541" w:rsidP="00F70541">
      <w:pPr>
        <w:spacing w:after="0" w:line="240" w:lineRule="auto"/>
        <w:ind w:firstLine="708"/>
        <w:jc w:val="both"/>
        <w:rPr>
          <w:rFonts w:ascii="Arial" w:hAnsi="Arial" w:cs="Arial"/>
          <w:sz w:val="24"/>
          <w:szCs w:val="24"/>
        </w:rPr>
      </w:pPr>
      <w:r w:rsidRPr="00315335">
        <w:rPr>
          <w:rFonts w:ascii="Arial" w:hAnsi="Arial" w:cs="Arial"/>
          <w:sz w:val="24"/>
          <w:szCs w:val="24"/>
        </w:rPr>
        <w:t>Substituirea pădurilor aluviale naturale din Balta Brăilei prin culturi uniclonale plopicole şi salicicole, îndiguirile, desecările şi întinsele monoculturi agricole practicate în ultimele decenii ale secolului trecut au dus la profunde modificări calitative şi cantitative asupra biodiversităţii judeţului.</w:t>
      </w:r>
    </w:p>
    <w:p w:rsidR="00F70541" w:rsidRPr="00315335" w:rsidRDefault="00F70541" w:rsidP="00F70541">
      <w:pPr>
        <w:pStyle w:val="Subsol"/>
        <w:jc w:val="both"/>
        <w:rPr>
          <w:rFonts w:ascii="Arial" w:hAnsi="Arial" w:cs="Arial"/>
          <w:sz w:val="24"/>
          <w:szCs w:val="24"/>
        </w:rPr>
      </w:pP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r w:rsidRPr="00315335">
        <w:rPr>
          <w:rFonts w:ascii="Arial" w:hAnsi="Arial" w:cs="Arial"/>
          <w:b/>
          <w:sz w:val="24"/>
          <w:szCs w:val="24"/>
          <w:lang w:val="ro-RO"/>
        </w:rPr>
        <w:t>IV.3. Factorii determinanți ai schimbării utilizării terenurilor</w:t>
      </w: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r w:rsidRPr="00315335">
        <w:rPr>
          <w:rFonts w:ascii="Arial" w:hAnsi="Arial" w:cs="Arial"/>
          <w:b/>
          <w:sz w:val="24"/>
          <w:szCs w:val="24"/>
          <w:lang w:val="ro-RO"/>
        </w:rPr>
        <w:t xml:space="preserve">     IV.3.1. </w:t>
      </w:r>
      <w:r w:rsidRPr="00315335">
        <w:rPr>
          <w:rFonts w:ascii="Arial" w:hAnsi="Arial" w:cs="Arial"/>
          <w:b/>
          <w:i/>
          <w:sz w:val="24"/>
          <w:szCs w:val="24"/>
          <w:lang w:val="ro-RO"/>
        </w:rPr>
        <w:t>Modificarea densității populației</w:t>
      </w:r>
    </w:p>
    <w:p w:rsidR="00F70541" w:rsidRPr="00315335" w:rsidRDefault="00F70541" w:rsidP="00F70541">
      <w:pPr>
        <w:tabs>
          <w:tab w:val="left" w:pos="2160"/>
          <w:tab w:val="left" w:leader="dot" w:pos="8820"/>
        </w:tabs>
        <w:spacing w:after="0" w:line="240" w:lineRule="auto"/>
        <w:ind w:right="31" w:firstLine="851"/>
        <w:jc w:val="both"/>
        <w:rPr>
          <w:rFonts w:ascii="Arial" w:hAnsi="Arial" w:cs="Arial"/>
          <w:b/>
        </w:rPr>
      </w:pPr>
      <w:r w:rsidRPr="00315335">
        <w:rPr>
          <w:rFonts w:ascii="Arial" w:hAnsi="Arial" w:cs="Arial"/>
          <w:sz w:val="24"/>
          <w:szCs w:val="24"/>
        </w:rPr>
        <w:t>În ultimii ani populaţia judeţului Brăila s-a aflat într-o continuă scădere cu o rată constant ajungându-se de la 312089 număr de locuitori  în 2014, la 294143  în anul 2018. Evoluţia populaţiei stabile a judeţului Brăila pe medii (urban și rural) în perioada 2014 - 2018 este evidenţiată în tabelul de mai jos:</w:t>
      </w:r>
    </w:p>
    <w:p w:rsidR="00F70541" w:rsidRPr="00315335" w:rsidRDefault="00F70541" w:rsidP="00F70541">
      <w:pPr>
        <w:pStyle w:val="Indentcorptext2"/>
        <w:spacing w:after="0" w:line="240" w:lineRule="auto"/>
        <w:ind w:left="0"/>
        <w:jc w:val="both"/>
        <w:rPr>
          <w:rFonts w:ascii="Arial" w:hAnsi="Arial" w:cs="Arial"/>
          <w:lang w:val="ro-RO"/>
        </w:rPr>
      </w:pPr>
      <w:r w:rsidRPr="00315335">
        <w:rPr>
          <w:rFonts w:ascii="Arial" w:hAnsi="Arial" w:cs="Arial"/>
          <w:lang w:val="ro-RO"/>
        </w:rPr>
        <w:t xml:space="preserve">Tabel IV.3.1-1 - Evoluţia populaţiei stabile a judeţului Brăila pe medii (urban și rural) în perioada 2014 – 2018 (date furnizate de Institutul Național de Statistică): </w:t>
      </w:r>
    </w:p>
    <w:p w:rsidR="00F70541" w:rsidRPr="00315335" w:rsidRDefault="00F70541" w:rsidP="00F70541">
      <w:pPr>
        <w:tabs>
          <w:tab w:val="left" w:pos="2160"/>
          <w:tab w:val="left" w:leader="dot" w:pos="8820"/>
        </w:tabs>
        <w:spacing w:after="0" w:line="240" w:lineRule="auto"/>
        <w:ind w:right="31"/>
        <w:rPr>
          <w:rFonts w:ascii="Arial" w:hAnsi="Arial" w:cs="Arial"/>
          <w:sz w:val="24"/>
          <w:szCs w:val="24"/>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018"/>
        <w:gridCol w:w="1355"/>
        <w:gridCol w:w="1304"/>
        <w:gridCol w:w="1247"/>
      </w:tblGrid>
      <w:tr w:rsidR="00F70541" w:rsidRPr="00315335" w:rsidTr="00916B06">
        <w:trPr>
          <w:trHeight w:val="937"/>
          <w:jc w:val="center"/>
        </w:trPr>
        <w:tc>
          <w:tcPr>
            <w:tcW w:w="1001" w:type="dxa"/>
            <w:tcBorders>
              <w:bottom w:val="single" w:sz="4" w:space="0" w:color="auto"/>
            </w:tcBorders>
            <w:shd w:val="clear" w:color="auto" w:fill="D9D9D9"/>
            <w:vAlign w:val="center"/>
          </w:tcPr>
          <w:p w:rsidR="00F70541" w:rsidRPr="00315335" w:rsidRDefault="00F70541" w:rsidP="00916B06">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Anul</w:t>
            </w:r>
          </w:p>
        </w:tc>
        <w:tc>
          <w:tcPr>
            <w:tcW w:w="1018" w:type="dxa"/>
            <w:tcBorders>
              <w:bottom w:val="single" w:sz="4" w:space="0" w:color="auto"/>
            </w:tcBorders>
            <w:shd w:val="clear" w:color="auto" w:fill="D9D9D9"/>
            <w:vAlign w:val="center"/>
          </w:tcPr>
          <w:p w:rsidR="00F70541" w:rsidRPr="00315335" w:rsidRDefault="00F70541" w:rsidP="00916B06">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Total</w:t>
            </w:r>
          </w:p>
        </w:tc>
        <w:tc>
          <w:tcPr>
            <w:tcW w:w="1355" w:type="dxa"/>
            <w:tcBorders>
              <w:bottom w:val="single" w:sz="4" w:space="0" w:color="auto"/>
            </w:tcBorders>
            <w:shd w:val="clear" w:color="auto" w:fill="D9D9D9"/>
            <w:vAlign w:val="center"/>
          </w:tcPr>
          <w:p w:rsidR="00F70541" w:rsidRPr="00315335" w:rsidRDefault="00F70541" w:rsidP="00916B06">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Urban</w:t>
            </w:r>
          </w:p>
        </w:tc>
        <w:tc>
          <w:tcPr>
            <w:tcW w:w="1304" w:type="dxa"/>
            <w:tcBorders>
              <w:bottom w:val="single" w:sz="4" w:space="0" w:color="auto"/>
            </w:tcBorders>
            <w:shd w:val="clear" w:color="auto" w:fill="D9D9D9"/>
            <w:vAlign w:val="center"/>
          </w:tcPr>
          <w:p w:rsidR="00F70541" w:rsidRPr="00315335" w:rsidRDefault="00F70541" w:rsidP="00916B06">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Rural</w:t>
            </w:r>
          </w:p>
        </w:tc>
        <w:tc>
          <w:tcPr>
            <w:tcW w:w="1247" w:type="dxa"/>
            <w:tcBorders>
              <w:bottom w:val="single" w:sz="4" w:space="0" w:color="auto"/>
            </w:tcBorders>
            <w:shd w:val="clear" w:color="auto" w:fill="D9D9D9"/>
            <w:vAlign w:val="center"/>
          </w:tcPr>
          <w:p w:rsidR="00F70541" w:rsidRPr="00315335" w:rsidRDefault="00F70541" w:rsidP="00916B06">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Locuitori /km</w:t>
            </w:r>
            <w:r w:rsidRPr="00315335">
              <w:rPr>
                <w:rFonts w:ascii="Arial" w:hAnsi="Arial" w:cs="Arial"/>
                <w:b/>
                <w:sz w:val="24"/>
                <w:szCs w:val="24"/>
                <w:vertAlign w:val="superscript"/>
              </w:rPr>
              <w:t>2</w:t>
            </w:r>
          </w:p>
        </w:tc>
      </w:tr>
      <w:tr w:rsidR="00F70541" w:rsidRPr="00315335" w:rsidTr="00916B06">
        <w:trPr>
          <w:trHeight w:val="270"/>
          <w:jc w:val="center"/>
        </w:trPr>
        <w:tc>
          <w:tcPr>
            <w:tcW w:w="1001"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2014</w:t>
            </w:r>
          </w:p>
        </w:tc>
        <w:tc>
          <w:tcPr>
            <w:tcW w:w="1018"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312089</w:t>
            </w:r>
          </w:p>
        </w:tc>
        <w:tc>
          <w:tcPr>
            <w:tcW w:w="1355"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194025</w:t>
            </w:r>
          </w:p>
        </w:tc>
        <w:tc>
          <w:tcPr>
            <w:tcW w:w="1304"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118064</w:t>
            </w:r>
          </w:p>
        </w:tc>
        <w:tc>
          <w:tcPr>
            <w:tcW w:w="1247"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65,49</w:t>
            </w:r>
          </w:p>
        </w:tc>
      </w:tr>
      <w:tr w:rsidR="00F70541" w:rsidRPr="00315335" w:rsidTr="00916B06">
        <w:trPr>
          <w:trHeight w:val="270"/>
          <w:jc w:val="center"/>
        </w:trPr>
        <w:tc>
          <w:tcPr>
            <w:tcW w:w="1001"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2015</w:t>
            </w:r>
          </w:p>
        </w:tc>
        <w:tc>
          <w:tcPr>
            <w:tcW w:w="1018"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308176</w:t>
            </w:r>
          </w:p>
        </w:tc>
        <w:tc>
          <w:tcPr>
            <w:tcW w:w="1355"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191230</w:t>
            </w:r>
          </w:p>
        </w:tc>
        <w:tc>
          <w:tcPr>
            <w:tcW w:w="1304"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116946</w:t>
            </w:r>
          </w:p>
        </w:tc>
        <w:tc>
          <w:tcPr>
            <w:tcW w:w="1247"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64,65</w:t>
            </w:r>
          </w:p>
        </w:tc>
      </w:tr>
      <w:tr w:rsidR="00F70541" w:rsidRPr="00315335" w:rsidTr="00916B06">
        <w:trPr>
          <w:trHeight w:val="270"/>
          <w:jc w:val="center"/>
        </w:trPr>
        <w:tc>
          <w:tcPr>
            <w:tcW w:w="1001"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2016</w:t>
            </w:r>
          </w:p>
        </w:tc>
        <w:tc>
          <w:tcPr>
            <w:tcW w:w="1018"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303662</w:t>
            </w:r>
          </w:p>
        </w:tc>
        <w:tc>
          <w:tcPr>
            <w:tcW w:w="1355"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187956</w:t>
            </w:r>
          </w:p>
        </w:tc>
        <w:tc>
          <w:tcPr>
            <w:tcW w:w="1304"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115666</w:t>
            </w:r>
          </w:p>
        </w:tc>
        <w:tc>
          <w:tcPr>
            <w:tcW w:w="1247"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63,72</w:t>
            </w:r>
          </w:p>
        </w:tc>
      </w:tr>
      <w:tr w:rsidR="00F70541" w:rsidRPr="00315335" w:rsidTr="00916B06">
        <w:trPr>
          <w:trHeight w:val="270"/>
          <w:jc w:val="center"/>
        </w:trPr>
        <w:tc>
          <w:tcPr>
            <w:tcW w:w="1001"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2017</w:t>
            </w:r>
          </w:p>
        </w:tc>
        <w:tc>
          <w:tcPr>
            <w:tcW w:w="1018"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299125</w:t>
            </w:r>
          </w:p>
        </w:tc>
        <w:tc>
          <w:tcPr>
            <w:tcW w:w="1355"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184693</w:t>
            </w:r>
          </w:p>
        </w:tc>
        <w:tc>
          <w:tcPr>
            <w:tcW w:w="1304"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114432</w:t>
            </w:r>
          </w:p>
        </w:tc>
        <w:tc>
          <w:tcPr>
            <w:tcW w:w="1247"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62,76</w:t>
            </w:r>
          </w:p>
        </w:tc>
      </w:tr>
      <w:tr w:rsidR="00F70541" w:rsidRPr="00315335" w:rsidTr="00916B06">
        <w:trPr>
          <w:trHeight w:val="270"/>
          <w:jc w:val="center"/>
        </w:trPr>
        <w:tc>
          <w:tcPr>
            <w:tcW w:w="1001"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2018</w:t>
            </w:r>
          </w:p>
        </w:tc>
        <w:tc>
          <w:tcPr>
            <w:tcW w:w="1018"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294143</w:t>
            </w:r>
          </w:p>
        </w:tc>
        <w:tc>
          <w:tcPr>
            <w:tcW w:w="1355"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181077</w:t>
            </w:r>
          </w:p>
        </w:tc>
        <w:tc>
          <w:tcPr>
            <w:tcW w:w="1304"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113066</w:t>
            </w:r>
          </w:p>
        </w:tc>
        <w:tc>
          <w:tcPr>
            <w:tcW w:w="1247" w:type="dxa"/>
            <w:shd w:val="clear" w:color="auto" w:fill="FFFFDD"/>
            <w:vAlign w:val="center"/>
          </w:tcPr>
          <w:p w:rsidR="00F70541" w:rsidRPr="00315335" w:rsidRDefault="00F70541" w:rsidP="00916B06">
            <w:pPr>
              <w:spacing w:after="0" w:line="240" w:lineRule="auto"/>
              <w:jc w:val="center"/>
              <w:rPr>
                <w:rFonts w:ascii="Arial" w:hAnsi="Arial" w:cs="Arial"/>
                <w:sz w:val="24"/>
                <w:szCs w:val="24"/>
              </w:rPr>
            </w:pPr>
            <w:r w:rsidRPr="00315335">
              <w:rPr>
                <w:rFonts w:ascii="Arial" w:hAnsi="Arial" w:cs="Arial"/>
                <w:sz w:val="24"/>
                <w:szCs w:val="24"/>
              </w:rPr>
              <w:t>61,72</w:t>
            </w:r>
          </w:p>
        </w:tc>
      </w:tr>
    </w:tbl>
    <w:p w:rsidR="00F70541" w:rsidRPr="00315335" w:rsidRDefault="00F70541" w:rsidP="00F70541">
      <w:pPr>
        <w:tabs>
          <w:tab w:val="left" w:pos="2160"/>
          <w:tab w:val="left" w:leader="dot" w:pos="8820"/>
        </w:tabs>
        <w:spacing w:after="0" w:line="240" w:lineRule="auto"/>
        <w:ind w:right="31"/>
        <w:rPr>
          <w:rFonts w:ascii="Arial" w:hAnsi="Arial" w:cs="Arial"/>
          <w:sz w:val="24"/>
          <w:szCs w:val="24"/>
        </w:rPr>
      </w:pPr>
    </w:p>
    <w:p w:rsidR="00F70541" w:rsidRPr="00315335" w:rsidRDefault="00F70541" w:rsidP="00F70541">
      <w:pPr>
        <w:spacing w:after="0" w:line="240" w:lineRule="auto"/>
        <w:rPr>
          <w:rFonts w:ascii="Arial" w:eastAsia="Times New Roman" w:hAnsi="Arial" w:cs="Arial"/>
          <w:sz w:val="24"/>
          <w:szCs w:val="24"/>
        </w:rPr>
      </w:pPr>
      <w:r w:rsidRPr="00315335">
        <w:rPr>
          <w:rFonts w:ascii="Arial" w:eastAsia="Times New Roman" w:hAnsi="Arial" w:cs="Arial"/>
          <w:sz w:val="24"/>
          <w:szCs w:val="24"/>
        </w:rPr>
        <w:t>Tendința de scădere a populației județului Brăila este mai vizibilă în mediul urban.Modificarea populației urbane în perioada 2014- 2018 (% față de anul 2014) este redată în graficul de mai jos:</w:t>
      </w:r>
    </w:p>
    <w:p w:rsidR="00F70541" w:rsidRPr="00315335" w:rsidRDefault="00F70541" w:rsidP="00F70541">
      <w:pPr>
        <w:tabs>
          <w:tab w:val="left" w:pos="2160"/>
          <w:tab w:val="left" w:leader="dot" w:pos="8820"/>
        </w:tabs>
        <w:spacing w:after="0" w:line="240" w:lineRule="auto"/>
        <w:ind w:right="31"/>
        <w:jc w:val="center"/>
        <w:rPr>
          <w:rFonts w:ascii="Arial" w:hAnsi="Arial" w:cs="Arial"/>
          <w:sz w:val="24"/>
          <w:szCs w:val="24"/>
        </w:rPr>
      </w:pPr>
    </w:p>
    <w:p w:rsidR="00F70541" w:rsidRPr="00315335" w:rsidRDefault="00F70541" w:rsidP="00F70541">
      <w:pPr>
        <w:tabs>
          <w:tab w:val="left" w:pos="2160"/>
          <w:tab w:val="left" w:leader="dot" w:pos="8820"/>
        </w:tabs>
        <w:spacing w:after="0" w:line="240" w:lineRule="auto"/>
        <w:ind w:right="31"/>
        <w:jc w:val="center"/>
        <w:rPr>
          <w:rFonts w:ascii="Arial" w:hAnsi="Arial" w:cs="Arial"/>
          <w:sz w:val="24"/>
          <w:szCs w:val="24"/>
        </w:rPr>
      </w:pPr>
    </w:p>
    <w:p w:rsidR="00F70541" w:rsidRPr="00315335" w:rsidRDefault="00F70541" w:rsidP="00F70541">
      <w:pPr>
        <w:tabs>
          <w:tab w:val="left" w:pos="2160"/>
          <w:tab w:val="left" w:leader="dot" w:pos="8820"/>
        </w:tabs>
        <w:spacing w:after="0" w:line="240" w:lineRule="auto"/>
        <w:ind w:right="31"/>
        <w:jc w:val="center"/>
        <w:rPr>
          <w:rFonts w:ascii="Arial" w:hAnsi="Arial" w:cs="Arial"/>
          <w:sz w:val="24"/>
          <w:szCs w:val="24"/>
        </w:rPr>
      </w:pPr>
      <w:r w:rsidRPr="00315335">
        <w:rPr>
          <w:rFonts w:ascii="Arial" w:eastAsia="Times New Roman" w:hAnsi="Arial" w:cs="Arial"/>
          <w:noProof/>
          <w:sz w:val="24"/>
          <w:szCs w:val="24"/>
        </w:rPr>
        <w:drawing>
          <wp:inline distT="0" distB="0" distL="0" distR="0" wp14:anchorId="4EFAEAA7" wp14:editId="0B08F0C0">
            <wp:extent cx="2059940" cy="2676525"/>
            <wp:effectExtent l="0" t="0" r="16510" b="9525"/>
            <wp:docPr id="5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70541" w:rsidRPr="00315335" w:rsidRDefault="00F70541" w:rsidP="00F70541">
      <w:pPr>
        <w:tabs>
          <w:tab w:val="left" w:pos="2160"/>
          <w:tab w:val="left" w:leader="dot" w:pos="8820"/>
        </w:tabs>
        <w:spacing w:after="0" w:line="240" w:lineRule="auto"/>
        <w:ind w:right="31"/>
        <w:jc w:val="center"/>
        <w:rPr>
          <w:rFonts w:ascii="Arial" w:hAnsi="Arial" w:cs="Arial"/>
          <w:sz w:val="24"/>
          <w:szCs w:val="24"/>
        </w:rPr>
      </w:pPr>
    </w:p>
    <w:p w:rsidR="00F70541" w:rsidRPr="00315335" w:rsidRDefault="00F70541" w:rsidP="00F70541">
      <w:pPr>
        <w:spacing w:after="0" w:line="240" w:lineRule="auto"/>
        <w:jc w:val="center"/>
        <w:rPr>
          <w:rFonts w:ascii="Arial" w:eastAsia="Times New Roman" w:hAnsi="Arial" w:cs="Arial"/>
          <w:sz w:val="24"/>
          <w:szCs w:val="24"/>
        </w:rPr>
      </w:pPr>
      <w:r w:rsidRPr="00315335">
        <w:rPr>
          <w:rFonts w:ascii="Arial" w:eastAsia="Times New Roman" w:hAnsi="Arial" w:cs="Arial"/>
          <w:sz w:val="24"/>
          <w:szCs w:val="24"/>
        </w:rPr>
        <w:t>Figura nr.1.3-1</w:t>
      </w:r>
    </w:p>
    <w:p w:rsidR="00F70541" w:rsidRPr="00315335" w:rsidRDefault="00F70541" w:rsidP="00F70541">
      <w:pPr>
        <w:spacing w:after="0" w:line="240" w:lineRule="auto"/>
        <w:jc w:val="center"/>
        <w:rPr>
          <w:rFonts w:ascii="Arial" w:eastAsia="Times New Roman" w:hAnsi="Arial" w:cs="Arial"/>
          <w:sz w:val="24"/>
          <w:szCs w:val="24"/>
        </w:rPr>
      </w:pPr>
    </w:p>
    <w:p w:rsidR="00F70541" w:rsidRPr="00315335" w:rsidRDefault="00F70541" w:rsidP="00F70541">
      <w:pPr>
        <w:spacing w:after="0" w:line="240" w:lineRule="auto"/>
        <w:ind w:firstLine="708"/>
        <w:rPr>
          <w:rFonts w:ascii="Arial" w:eastAsia="Times New Roman" w:hAnsi="Arial" w:cs="Arial"/>
          <w:sz w:val="24"/>
          <w:szCs w:val="24"/>
        </w:rPr>
      </w:pPr>
      <w:r w:rsidRPr="00315335">
        <w:rPr>
          <w:rFonts w:ascii="Arial" w:eastAsia="Times New Roman" w:hAnsi="Arial" w:cs="Arial"/>
          <w:sz w:val="24"/>
          <w:szCs w:val="24"/>
        </w:rPr>
        <w:t>Modificări ale densității populației județului Brăila în perioada 2011-2016 s-au înregistrat conform graficului de mai jos. Se observă o scădere continuă în această perioadă.</w:t>
      </w:r>
    </w:p>
    <w:p w:rsidR="00F70541" w:rsidRPr="00315335" w:rsidRDefault="00F70541" w:rsidP="00F70541">
      <w:pPr>
        <w:spacing w:after="0" w:line="240" w:lineRule="auto"/>
        <w:rPr>
          <w:rFonts w:ascii="Arial" w:eastAsia="Times New Roman" w:hAnsi="Arial" w:cs="Arial"/>
          <w:sz w:val="24"/>
          <w:szCs w:val="24"/>
        </w:rPr>
      </w:pPr>
    </w:p>
    <w:p w:rsidR="00F70541" w:rsidRPr="00315335" w:rsidRDefault="00F70541" w:rsidP="00F70541">
      <w:pPr>
        <w:spacing w:after="0" w:line="240" w:lineRule="auto"/>
        <w:ind w:firstLine="708"/>
        <w:jc w:val="center"/>
        <w:rPr>
          <w:rFonts w:ascii="Arial" w:eastAsia="Times New Roman" w:hAnsi="Arial" w:cs="Arial"/>
          <w:sz w:val="24"/>
          <w:szCs w:val="24"/>
        </w:rPr>
      </w:pPr>
      <w:r w:rsidRPr="00315335">
        <w:rPr>
          <w:rFonts w:ascii="Arial" w:eastAsia="Times New Roman" w:hAnsi="Arial" w:cs="Arial"/>
          <w:noProof/>
          <w:sz w:val="24"/>
          <w:szCs w:val="24"/>
        </w:rPr>
        <w:lastRenderedPageBreak/>
        <w:drawing>
          <wp:inline distT="0" distB="0" distL="0" distR="0" wp14:anchorId="71089CB6" wp14:editId="7270DD56">
            <wp:extent cx="4820920" cy="2000250"/>
            <wp:effectExtent l="19050" t="0" r="17780" b="0"/>
            <wp:docPr id="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70541" w:rsidRPr="00315335" w:rsidRDefault="00F70541" w:rsidP="00F70541">
      <w:pPr>
        <w:tabs>
          <w:tab w:val="left" w:pos="2160"/>
          <w:tab w:val="left" w:leader="dot" w:pos="8820"/>
        </w:tabs>
        <w:spacing w:after="0" w:line="240" w:lineRule="auto"/>
        <w:ind w:right="31"/>
        <w:jc w:val="center"/>
        <w:rPr>
          <w:rFonts w:ascii="Arial" w:hAnsi="Arial" w:cs="Arial"/>
          <w:sz w:val="24"/>
          <w:szCs w:val="24"/>
        </w:rPr>
      </w:pPr>
      <w:r w:rsidRPr="00315335">
        <w:rPr>
          <w:rFonts w:ascii="Arial" w:hAnsi="Arial" w:cs="Arial"/>
          <w:sz w:val="24"/>
          <w:szCs w:val="24"/>
        </w:rPr>
        <w:t>Figura nr.1.3- 2</w:t>
      </w:r>
    </w:p>
    <w:p w:rsidR="00F70541" w:rsidRPr="00315335" w:rsidRDefault="00F70541" w:rsidP="00F70541">
      <w:pPr>
        <w:spacing w:after="0" w:line="240" w:lineRule="auto"/>
        <w:ind w:firstLine="708"/>
        <w:jc w:val="center"/>
        <w:rPr>
          <w:rFonts w:ascii="Arial" w:eastAsia="Times New Roman" w:hAnsi="Arial" w:cs="Arial"/>
          <w:sz w:val="24"/>
          <w:szCs w:val="24"/>
        </w:rPr>
      </w:pPr>
    </w:p>
    <w:p w:rsidR="00F70541" w:rsidRPr="00315335" w:rsidRDefault="00F70541" w:rsidP="00F70541">
      <w:pPr>
        <w:spacing w:after="0" w:line="240" w:lineRule="auto"/>
        <w:ind w:firstLine="708"/>
        <w:rPr>
          <w:rFonts w:ascii="Arial" w:eastAsia="Times New Roman" w:hAnsi="Arial" w:cs="Arial"/>
          <w:sz w:val="24"/>
          <w:szCs w:val="24"/>
        </w:rPr>
      </w:pPr>
      <w:r w:rsidRPr="00315335">
        <w:rPr>
          <w:rFonts w:ascii="Arial" w:eastAsia="Times New Roman" w:hAnsi="Arial" w:cs="Arial"/>
          <w:sz w:val="24"/>
          <w:szCs w:val="24"/>
        </w:rPr>
        <w:t>Densitatea populației județului Brăila s-a modificat - 5,69% în anul 2018 față de anul 2014.</w:t>
      </w:r>
    </w:p>
    <w:p w:rsidR="00F70541" w:rsidRPr="00315335" w:rsidRDefault="00F70541" w:rsidP="00F70541">
      <w:pPr>
        <w:spacing w:after="0" w:line="240" w:lineRule="auto"/>
        <w:ind w:firstLine="708"/>
        <w:rPr>
          <w:rFonts w:ascii="Arial" w:eastAsia="Times New Roman" w:hAnsi="Arial" w:cs="Arial"/>
          <w:sz w:val="24"/>
          <w:szCs w:val="24"/>
        </w:rPr>
      </w:pPr>
    </w:p>
    <w:p w:rsidR="00F70541" w:rsidRPr="00315335" w:rsidRDefault="00F70541" w:rsidP="00F70541">
      <w:pPr>
        <w:spacing w:after="0" w:line="240" w:lineRule="auto"/>
        <w:rPr>
          <w:rFonts w:ascii="Arial" w:eastAsia="Times New Roman" w:hAnsi="Arial" w:cs="Arial"/>
          <w:sz w:val="24"/>
          <w:szCs w:val="24"/>
        </w:rPr>
      </w:pPr>
      <w:r w:rsidRPr="00315335">
        <w:rPr>
          <w:rFonts w:ascii="Arial" w:eastAsia="Times New Roman" w:hAnsi="Arial" w:cs="Arial"/>
          <w:b/>
          <w:sz w:val="24"/>
          <w:szCs w:val="24"/>
        </w:rPr>
        <w:t xml:space="preserve">     IV.3.2. </w:t>
      </w:r>
      <w:r w:rsidRPr="00315335">
        <w:rPr>
          <w:rFonts w:ascii="Arial" w:eastAsia="Times New Roman" w:hAnsi="Arial" w:cs="Arial"/>
          <w:b/>
          <w:i/>
          <w:sz w:val="24"/>
          <w:szCs w:val="24"/>
        </w:rPr>
        <w:t>Expansiunea urbană</w:t>
      </w:r>
    </w:p>
    <w:p w:rsidR="00F70541" w:rsidRPr="00315335" w:rsidRDefault="00F70541" w:rsidP="00F70541">
      <w:pPr>
        <w:spacing w:after="0" w:line="240" w:lineRule="auto"/>
        <w:ind w:firstLine="708"/>
        <w:jc w:val="both"/>
        <w:rPr>
          <w:rFonts w:ascii="Arial" w:eastAsia="Times New Roman" w:hAnsi="Arial" w:cs="Arial"/>
          <w:sz w:val="24"/>
          <w:szCs w:val="24"/>
        </w:rPr>
      </w:pPr>
    </w:p>
    <w:p w:rsidR="00F70541" w:rsidRPr="00315335" w:rsidRDefault="00F70541" w:rsidP="00F70541">
      <w:pPr>
        <w:spacing w:after="0" w:line="240" w:lineRule="auto"/>
        <w:ind w:firstLine="708"/>
        <w:jc w:val="both"/>
        <w:rPr>
          <w:rFonts w:ascii="Arial" w:eastAsia="Times New Roman" w:hAnsi="Arial" w:cs="Arial"/>
          <w:sz w:val="24"/>
          <w:szCs w:val="24"/>
        </w:rPr>
      </w:pPr>
      <w:r w:rsidRPr="00315335">
        <w:rPr>
          <w:rFonts w:ascii="Arial" w:eastAsia="Times New Roman" w:hAnsi="Arial" w:cs="Arial"/>
          <w:sz w:val="24"/>
          <w:szCs w:val="24"/>
        </w:rPr>
        <w:t>Impactul urbanizării depinde de suprafaţa de teren ocupată şi de intensitatea de utilizare a terenurilor, de exemplu, gradul de impermeabilizare a solului şi densitatea populatiei.</w:t>
      </w:r>
    </w:p>
    <w:p w:rsidR="00F70541" w:rsidRPr="00315335" w:rsidRDefault="00F70541" w:rsidP="00F70541">
      <w:pPr>
        <w:spacing w:after="0" w:line="240" w:lineRule="auto"/>
        <w:ind w:firstLine="708"/>
        <w:jc w:val="both"/>
        <w:rPr>
          <w:rFonts w:ascii="Arial" w:eastAsia="Times New Roman" w:hAnsi="Arial" w:cs="Arial"/>
          <w:sz w:val="24"/>
          <w:szCs w:val="24"/>
        </w:rPr>
      </w:pPr>
      <w:r w:rsidRPr="00315335">
        <w:rPr>
          <w:rFonts w:ascii="Arial" w:eastAsia="Times New Roman" w:hAnsi="Arial" w:cs="Arial"/>
          <w:sz w:val="24"/>
          <w:szCs w:val="24"/>
        </w:rPr>
        <w:t>Ocuparea terenului prin extinderea urbană şi a infrastructurii respective este, în general, ireversibilă şi conduce la impermeabilizarea solului ca urmare a acoperirii terenurilor cu locuinţe, drumuri şi alte lucrări de construcţii. Ocuparea terenurilor urbane consumă cea mai mare parte din suprafaţa terenurilor agricole, şi reduce spaţiul pentru habitate şi ecosisteme care furnizează servicii importante, cum ar fi reglarea echilibrului apei şi protecţia împotriva inundaţiilor.</w:t>
      </w:r>
    </w:p>
    <w:p w:rsidR="00F70541" w:rsidRPr="00315335" w:rsidRDefault="00F70541" w:rsidP="00F70541">
      <w:pPr>
        <w:spacing w:after="0" w:line="240" w:lineRule="auto"/>
        <w:jc w:val="both"/>
        <w:rPr>
          <w:rFonts w:ascii="Arial" w:eastAsia="Times New Roman" w:hAnsi="Arial" w:cs="Arial"/>
          <w:sz w:val="24"/>
          <w:szCs w:val="24"/>
        </w:rPr>
      </w:pPr>
      <w:r w:rsidRPr="00315335">
        <w:rPr>
          <w:rFonts w:ascii="Arial" w:eastAsia="Times New Roman" w:hAnsi="Arial" w:cs="Arial"/>
          <w:sz w:val="24"/>
          <w:szCs w:val="24"/>
        </w:rPr>
        <w:tab/>
        <w:t>Terenurile ocupate de suprafeţele construite şi infrastructura densă conectează aşezările umane şi fragmentează peisajele. Acest lucru fiind, de asemenea, o sursă importantă de poluare a apei, solului şi a aerului.</w:t>
      </w:r>
    </w:p>
    <w:p w:rsidR="00F70541" w:rsidRPr="00315335" w:rsidRDefault="00F70541" w:rsidP="00F70541">
      <w:pPr>
        <w:spacing w:after="0" w:line="240" w:lineRule="auto"/>
        <w:ind w:firstLine="708"/>
        <w:jc w:val="both"/>
        <w:rPr>
          <w:rFonts w:ascii="Arial" w:eastAsia="Times New Roman" w:hAnsi="Arial" w:cs="Arial"/>
          <w:sz w:val="24"/>
          <w:szCs w:val="24"/>
        </w:rPr>
      </w:pPr>
      <w:r w:rsidRPr="00315335">
        <w:rPr>
          <w:rFonts w:ascii="Arial" w:eastAsia="Times New Roman" w:hAnsi="Arial" w:cs="Arial"/>
          <w:sz w:val="24"/>
          <w:szCs w:val="24"/>
        </w:rPr>
        <w:t xml:space="preserve">Evoluţia suprafeţei terenurilor urbane și artificiale la nivelul județului Brăila în perioada 2011 – 2015 este redată în figura de mai jos. </w:t>
      </w:r>
    </w:p>
    <w:p w:rsidR="00F70541" w:rsidRPr="00315335" w:rsidRDefault="00F70541" w:rsidP="00F70541">
      <w:pPr>
        <w:spacing w:after="0" w:line="240" w:lineRule="auto"/>
        <w:ind w:firstLine="708"/>
        <w:jc w:val="both"/>
        <w:rPr>
          <w:rFonts w:ascii="Arial" w:eastAsia="Times New Roman" w:hAnsi="Arial" w:cs="Arial"/>
          <w:sz w:val="24"/>
          <w:szCs w:val="24"/>
        </w:rPr>
      </w:pPr>
    </w:p>
    <w:p w:rsidR="00F70541" w:rsidRPr="00315335" w:rsidRDefault="00F70541" w:rsidP="00F70541">
      <w:pPr>
        <w:spacing w:after="0" w:line="240" w:lineRule="auto"/>
        <w:ind w:firstLine="708"/>
        <w:jc w:val="both"/>
        <w:rPr>
          <w:rFonts w:ascii="Arial" w:eastAsia="Times New Roman" w:hAnsi="Arial" w:cs="Arial"/>
          <w:sz w:val="24"/>
          <w:szCs w:val="24"/>
        </w:rPr>
      </w:pPr>
    </w:p>
    <w:p w:rsidR="00F70541" w:rsidRPr="00315335" w:rsidRDefault="00F70541" w:rsidP="00F70541">
      <w:pPr>
        <w:pStyle w:val="Indentcorptext"/>
        <w:tabs>
          <w:tab w:val="left" w:pos="2478"/>
        </w:tabs>
        <w:spacing w:after="0" w:line="240" w:lineRule="auto"/>
        <w:ind w:left="0"/>
        <w:jc w:val="center"/>
        <w:rPr>
          <w:rFonts w:ascii="Arial" w:hAnsi="Arial" w:cs="Arial"/>
          <w:b/>
          <w:sz w:val="24"/>
          <w:szCs w:val="24"/>
          <w:lang w:val="ro-RO"/>
        </w:rPr>
      </w:pPr>
      <w:r w:rsidRPr="00315335">
        <w:rPr>
          <w:rFonts w:ascii="Arial" w:hAnsi="Arial" w:cs="Arial"/>
          <w:b/>
          <w:noProof/>
          <w:sz w:val="24"/>
          <w:szCs w:val="24"/>
          <w:lang w:val="ro-RO" w:eastAsia="ro-RO"/>
        </w:rPr>
        <w:drawing>
          <wp:inline distT="0" distB="0" distL="0" distR="0" wp14:anchorId="6EE829BF" wp14:editId="5B9667D1">
            <wp:extent cx="5112385" cy="2752725"/>
            <wp:effectExtent l="19050" t="0" r="12065" b="0"/>
            <wp:docPr id="24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70541" w:rsidRPr="00315335" w:rsidRDefault="00F70541" w:rsidP="00F70541">
      <w:pPr>
        <w:pStyle w:val="Subsol"/>
        <w:jc w:val="center"/>
        <w:rPr>
          <w:rFonts w:ascii="Arial" w:hAnsi="Arial" w:cs="Arial"/>
          <w:sz w:val="24"/>
          <w:szCs w:val="24"/>
          <w:lang w:val="it-IT"/>
        </w:rPr>
      </w:pPr>
    </w:p>
    <w:p w:rsidR="00F70541" w:rsidRPr="00315335" w:rsidRDefault="00F70541" w:rsidP="00F70541">
      <w:pPr>
        <w:pStyle w:val="Subsol"/>
        <w:jc w:val="center"/>
        <w:rPr>
          <w:rFonts w:ascii="Arial" w:hAnsi="Arial" w:cs="Arial"/>
          <w:sz w:val="24"/>
          <w:szCs w:val="24"/>
        </w:rPr>
      </w:pPr>
      <w:r w:rsidRPr="00315335">
        <w:rPr>
          <w:rFonts w:ascii="Arial" w:hAnsi="Arial" w:cs="Arial"/>
          <w:sz w:val="24"/>
          <w:szCs w:val="24"/>
          <w:lang w:val="it-IT"/>
        </w:rPr>
        <w:t>Fig. nr. IV.3.2-1</w:t>
      </w:r>
    </w:p>
    <w:p w:rsidR="00F70541" w:rsidRPr="00315335" w:rsidRDefault="00F70541" w:rsidP="00F70541">
      <w:pPr>
        <w:pStyle w:val="Indentcorptext"/>
        <w:tabs>
          <w:tab w:val="left" w:pos="2478"/>
        </w:tabs>
        <w:spacing w:after="0" w:line="240" w:lineRule="auto"/>
        <w:ind w:left="0"/>
        <w:jc w:val="both"/>
        <w:rPr>
          <w:rFonts w:ascii="Arial" w:hAnsi="Arial" w:cs="Arial"/>
          <w:sz w:val="24"/>
          <w:szCs w:val="24"/>
          <w:lang w:val="ro-RO"/>
        </w:rPr>
      </w:pPr>
    </w:p>
    <w:p w:rsidR="00F70541" w:rsidRPr="00315335" w:rsidRDefault="00F70541" w:rsidP="00F70541">
      <w:pPr>
        <w:pStyle w:val="Indentcorptext"/>
        <w:tabs>
          <w:tab w:val="left" w:pos="2478"/>
        </w:tabs>
        <w:spacing w:after="0" w:line="240" w:lineRule="auto"/>
        <w:ind w:left="0"/>
        <w:jc w:val="both"/>
        <w:rPr>
          <w:rFonts w:ascii="Arial" w:hAnsi="Arial" w:cs="Arial"/>
          <w:b/>
          <w:sz w:val="24"/>
          <w:szCs w:val="24"/>
          <w:lang w:val="ro-RO"/>
        </w:rPr>
      </w:pPr>
    </w:p>
    <w:p w:rsidR="00F70541" w:rsidRPr="00315335" w:rsidRDefault="00F70541" w:rsidP="00F70541">
      <w:pPr>
        <w:pStyle w:val="Indentcorptext"/>
        <w:tabs>
          <w:tab w:val="left" w:pos="2478"/>
        </w:tabs>
        <w:spacing w:after="0" w:line="240" w:lineRule="auto"/>
        <w:ind w:left="0"/>
        <w:jc w:val="center"/>
        <w:rPr>
          <w:rFonts w:ascii="Arial" w:hAnsi="Arial" w:cs="Arial"/>
          <w:b/>
          <w:sz w:val="24"/>
          <w:szCs w:val="24"/>
          <w:lang w:val="ro-RO"/>
        </w:rPr>
      </w:pPr>
      <w:r w:rsidRPr="00315335">
        <w:rPr>
          <w:rFonts w:ascii="Arial" w:hAnsi="Arial" w:cs="Arial"/>
          <w:b/>
          <w:noProof/>
          <w:sz w:val="24"/>
          <w:szCs w:val="24"/>
          <w:lang w:val="ro-RO" w:eastAsia="ro-RO"/>
        </w:rPr>
        <w:lastRenderedPageBreak/>
        <w:drawing>
          <wp:inline distT="0" distB="0" distL="0" distR="0" wp14:anchorId="34199844" wp14:editId="54F32C4A">
            <wp:extent cx="5471795" cy="2162175"/>
            <wp:effectExtent l="19050" t="0" r="14605" b="0"/>
            <wp:docPr id="24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F70541" w:rsidRPr="00315335" w:rsidRDefault="00F70541" w:rsidP="00F70541">
      <w:pPr>
        <w:pStyle w:val="Subsol"/>
        <w:rPr>
          <w:rFonts w:ascii="Arial" w:hAnsi="Arial" w:cs="Arial"/>
          <w:b/>
          <w:sz w:val="24"/>
          <w:szCs w:val="24"/>
          <w:lang w:val="it-IT"/>
        </w:rPr>
      </w:pPr>
    </w:p>
    <w:p w:rsidR="00F70541" w:rsidRPr="00315335" w:rsidRDefault="00F70541" w:rsidP="00F70541">
      <w:pPr>
        <w:pStyle w:val="Subsol"/>
        <w:rPr>
          <w:rFonts w:ascii="Arial" w:hAnsi="Arial" w:cs="Arial"/>
          <w:sz w:val="24"/>
          <w:szCs w:val="24"/>
        </w:rPr>
      </w:pPr>
      <w:r w:rsidRPr="00315335">
        <w:rPr>
          <w:rFonts w:ascii="Arial" w:hAnsi="Arial" w:cs="Arial"/>
          <w:sz w:val="24"/>
          <w:szCs w:val="24"/>
          <w:lang w:val="it-IT"/>
        </w:rPr>
        <w:t xml:space="preserve">Fig. nr. IV.3.2. - 2- </w:t>
      </w:r>
      <w:r w:rsidRPr="00315335">
        <w:rPr>
          <w:rFonts w:ascii="Arial" w:hAnsi="Arial" w:cs="Arial"/>
          <w:bCs/>
          <w:iCs/>
          <w:sz w:val="24"/>
          <w:szCs w:val="24"/>
        </w:rPr>
        <w:t>Evoluţia suprafeţei terenurilor urbane și artificiale la nivelul județului Brăila în perioada 2011 - 2015</w:t>
      </w:r>
    </w:p>
    <w:p w:rsidR="00F70541" w:rsidRPr="00315335" w:rsidRDefault="00F70541" w:rsidP="00F70541">
      <w:pPr>
        <w:pStyle w:val="Indentcorptext"/>
        <w:tabs>
          <w:tab w:val="left" w:pos="851"/>
        </w:tabs>
        <w:spacing w:after="0" w:line="240" w:lineRule="auto"/>
        <w:ind w:left="0" w:firstLine="709"/>
        <w:jc w:val="both"/>
        <w:rPr>
          <w:rFonts w:ascii="Arial" w:hAnsi="Arial" w:cs="Arial"/>
          <w:sz w:val="24"/>
          <w:szCs w:val="24"/>
          <w:lang w:val="ro-RO"/>
        </w:rPr>
      </w:pPr>
      <w:r w:rsidRPr="00315335">
        <w:rPr>
          <w:rFonts w:ascii="Arial" w:hAnsi="Arial" w:cs="Arial"/>
          <w:sz w:val="24"/>
          <w:szCs w:val="24"/>
          <w:lang w:val="ro-RO"/>
        </w:rPr>
        <w:tab/>
        <w:t xml:space="preserve">În ceea ce privește </w:t>
      </w:r>
      <w:r w:rsidRPr="00315335">
        <w:rPr>
          <w:rFonts w:ascii="Arial" w:hAnsi="Arial" w:cs="Arial"/>
          <w:i/>
          <w:sz w:val="24"/>
          <w:szCs w:val="24"/>
          <w:lang w:val="ro-RO"/>
        </w:rPr>
        <w:t>terenurile urbane și artificiale</w:t>
      </w:r>
      <w:r w:rsidRPr="00315335">
        <w:rPr>
          <w:rFonts w:ascii="Arial" w:hAnsi="Arial" w:cs="Arial"/>
          <w:sz w:val="24"/>
          <w:szCs w:val="24"/>
          <w:lang w:val="ro-RO"/>
        </w:rPr>
        <w:t xml:space="preserve"> (curți și construcții și drumuri și căi ferate) se constată o ușoară creștere a acestora în perioada 2011 – 2015.</w:t>
      </w:r>
    </w:p>
    <w:p w:rsidR="00F70541" w:rsidRPr="00315335" w:rsidRDefault="00F70541" w:rsidP="00F70541">
      <w:pPr>
        <w:spacing w:after="0" w:line="240" w:lineRule="auto"/>
        <w:jc w:val="center"/>
        <w:rPr>
          <w:rFonts w:ascii="Arial" w:eastAsia="Times New Roman" w:hAnsi="Arial" w:cs="Arial"/>
          <w:sz w:val="24"/>
          <w:szCs w:val="24"/>
        </w:rPr>
      </w:pPr>
    </w:p>
    <w:p w:rsidR="00F70541" w:rsidRPr="00315335" w:rsidRDefault="00F70541" w:rsidP="00F70541">
      <w:pPr>
        <w:spacing w:after="0" w:line="240" w:lineRule="auto"/>
        <w:jc w:val="both"/>
        <w:rPr>
          <w:rFonts w:ascii="Arial" w:eastAsia="Times New Roman" w:hAnsi="Arial" w:cs="Arial"/>
          <w:b/>
          <w:sz w:val="24"/>
          <w:szCs w:val="24"/>
        </w:rPr>
      </w:pPr>
      <w:r w:rsidRPr="00315335">
        <w:rPr>
          <w:rFonts w:ascii="Arial" w:eastAsia="Times New Roman" w:hAnsi="Arial" w:cs="Arial"/>
          <w:b/>
          <w:sz w:val="24"/>
          <w:szCs w:val="24"/>
        </w:rPr>
        <w:t>IV.4.  Prognoze și acțiuni întreprinse privind utilizarea terenurilor</w:t>
      </w:r>
    </w:p>
    <w:p w:rsidR="00F70541" w:rsidRPr="00315335" w:rsidRDefault="00F70541" w:rsidP="00F70541">
      <w:pPr>
        <w:spacing w:after="0" w:line="240" w:lineRule="auto"/>
        <w:ind w:firstLine="708"/>
        <w:jc w:val="both"/>
        <w:rPr>
          <w:rFonts w:ascii="Arial" w:eastAsia="Times New Roman" w:hAnsi="Arial" w:cs="Arial"/>
          <w:sz w:val="24"/>
          <w:szCs w:val="24"/>
        </w:rPr>
      </w:pPr>
    </w:p>
    <w:p w:rsidR="00F70541" w:rsidRPr="00315335" w:rsidRDefault="00F70541" w:rsidP="00F70541">
      <w:pPr>
        <w:spacing w:after="0" w:line="240" w:lineRule="auto"/>
        <w:ind w:firstLine="708"/>
        <w:jc w:val="both"/>
        <w:rPr>
          <w:rFonts w:ascii="Arial" w:eastAsia="Times New Roman" w:hAnsi="Arial" w:cs="Arial"/>
          <w:sz w:val="24"/>
          <w:szCs w:val="24"/>
        </w:rPr>
      </w:pPr>
      <w:r w:rsidRPr="00315335">
        <w:rPr>
          <w:rFonts w:ascii="Arial" w:eastAsia="Times New Roman" w:hAnsi="Arial" w:cs="Arial"/>
          <w:sz w:val="24"/>
          <w:szCs w:val="24"/>
        </w:rPr>
        <w:t xml:space="preserve">La nivel national, reducerea presiunilor datorate schimbării destinaţiei terenurilor şi care conduc la pierderea habitatelor naturale şi semi-naturale reprezintă unul dintre obiectivele prevăzute în Strategia Naţională şi Planul de Acţiune pentru Conservarea Biodiversităţii 2013 – 2020, obiective care sunt preluate și la nivel județean. </w:t>
      </w:r>
    </w:p>
    <w:p w:rsidR="00F70541" w:rsidRPr="00315335" w:rsidRDefault="00F70541" w:rsidP="00F70541">
      <w:pPr>
        <w:spacing w:after="0" w:line="240" w:lineRule="auto"/>
        <w:ind w:firstLine="708"/>
        <w:jc w:val="both"/>
        <w:rPr>
          <w:rFonts w:ascii="Arial" w:eastAsia="Times New Roman" w:hAnsi="Arial" w:cs="Arial"/>
          <w:sz w:val="24"/>
          <w:szCs w:val="24"/>
        </w:rPr>
      </w:pPr>
      <w:r w:rsidRPr="00315335">
        <w:rPr>
          <w:rFonts w:ascii="Arial" w:eastAsia="Times New Roman" w:hAnsi="Arial" w:cs="Arial"/>
          <w:sz w:val="24"/>
          <w:szCs w:val="24"/>
        </w:rPr>
        <w:t>Deciziile politice care modifică utilizarea terenurilor implică compromisuri între interesele de dezvoltare ale sectoriale, inclusiv industrie, transport, energie, minerit, agricultură şi silvicultură. Se impune promovarea sistemelor de folosire integrată a terenurilor la nivel local şi regional, dublată de introducerea ghidurilor şi codurilor de bună practică prevăzută în cadrul Planului naţional de acţiune privind schimbările climatice, prin acţiunea Utilizarea terenurilor, schimbarea utilizării terenurilor şi silvicultură va  permite utilizarea durabilă a terenurilor.</w:t>
      </w:r>
    </w:p>
    <w:p w:rsidR="00F70541" w:rsidRPr="00315335" w:rsidRDefault="00F70541" w:rsidP="00F70541">
      <w:pPr>
        <w:spacing w:after="0" w:line="240" w:lineRule="auto"/>
        <w:ind w:firstLine="708"/>
        <w:jc w:val="both"/>
        <w:rPr>
          <w:rFonts w:ascii="Arial" w:eastAsia="Times New Roman" w:hAnsi="Arial" w:cs="Arial"/>
          <w:sz w:val="24"/>
          <w:szCs w:val="24"/>
        </w:rPr>
      </w:pPr>
      <w:r w:rsidRPr="00315335">
        <w:rPr>
          <w:rFonts w:ascii="Arial" w:eastAsia="Times New Roman" w:hAnsi="Arial" w:cs="Arial"/>
          <w:sz w:val="24"/>
          <w:szCs w:val="24"/>
        </w:rPr>
        <w:t xml:space="preserve">Deşi nu există obiective cantitative în ceea ce priveşte ocuparea terenurilor prin dezvoltarea urbană la nivel european, mai multe documente reflectă necesitatea unei mai bune planificări pentru a controla dezvoltarea urbană şi extinderea infrastructurilor. </w:t>
      </w:r>
    </w:p>
    <w:p w:rsidR="00F70541" w:rsidRPr="00315335" w:rsidRDefault="00F70541" w:rsidP="00F70541">
      <w:pPr>
        <w:spacing w:after="0" w:line="240" w:lineRule="auto"/>
        <w:ind w:firstLine="708"/>
        <w:jc w:val="both"/>
        <w:rPr>
          <w:rFonts w:ascii="Arial" w:eastAsia="Times New Roman" w:hAnsi="Arial" w:cs="Arial"/>
          <w:sz w:val="24"/>
          <w:szCs w:val="24"/>
        </w:rPr>
      </w:pPr>
      <w:r w:rsidRPr="00315335">
        <w:rPr>
          <w:rFonts w:ascii="Arial" w:eastAsia="Times New Roman" w:hAnsi="Arial" w:cs="Arial"/>
          <w:sz w:val="24"/>
          <w:szCs w:val="24"/>
        </w:rPr>
        <w:t xml:space="preserve">Politicile referitoare la problemele de utilizare rațională a terenurilor şi la planificarea fizică şi spaţială a acestora sunt în responsabilitatea autorităţilor locale. </w:t>
      </w:r>
    </w:p>
    <w:p w:rsidR="00F70541" w:rsidRPr="00315335" w:rsidRDefault="00F70541" w:rsidP="00F70541">
      <w:pPr>
        <w:spacing w:after="0" w:line="240" w:lineRule="auto"/>
        <w:ind w:firstLine="708"/>
        <w:jc w:val="both"/>
        <w:rPr>
          <w:rFonts w:ascii="Arial" w:hAnsi="Arial" w:cs="Arial"/>
          <w:sz w:val="24"/>
          <w:szCs w:val="24"/>
        </w:rPr>
      </w:pPr>
      <w:r w:rsidRPr="00315335">
        <w:rPr>
          <w:rFonts w:ascii="Arial" w:eastAsia="Times New Roman" w:hAnsi="Arial" w:cs="Arial"/>
          <w:sz w:val="24"/>
          <w:szCs w:val="24"/>
        </w:rPr>
        <w:t>În ceea ce privește utilizarea terenurilor în județul Brăila se constată în ultimii ani o tendință de creștere ușoară a terenurilor agricole de scădere a terenurilor neproductive și o ușoară creștere a  terenurilor urbane și artificiale care probabil se va păstra în perioada următoare.</w:t>
      </w:r>
    </w:p>
    <w:p w:rsidR="00F70541" w:rsidRPr="00315335" w:rsidRDefault="00F70541" w:rsidP="00F70541">
      <w:pPr>
        <w:spacing w:after="0" w:line="240" w:lineRule="auto"/>
        <w:ind w:firstLine="708"/>
        <w:jc w:val="both"/>
        <w:rPr>
          <w:rFonts w:ascii="Arial" w:hAnsi="Arial" w:cs="Arial"/>
          <w:sz w:val="24"/>
          <w:szCs w:val="24"/>
        </w:rPr>
      </w:pPr>
      <w:r w:rsidRPr="00315335">
        <w:rPr>
          <w:rFonts w:ascii="Arial" w:hAnsi="Arial" w:cs="Arial"/>
          <w:sz w:val="24"/>
          <w:szCs w:val="24"/>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Pr="00315335">
        <w:rPr>
          <w:rFonts w:ascii="Arial" w:hAnsi="Arial" w:cs="Arial"/>
          <w:i/>
          <w:iCs/>
          <w:sz w:val="24"/>
          <w:szCs w:val="24"/>
        </w:rPr>
        <w:t xml:space="preserve">conversia terenurilor </w:t>
      </w:r>
      <w:r w:rsidRPr="00315335">
        <w:rPr>
          <w:rFonts w:ascii="Arial" w:hAnsi="Arial" w:cs="Arial"/>
          <w:sz w:val="24"/>
          <w:szCs w:val="24"/>
        </w:rPr>
        <w:t>în scopul extinderii urbane, dezvoltării infrastructurii de transport, dezvoltării industriale, agricole și turistice.</w:t>
      </w:r>
    </w:p>
    <w:p w:rsidR="00F70541" w:rsidRPr="00315335" w:rsidRDefault="00F70541" w:rsidP="00F70541">
      <w:pPr>
        <w:spacing w:after="0" w:line="240" w:lineRule="auto"/>
        <w:ind w:firstLine="708"/>
        <w:jc w:val="both"/>
        <w:rPr>
          <w:rFonts w:ascii="Arial" w:hAnsi="Arial" w:cs="Arial"/>
          <w:iCs/>
          <w:sz w:val="24"/>
          <w:szCs w:val="24"/>
        </w:rPr>
      </w:pPr>
      <w:r w:rsidRPr="00315335">
        <w:rPr>
          <w:rFonts w:ascii="Arial" w:hAnsi="Arial" w:cs="Arial"/>
          <w:iCs/>
          <w:sz w:val="24"/>
          <w:szCs w:val="24"/>
        </w:rPr>
        <w:t>Datele privind schimbarea utilizării terenurilor agricole vor fi disponibile pe geo-portalul INSPIRE al României (http://geoportal.ancpi.ro/geoportal/catalog/main/home.page), coordonat de ANCPI conform Ordonanţei Guvernului nr. 4/2010 cu modificările şi completările ulterioare, ce a transpus în legislaţia naţională prevederile Directivei 2007/2/CE a Parlamentului European şi a Consiliului de instituire a unei infrastructuri pentru informaţii spaţiale în Comunitatea Europeană (INSPIRE). Agenţia Naţională de Cadastru şi Publicitate Imobiliară (ANCPI) în colaborare cu alte instituţii reponsabile pentru anumite teme de date spaţiale conforme cu INSPIRE - MMSC (acoperirea terenurilor), INS (repartizarea populaţiei demografice), MDRT (utilizarea terenurilor), MT (reţele de transport) - este responsabilă pentru realizarea seturilor de date spaţiale din România.</w:t>
      </w:r>
    </w:p>
    <w:p w:rsidR="00F70541" w:rsidRPr="00315335" w:rsidRDefault="00F70541" w:rsidP="00F70541">
      <w:pPr>
        <w:spacing w:after="0" w:line="240" w:lineRule="auto"/>
        <w:ind w:firstLine="708"/>
        <w:jc w:val="both"/>
        <w:rPr>
          <w:rFonts w:ascii="Arial" w:hAnsi="Arial" w:cs="Arial"/>
          <w:iCs/>
          <w:sz w:val="24"/>
          <w:szCs w:val="24"/>
        </w:rPr>
      </w:pPr>
    </w:p>
    <w:p w:rsidR="00737DE6" w:rsidRPr="00315335" w:rsidRDefault="00737DE6" w:rsidP="00F70541">
      <w:pPr>
        <w:spacing w:after="0" w:line="240" w:lineRule="auto"/>
        <w:ind w:firstLine="708"/>
        <w:jc w:val="both"/>
        <w:rPr>
          <w:rFonts w:ascii="Arial" w:hAnsi="Arial" w:cs="Arial"/>
          <w:iCs/>
          <w:sz w:val="24"/>
          <w:szCs w:val="24"/>
        </w:rPr>
      </w:pPr>
    </w:p>
    <w:p w:rsidR="00737DE6" w:rsidRPr="00315335" w:rsidRDefault="00737DE6" w:rsidP="00737DE6">
      <w:pPr>
        <w:shd w:val="clear" w:color="auto" w:fill="FFFFFF"/>
        <w:spacing w:after="0" w:line="240" w:lineRule="auto"/>
        <w:jc w:val="both"/>
        <w:rPr>
          <w:rFonts w:ascii="Arial" w:hAnsi="Arial" w:cs="Arial"/>
          <w:b/>
          <w:sz w:val="24"/>
          <w:szCs w:val="24"/>
        </w:rPr>
      </w:pPr>
      <w:r w:rsidRPr="00315335">
        <w:rPr>
          <w:rFonts w:ascii="Arial" w:hAnsi="Arial" w:cs="Arial"/>
          <w:b/>
          <w:sz w:val="24"/>
          <w:szCs w:val="24"/>
        </w:rPr>
        <w:lastRenderedPageBreak/>
        <w:t>V.   PROTECȚIA NATURII ȘI BIODIVERSITATEA</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Noţiunea de biodiversitate este complexă şi se referă atât la varietatea organismelor vii, specii de plante (floră) şi animale (faună), fie ele terestre sau acvatice care populează Pâmântul şi formează biosfera, cât şi la varietatea complexelor ecologice din care fac parte –ecosistemele, la varietatea peisajelor, dar şi la diversitatea culturală umană. Deci, biodiversitatea este compusă din diversitatea ecosistemelor, a speciilor şi cea genetică, dar şi cea etnoculturală. Umanitatea este ea însăşi o parte a biodiversităţii şi existenţa noastră în lume ar fi imposibilă fără aceasta. Calitatea vieţii, competitivitatea economică, forţa de muncă şi securitatea, toate se bazează pe acest capital natural. </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România a ratificat Convenţia privind Diversitatea Biologică (denumită în continuare "Convenţia" sau CBD), semnată la Rio de Janeiro, în 5 iunie 1992, prin Legea nr.58/1994. Conform Convenţiei, prin biodiversitate înţelegem varietatea de expresie a lumii vii, variabilitatea organismelor vii din toate sursele, inclusiv, printre altele, a ecosistemelor terestre, marine şi a altor ecosisteme acvatice şi a complexelor ecologice din care acestea fac parte; aceasta include diversitatea în cadrul speciilor, dintre specii şi a ecosistemelor</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Cele trei obiective ale CBD sunt următoarele: </w:t>
      </w:r>
    </w:p>
    <w:p w:rsidR="00737DE6" w:rsidRPr="00315335" w:rsidRDefault="00737DE6" w:rsidP="0010044C">
      <w:pPr>
        <w:numPr>
          <w:ilvl w:val="0"/>
          <w:numId w:val="57"/>
        </w:numPr>
        <w:shd w:val="clear" w:color="auto" w:fill="FFFFFF"/>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conservarea diversităţii biologice </w:t>
      </w:r>
    </w:p>
    <w:p w:rsidR="00737DE6" w:rsidRPr="00315335" w:rsidRDefault="00737DE6" w:rsidP="0010044C">
      <w:pPr>
        <w:numPr>
          <w:ilvl w:val="0"/>
          <w:numId w:val="57"/>
        </w:numPr>
        <w:shd w:val="clear" w:color="auto" w:fill="FFFFFF"/>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utilizarea durabilă a componentelor diversităţii biologice </w:t>
      </w:r>
    </w:p>
    <w:p w:rsidR="00737DE6" w:rsidRPr="00315335" w:rsidRDefault="00737DE6" w:rsidP="0010044C">
      <w:pPr>
        <w:numPr>
          <w:ilvl w:val="0"/>
          <w:numId w:val="57"/>
        </w:numPr>
        <w:shd w:val="clear" w:color="auto" w:fill="FFFFFF"/>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împărţirea corectă şi echitabilă a beneficiilor rezultate din utilizarea resurselor genetice. </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România a participat continuu la politica internaţională de mediu, semnând şi ratificând cele mai importante convenţii, rezoluţii, declaraţii şi acorduri de mediu. Astfel, a participat la: Conferinţa Naţiunilor Unite pentru Protecţia Mediului Înconjurător, Stockholm 1972, în 1992 la Conferinţa Naţiunilor Unite de la Rio de Janeiro, ratificând, în 1994, Convenţia Diversităţii Biologice, în anul 2002, la Conferinţa Naţiunilor Unite de la Johanesburg. </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Totodată, România a ratificat Convenţia privind Importanţa Internaţională a Zonelor Umede (Ramsar,1991), Convenţia de la Berna privind Conservarea speciilor sălbatice şi habitatelor naturale (1993), Convenţia privind comerţul internaţional cu specii ale faunei şi florei sălbatice pe cale de dispariţie (CITES, 1994), Convenţia de la Bonn privind Conservarea Speciilor Migratoare (1998), Convenţia Carpatică (2003). De asemenea, ţara noastră a aderat la Strategia şi Planul de Acţiune Pan - European privind Conservarea Diversităţii Biologice şi a „landscape-ului”, la Acordul privind Conservarea Cetaceelor Mici din Marea Mediterană şi Marea Neagră. </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Ca o consecinţă a poziţionării sale geografice, România se bucură de existenţa unei biodiversităţi unice, atât la nivelul ecosistemelor şi speciilor, cât şi la nivel genetic. Pe teritoriul ţării noastre se reunesc nu mai puţin de cinci regiuni biogeografice, dintre care două, cea stepică şi cea pontică, reprezintă elemente naturale noi adăugate la zestrea Uniunii Europene, marcând introducerea a numeroase noi tipuri de habitate şi specii. </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Cele cinci regiuni biogeografice sunt (figura nr. V-1.): </w:t>
      </w:r>
    </w:p>
    <w:p w:rsidR="00737DE6" w:rsidRPr="00315335" w:rsidRDefault="00737DE6" w:rsidP="0010044C">
      <w:pPr>
        <w:numPr>
          <w:ilvl w:val="0"/>
          <w:numId w:val="57"/>
        </w:numPr>
        <w:shd w:val="clear" w:color="auto" w:fill="FFFFFF"/>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continentală (53%); </w:t>
      </w:r>
    </w:p>
    <w:p w:rsidR="00737DE6" w:rsidRPr="00315335" w:rsidRDefault="00737DE6" w:rsidP="0010044C">
      <w:pPr>
        <w:numPr>
          <w:ilvl w:val="0"/>
          <w:numId w:val="57"/>
        </w:numPr>
        <w:shd w:val="clear" w:color="auto" w:fill="FFFFFF"/>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alpină (23%); </w:t>
      </w:r>
    </w:p>
    <w:p w:rsidR="00737DE6" w:rsidRPr="00315335" w:rsidRDefault="00737DE6" w:rsidP="0010044C">
      <w:pPr>
        <w:numPr>
          <w:ilvl w:val="0"/>
          <w:numId w:val="57"/>
        </w:numPr>
        <w:shd w:val="clear" w:color="auto" w:fill="FFFFFF"/>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stepică (17%); </w:t>
      </w:r>
    </w:p>
    <w:p w:rsidR="00737DE6" w:rsidRPr="00315335" w:rsidRDefault="00737DE6" w:rsidP="0010044C">
      <w:pPr>
        <w:numPr>
          <w:ilvl w:val="0"/>
          <w:numId w:val="57"/>
        </w:numPr>
        <w:shd w:val="clear" w:color="auto" w:fill="FFFFFF"/>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panonică (6%); </w:t>
      </w:r>
    </w:p>
    <w:p w:rsidR="00737DE6" w:rsidRPr="00315335" w:rsidRDefault="00737DE6" w:rsidP="0010044C">
      <w:pPr>
        <w:numPr>
          <w:ilvl w:val="0"/>
          <w:numId w:val="57"/>
        </w:numPr>
        <w:shd w:val="clear" w:color="auto" w:fill="FFFFFF"/>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pontică (1%). </w:t>
      </w:r>
    </w:p>
    <w:p w:rsidR="00737DE6" w:rsidRPr="00315335" w:rsidRDefault="00737DE6" w:rsidP="00737DE6">
      <w:pPr>
        <w:shd w:val="clear" w:color="auto" w:fill="FFFFFF"/>
        <w:spacing w:after="0" w:line="240" w:lineRule="auto"/>
        <w:ind w:left="735"/>
        <w:jc w:val="both"/>
        <w:rPr>
          <w:rFonts w:ascii="Arial" w:hAnsi="Arial" w:cs="Arial"/>
          <w:i/>
          <w:iCs/>
          <w:sz w:val="24"/>
          <w:szCs w:val="24"/>
        </w:rPr>
      </w:pPr>
    </w:p>
    <w:p w:rsidR="00737DE6" w:rsidRPr="00315335" w:rsidRDefault="00737DE6" w:rsidP="00737DE6">
      <w:pPr>
        <w:shd w:val="clear" w:color="auto" w:fill="FFFFFF"/>
        <w:spacing w:after="0" w:line="240" w:lineRule="auto"/>
        <w:ind w:left="735"/>
        <w:jc w:val="both"/>
        <w:rPr>
          <w:rFonts w:ascii="Arial" w:hAnsi="Arial" w:cs="Arial"/>
          <w:sz w:val="24"/>
          <w:szCs w:val="24"/>
        </w:rPr>
      </w:pPr>
    </w:p>
    <w:p w:rsidR="00737DE6" w:rsidRPr="00315335" w:rsidRDefault="00737DE6" w:rsidP="00737DE6">
      <w:pPr>
        <w:shd w:val="clear" w:color="auto" w:fill="FFFFFF"/>
        <w:spacing w:after="0" w:line="240" w:lineRule="auto"/>
        <w:ind w:left="735"/>
        <w:jc w:val="both"/>
        <w:rPr>
          <w:rFonts w:ascii="Arial" w:hAnsi="Arial" w:cs="Arial"/>
          <w:sz w:val="24"/>
          <w:szCs w:val="24"/>
        </w:rPr>
      </w:pPr>
      <w:r w:rsidRPr="00315335">
        <w:rPr>
          <w:rFonts w:ascii="Arial" w:hAnsi="Arial" w:cs="Arial"/>
          <w:noProof/>
          <w:sz w:val="24"/>
          <w:szCs w:val="24"/>
        </w:rPr>
        <w:lastRenderedPageBreak/>
        <w:drawing>
          <wp:inline distT="0" distB="0" distL="0" distR="0" wp14:anchorId="35C64779" wp14:editId="12B0B09F">
            <wp:extent cx="5640070" cy="444754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40070" cy="4447540"/>
                    </a:xfrm>
                    <a:prstGeom prst="rect">
                      <a:avLst/>
                    </a:prstGeom>
                    <a:noFill/>
                    <a:ln>
                      <a:noFill/>
                    </a:ln>
                  </pic:spPr>
                </pic:pic>
              </a:graphicData>
            </a:graphic>
          </wp:inline>
        </w:drawing>
      </w:r>
    </w:p>
    <w:p w:rsidR="00737DE6" w:rsidRPr="00315335" w:rsidRDefault="00737DE6" w:rsidP="00737DE6">
      <w:pPr>
        <w:shd w:val="clear" w:color="auto" w:fill="FFFFFF"/>
        <w:spacing w:after="0" w:line="240" w:lineRule="auto"/>
        <w:ind w:left="735"/>
        <w:jc w:val="center"/>
        <w:rPr>
          <w:rFonts w:ascii="Arial" w:hAnsi="Arial" w:cs="Arial"/>
          <w:sz w:val="24"/>
          <w:szCs w:val="24"/>
        </w:rPr>
      </w:pPr>
      <w:r w:rsidRPr="00315335">
        <w:rPr>
          <w:rFonts w:ascii="Arial" w:hAnsi="Arial" w:cs="Arial"/>
          <w:i/>
          <w:iCs/>
          <w:sz w:val="24"/>
          <w:szCs w:val="24"/>
        </w:rPr>
        <w:t>Figura V-1. Regiunile biogeografice ale României</w:t>
      </w:r>
    </w:p>
    <w:p w:rsidR="00737DE6" w:rsidRPr="00315335" w:rsidRDefault="00737DE6" w:rsidP="00737DE6">
      <w:pPr>
        <w:shd w:val="clear" w:color="auto" w:fill="FFFFFF"/>
        <w:autoSpaceDE w:val="0"/>
        <w:autoSpaceDN w:val="0"/>
        <w:adjustRightInd w:val="0"/>
        <w:spacing w:after="0" w:line="240" w:lineRule="auto"/>
        <w:ind w:firstLine="708"/>
        <w:jc w:val="both"/>
        <w:rPr>
          <w:rStyle w:val="tpt1"/>
          <w:rFonts w:ascii="Arial" w:hAnsi="Arial" w:cs="Arial"/>
          <w:b/>
          <w:sz w:val="24"/>
          <w:szCs w:val="24"/>
        </w:rPr>
      </w:pPr>
      <w:r w:rsidRPr="00315335">
        <w:rPr>
          <w:rFonts w:ascii="Arial" w:hAnsi="Arial" w:cs="Arial"/>
          <w:sz w:val="24"/>
          <w:szCs w:val="24"/>
        </w:rPr>
        <w:t>Judeţul Brăila deţine o mare varietate de ecosisteme terestre şi acvatice (păduri specifice de luncă, pajişti, bălţi şi lacuri, canale cu maluri aluviale), caracteristice regiunii biogeografice stepice. Vegetaţia naturală de stepă se mai găseşte în prezent pe versanţii depresiunilor de tasare, în spaţiile dintre parcelele agricole, pe marginile drumurilor, în zonele necultivate temporar. În Balta Mică a Brăilei, zonă cu statut de protecţie, în ciuda modificărilor survenite în structura sistemelor ecologice, ecosistemele naturale sunt conservate în procent de cca 50%. Astfel, peste jumătate din păsările observate în ţară se regăsesc în judeţul Brăila, acesta fiind situat pe cel mai important culoar de migraţie al păsărilor din bazinul inferior al Dunării de Jos, la jumătatea rutelor de migraţie între locurile de cuibărit din nordul Europei şi refugiile de iernat din Africa.</w:t>
      </w:r>
    </w:p>
    <w:p w:rsidR="00737DE6" w:rsidRPr="00315335" w:rsidRDefault="00737DE6" w:rsidP="00737DE6">
      <w:pPr>
        <w:pStyle w:val="Indentcorptext2"/>
        <w:shd w:val="clear" w:color="auto" w:fill="FFFFFF"/>
        <w:spacing w:after="0" w:line="240" w:lineRule="auto"/>
        <w:ind w:left="0"/>
        <w:jc w:val="both"/>
        <w:rPr>
          <w:rStyle w:val="tpt1"/>
          <w:rFonts w:ascii="Arial" w:hAnsi="Arial" w:cs="Arial"/>
          <w:b/>
        </w:rPr>
      </w:pPr>
      <w:r w:rsidRPr="00315335">
        <w:rPr>
          <w:rStyle w:val="tpt1"/>
          <w:rFonts w:ascii="Arial" w:hAnsi="Arial" w:cs="Arial"/>
          <w:b/>
        </w:rPr>
        <w:t>Habitatele naturale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Conform OUG nr. 57/2007 privind regimul ariilor naturale protejate, conservarea habitatelor naturale, a florei şi faunei salbatice, aprobată cu modificări şi completări prin Legea nr. 49/2011, cu completările ulterioare habitatele naturale sunt zone terestre, acvatice sau subterane, în stare naturală sau seminaturală, ce se diferenţiază prin caracteristici geografice, abiotice şi biotice. Principalele tipuri de habitate din judeţul Brăila sunt caracteristice regiunii biogeografice stepice şi sunt atât acvatice, cât şi terestre (păduri şi pajişti):</w:t>
      </w:r>
    </w:p>
    <w:p w:rsidR="00737DE6" w:rsidRPr="00315335" w:rsidRDefault="00737DE6" w:rsidP="0010044C">
      <w:pPr>
        <w:numPr>
          <w:ilvl w:val="0"/>
          <w:numId w:val="59"/>
        </w:numPr>
        <w:shd w:val="clear" w:color="auto" w:fill="FFFFFF"/>
        <w:spacing w:after="0" w:line="240" w:lineRule="auto"/>
        <w:jc w:val="both"/>
        <w:rPr>
          <w:rFonts w:ascii="Arial" w:hAnsi="Arial" w:cs="Arial"/>
          <w:sz w:val="24"/>
          <w:szCs w:val="24"/>
          <w:lang w:val="fr-FR"/>
        </w:rPr>
      </w:pPr>
      <w:r w:rsidRPr="00315335">
        <w:rPr>
          <w:rFonts w:ascii="Arial" w:hAnsi="Arial" w:cs="Arial"/>
          <w:sz w:val="24"/>
          <w:szCs w:val="24"/>
          <w:lang w:val="fr-FR"/>
        </w:rPr>
        <w:t>Habitatele de pădure.</w:t>
      </w:r>
    </w:p>
    <w:p w:rsidR="00737DE6" w:rsidRPr="00315335" w:rsidRDefault="00737DE6" w:rsidP="00737DE6">
      <w:pPr>
        <w:shd w:val="clear" w:color="auto" w:fill="FFFFFF"/>
        <w:spacing w:after="0" w:line="240" w:lineRule="auto"/>
        <w:ind w:left="66"/>
        <w:jc w:val="both"/>
        <w:rPr>
          <w:rFonts w:ascii="Arial" w:hAnsi="Arial" w:cs="Arial"/>
          <w:sz w:val="24"/>
          <w:szCs w:val="24"/>
          <w:lang w:val="fr-FR"/>
        </w:rPr>
      </w:pPr>
      <w:r w:rsidRPr="00315335">
        <w:rPr>
          <w:rFonts w:ascii="Arial" w:hAnsi="Arial" w:cs="Arial"/>
          <w:sz w:val="24"/>
          <w:szCs w:val="24"/>
          <w:lang w:val="fr-FR"/>
        </w:rPr>
        <w:t>Habitatele cu vegetaţie forestieră reprezintă circa 5% din suprafaţa judeţului şi sunt situate:</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xml:space="preserve">- 80% în luncile inundabile ale fluviului Dunărea şi ale râurilor Buzău şi Siret (predominant din plop şi salcie); </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- 20% sunt păduri de terasă pe raza judeţului, compuse preponderent din salcâm şi stejar, cele mai importante fiind trupurile: Viişoara, Colţea, Tătaru, Râmnicelu, Romanu, Rubla şi Lacu Sărat.</w:t>
      </w:r>
      <w:r w:rsidRPr="00315335">
        <w:rPr>
          <w:rFonts w:ascii="Arial" w:hAnsi="Arial" w:cs="Arial"/>
          <w:sz w:val="24"/>
          <w:szCs w:val="24"/>
          <w:lang w:val="fr-FR"/>
        </w:rPr>
        <w:tab/>
      </w:r>
      <w:r w:rsidRPr="00315335">
        <w:rPr>
          <w:rFonts w:ascii="Arial" w:hAnsi="Arial" w:cs="Arial"/>
          <w:sz w:val="24"/>
          <w:szCs w:val="24"/>
          <w:lang w:val="fr-FR"/>
        </w:rPr>
        <w:tab/>
      </w:r>
      <w:r w:rsidRPr="00315335">
        <w:rPr>
          <w:rFonts w:ascii="Arial" w:hAnsi="Arial" w:cs="Arial"/>
          <w:sz w:val="24"/>
          <w:szCs w:val="24"/>
          <w:lang w:val="fr-FR"/>
        </w:rPr>
        <w:tab/>
      </w:r>
      <w:r w:rsidRPr="00315335">
        <w:rPr>
          <w:rFonts w:ascii="Arial" w:hAnsi="Arial" w:cs="Arial"/>
          <w:sz w:val="24"/>
          <w:szCs w:val="24"/>
          <w:lang w:val="fr-FR"/>
        </w:rPr>
        <w:tab/>
      </w:r>
      <w:r w:rsidRPr="00315335">
        <w:rPr>
          <w:rFonts w:ascii="Arial" w:hAnsi="Arial" w:cs="Arial"/>
          <w:sz w:val="24"/>
          <w:szCs w:val="24"/>
          <w:lang w:val="fr-FR"/>
        </w:rPr>
        <w:tab/>
      </w:r>
      <w:r w:rsidRPr="00315335">
        <w:rPr>
          <w:rFonts w:ascii="Arial" w:hAnsi="Arial" w:cs="Arial"/>
          <w:sz w:val="24"/>
          <w:szCs w:val="24"/>
          <w:lang w:val="fr-FR"/>
        </w:rPr>
        <w:tab/>
      </w:r>
      <w:r w:rsidRPr="00315335">
        <w:rPr>
          <w:rFonts w:ascii="Arial" w:hAnsi="Arial" w:cs="Arial"/>
          <w:sz w:val="24"/>
          <w:szCs w:val="24"/>
          <w:lang w:val="fr-FR"/>
        </w:rPr>
        <w:tab/>
      </w:r>
      <w:r w:rsidRPr="00315335">
        <w:rPr>
          <w:rFonts w:ascii="Arial" w:hAnsi="Arial" w:cs="Arial"/>
          <w:sz w:val="24"/>
          <w:szCs w:val="24"/>
          <w:lang w:val="fr-FR"/>
        </w:rPr>
        <w:tab/>
      </w:r>
      <w:r w:rsidRPr="00315335">
        <w:rPr>
          <w:rFonts w:ascii="Arial" w:hAnsi="Arial" w:cs="Arial"/>
          <w:sz w:val="24"/>
          <w:szCs w:val="24"/>
          <w:lang w:val="fr-FR"/>
        </w:rPr>
        <w:tab/>
      </w:r>
    </w:p>
    <w:p w:rsidR="00737DE6" w:rsidRPr="00315335" w:rsidRDefault="00737DE6" w:rsidP="00737DE6">
      <w:pPr>
        <w:shd w:val="clear" w:color="auto" w:fill="FFFFFF"/>
        <w:spacing w:after="0" w:line="240" w:lineRule="auto"/>
        <w:jc w:val="both"/>
        <w:rPr>
          <w:rFonts w:ascii="Arial" w:hAnsi="Arial" w:cs="Arial"/>
          <w:sz w:val="24"/>
          <w:szCs w:val="24"/>
          <w:lang w:val="fr-FR"/>
        </w:rPr>
      </w:pPr>
      <w:r w:rsidRPr="00315335">
        <w:rPr>
          <w:rFonts w:ascii="Arial" w:hAnsi="Arial" w:cs="Arial"/>
          <w:sz w:val="24"/>
          <w:szCs w:val="24"/>
          <w:lang w:val="fr-FR"/>
        </w:rPr>
        <w:t>Tipuri de habitate forestiere:</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Stejăret (Quercus pubescens) pe soluri sărăturoase în stepă;</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Păduri stepice cu stejar brumăriu (Quercus pedunculiflora);</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Amestec de şleau de luncă cu stejar pedunculat (Quercus robur);</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Frăsinet de haşmac (păduri dispuse în fâşii înguste) cu Fraxinus excelsior;</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Ulmet de luncă cu Ulmus campestris;</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lastRenderedPageBreak/>
        <w:t>- Păduri aluviale (zăvoaie) de plopi albi (Populus alba) din luncă;</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Zăvoaie de plop negru (Populus nigra) din luncă;</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Zăvoaie amestecate de Populus alba şi P. nigra din luncă;</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Zăvoaie de salcie (Salix alba) din luncă;</w:t>
      </w:r>
    </w:p>
    <w:p w:rsidR="00737DE6" w:rsidRPr="00315335" w:rsidRDefault="00737DE6" w:rsidP="00737DE6">
      <w:pPr>
        <w:shd w:val="clear" w:color="auto" w:fill="FFFFFF"/>
        <w:spacing w:after="0" w:line="240" w:lineRule="auto"/>
        <w:ind w:firstLine="708"/>
        <w:jc w:val="both"/>
        <w:rPr>
          <w:rFonts w:ascii="Arial" w:hAnsi="Arial" w:cs="Arial"/>
          <w:sz w:val="24"/>
          <w:szCs w:val="24"/>
          <w:lang w:val="fr-FR"/>
        </w:rPr>
      </w:pPr>
      <w:r w:rsidRPr="00315335">
        <w:rPr>
          <w:rFonts w:ascii="Arial" w:hAnsi="Arial" w:cs="Arial"/>
          <w:sz w:val="24"/>
          <w:szCs w:val="24"/>
          <w:lang w:val="fr-FR"/>
        </w:rPr>
        <w:t>- Zăvoaie amestecate de plopi şi salcie din luncă;</w:t>
      </w:r>
    </w:p>
    <w:p w:rsidR="00737DE6" w:rsidRPr="00315335" w:rsidRDefault="00737DE6" w:rsidP="00737DE6">
      <w:pPr>
        <w:shd w:val="clear" w:color="auto" w:fill="FFFFFF"/>
        <w:spacing w:after="0" w:line="240" w:lineRule="auto"/>
        <w:ind w:firstLine="426"/>
        <w:jc w:val="both"/>
        <w:rPr>
          <w:rFonts w:ascii="Arial" w:hAnsi="Arial" w:cs="Arial"/>
          <w:sz w:val="24"/>
          <w:szCs w:val="24"/>
          <w:lang w:val="fr-FR"/>
        </w:rPr>
      </w:pPr>
      <w:r w:rsidRPr="00315335">
        <w:rPr>
          <w:rFonts w:ascii="Arial" w:hAnsi="Arial" w:cs="Arial"/>
          <w:sz w:val="24"/>
          <w:szCs w:val="24"/>
          <w:lang w:val="fr-FR"/>
        </w:rPr>
        <w:t xml:space="preserve">    - Zăvoaie de salcie şi cătină (Tamarix ramosissima) din lunci, pe soluri sărăturoase.</w:t>
      </w:r>
    </w:p>
    <w:p w:rsidR="00737DE6" w:rsidRPr="00315335" w:rsidRDefault="00737DE6" w:rsidP="00737DE6">
      <w:pPr>
        <w:shd w:val="clear" w:color="auto" w:fill="FFFFFF"/>
        <w:spacing w:after="0" w:line="240" w:lineRule="auto"/>
        <w:jc w:val="both"/>
        <w:rPr>
          <w:rFonts w:ascii="Arial" w:hAnsi="Arial" w:cs="Arial"/>
          <w:sz w:val="24"/>
          <w:szCs w:val="24"/>
          <w:lang w:val="fr-FR"/>
        </w:rPr>
      </w:pPr>
    </w:p>
    <w:p w:rsidR="00737DE6" w:rsidRPr="00315335" w:rsidRDefault="00737DE6" w:rsidP="0010044C">
      <w:pPr>
        <w:pStyle w:val="Listparagraf"/>
        <w:numPr>
          <w:ilvl w:val="0"/>
          <w:numId w:val="59"/>
        </w:numPr>
        <w:shd w:val="clear" w:color="auto" w:fill="FFFFFF"/>
        <w:jc w:val="both"/>
        <w:rPr>
          <w:rFonts w:ascii="Arial" w:hAnsi="Arial" w:cs="Arial"/>
          <w:lang w:val="fr-FR"/>
        </w:rPr>
      </w:pPr>
      <w:r w:rsidRPr="00315335">
        <w:rPr>
          <w:rFonts w:ascii="Arial" w:hAnsi="Arial" w:cs="Arial"/>
          <w:lang w:val="fr-FR"/>
        </w:rPr>
        <w:t>Habitatele de pajişti (pajişti de stepă, pajişti de luncă şi tufărişuri)</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Pajiştile stepice sunt puternic modificate, cu graminee şi ierburi xerofile, printre care Festuca valesiaca (păiuş), Stipa lessingiana (colilie), Stipa capillata (năgară). Pe pârloagele stepice (terenuri agricole necultivate) sunt  întâlnite specii ca Cynodon dactylon (pir gros), Bromus tectorum, Salsola ruthenica şi Artemisia austriaca (peliniţă) .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Habitatele de pajişti naturale sunt mai bine reprezentate în perimetrul Parcului Natural Balta Mică a Brăilei, afectate în trecut de păşunatul animalelor lăsate în stare semisălbatică (vaci, cai, dar mai ales porci), precum şi de păşunatul ovinelor, prin acumularea şi descompunerea dejecţiilor de ovine, rămânând doar speciile rezistente la acidifierea solului.</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Tufărişurile au cea mai mică dezvoltare, fie aparţinând pajiştilor, fie existând izolat, pe arii restrânse, în zone de luncă cu maluri nisipoase.</w:t>
      </w:r>
    </w:p>
    <w:p w:rsidR="00737DE6" w:rsidRPr="00315335" w:rsidRDefault="00737DE6" w:rsidP="00737DE6">
      <w:pPr>
        <w:shd w:val="clear" w:color="auto" w:fill="FFFFFF"/>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   Habitatele acvatice sunt reprezentate prin:</w:t>
      </w:r>
    </w:p>
    <w:p w:rsidR="00737DE6" w:rsidRPr="00315335" w:rsidRDefault="00737DE6" w:rsidP="0010044C">
      <w:pPr>
        <w:pStyle w:val="Listparagraf"/>
        <w:numPr>
          <w:ilvl w:val="0"/>
          <w:numId w:val="67"/>
        </w:numPr>
        <w:shd w:val="clear" w:color="auto" w:fill="FFFFFF"/>
        <w:jc w:val="both"/>
        <w:rPr>
          <w:rFonts w:ascii="Arial" w:hAnsi="Arial" w:cs="Arial"/>
          <w:lang w:val="fr-FR"/>
        </w:rPr>
      </w:pPr>
      <w:r w:rsidRPr="00315335">
        <w:rPr>
          <w:rFonts w:ascii="Arial" w:hAnsi="Arial" w:cs="Arial"/>
          <w:lang w:val="fr-FR"/>
        </w:rPr>
        <w:t>lacuri (sărate şi dulci)</w:t>
      </w:r>
    </w:p>
    <w:p w:rsidR="00737DE6" w:rsidRPr="00315335" w:rsidRDefault="00737DE6" w:rsidP="0010044C">
      <w:pPr>
        <w:pStyle w:val="Listparagraf"/>
        <w:numPr>
          <w:ilvl w:val="0"/>
          <w:numId w:val="67"/>
        </w:numPr>
        <w:shd w:val="clear" w:color="auto" w:fill="FFFFFF"/>
        <w:jc w:val="both"/>
        <w:rPr>
          <w:rFonts w:ascii="Arial" w:hAnsi="Arial" w:cs="Arial"/>
          <w:lang w:val="fr-FR"/>
        </w:rPr>
      </w:pPr>
      <w:r w:rsidRPr="00315335">
        <w:rPr>
          <w:rFonts w:ascii="Arial" w:hAnsi="Arial" w:cs="Arial"/>
          <w:lang w:val="fr-FR"/>
        </w:rPr>
        <w:t>bălţi (permanente şi temporare)</w:t>
      </w:r>
    </w:p>
    <w:p w:rsidR="00737DE6" w:rsidRPr="00315335" w:rsidRDefault="00737DE6" w:rsidP="0010044C">
      <w:pPr>
        <w:pStyle w:val="Listparagraf"/>
        <w:numPr>
          <w:ilvl w:val="0"/>
          <w:numId w:val="67"/>
        </w:numPr>
        <w:shd w:val="clear" w:color="auto" w:fill="FFFFFF"/>
        <w:jc w:val="both"/>
        <w:rPr>
          <w:rFonts w:ascii="Arial" w:hAnsi="Arial" w:cs="Arial"/>
          <w:lang w:val="fr-FR"/>
        </w:rPr>
      </w:pPr>
      <w:r w:rsidRPr="00315335">
        <w:rPr>
          <w:rFonts w:ascii="Arial" w:hAnsi="Arial" w:cs="Arial"/>
          <w:lang w:val="fr-FR"/>
        </w:rPr>
        <w:t>mlaştini</w:t>
      </w:r>
    </w:p>
    <w:p w:rsidR="00737DE6" w:rsidRPr="00315335" w:rsidRDefault="00737DE6" w:rsidP="0010044C">
      <w:pPr>
        <w:pStyle w:val="Listparagraf"/>
        <w:numPr>
          <w:ilvl w:val="0"/>
          <w:numId w:val="67"/>
        </w:numPr>
        <w:shd w:val="clear" w:color="auto" w:fill="FFFFFF"/>
        <w:jc w:val="both"/>
        <w:rPr>
          <w:rFonts w:ascii="Arial" w:hAnsi="Arial" w:cs="Arial"/>
          <w:lang w:val="fr-FR"/>
        </w:rPr>
      </w:pPr>
      <w:r w:rsidRPr="00315335">
        <w:rPr>
          <w:rFonts w:ascii="Arial" w:hAnsi="Arial" w:cs="Arial"/>
          <w:lang w:val="fr-FR"/>
        </w:rPr>
        <w:t>zone mlăştinoase</w:t>
      </w:r>
    </w:p>
    <w:p w:rsidR="00737DE6" w:rsidRPr="00315335" w:rsidRDefault="00737DE6" w:rsidP="0010044C">
      <w:pPr>
        <w:pStyle w:val="Listparagraf"/>
        <w:numPr>
          <w:ilvl w:val="0"/>
          <w:numId w:val="67"/>
        </w:numPr>
        <w:shd w:val="clear" w:color="auto" w:fill="FFFFFF"/>
        <w:jc w:val="both"/>
        <w:rPr>
          <w:rFonts w:ascii="Arial" w:hAnsi="Arial" w:cs="Arial"/>
          <w:lang w:val="fr-FR"/>
        </w:rPr>
      </w:pPr>
      <w:r w:rsidRPr="00315335">
        <w:rPr>
          <w:rFonts w:ascii="Arial" w:hAnsi="Arial" w:cs="Arial"/>
          <w:lang w:val="fr-FR"/>
        </w:rPr>
        <w:t>canale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Habitatele acvatice sunt destul de diverse, mergând ca reprezentare de la braţele Dunării şi luciile de apă din lunca inundabilă până la diverse lacuri dulci sau sărate situate pe teritoriul judeţului, fiind totodată şi cele care, în pofida impactului antropic, au conservat cel mai bine diversitatea biologică naturală caracteristică regiunii.</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Lacurile din judeţul Brăila sunt de trei categorii: clasto-carstice (lacurile cantonate în  depresiuni de tasare în loess sau crovuri), numite şi lacuri de crov, limanuri fluviatile (lacurile de meandru) şi lacuri de luncă.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Lacurile de meandru şi de braţ părăsit se găsesc îndeosebi în lunca Dunării (Blasova), pe terasa Călmăţuiului, precum şi în apropiere de Brăila (Lacul Sărat Brăila).</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O importantă categorie a apelor de suprafaţă o constituie lacurile terapeutice sărate, cu nămol sapropelic. Acestea sunt: Lacul Sărat Brăila, Lacurile Câineni Băi şi Movila Miresii.</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Lacul Sărat Brăila, este un vechi curs al Dunării, blocat acum, situat în sudul municipiului Brăila. Apa are o salinitate mare, iar fundul lacului este acoperit cu nămol terapeutic sapropelic. Morfologic este alcătuit din două compartimente (I şi II) separate de DJ 212, acestea putând comunica la nivele mari printr-o subtraversare a drumului. Lacul Sărat I Brăila, este singurul lac terapeutic din judeţ ale cărui resurse (apă sărată și nămol sapropelic) sunt valorificate la ora actuală. Valoarea terapeutică a apei şi a nămolului este cunoscută de multă vreme de către locuitorii acestei regiuni şi din vecinătăţi.</w:t>
      </w:r>
    </w:p>
    <w:p w:rsidR="00737DE6" w:rsidRPr="00315335" w:rsidRDefault="00737DE6" w:rsidP="00737DE6">
      <w:pPr>
        <w:shd w:val="clear" w:color="auto" w:fill="FFFFFF"/>
        <w:spacing w:after="0" w:line="240" w:lineRule="auto"/>
        <w:jc w:val="both"/>
        <w:rPr>
          <w:rFonts w:ascii="Arial" w:hAnsi="Arial" w:cs="Arial"/>
          <w:b/>
          <w:bCs/>
          <w:sz w:val="24"/>
          <w:szCs w:val="24"/>
        </w:rPr>
      </w:pPr>
      <w:r w:rsidRPr="00315335">
        <w:rPr>
          <w:rFonts w:ascii="Arial" w:hAnsi="Arial" w:cs="Arial"/>
          <w:b/>
          <w:bCs/>
          <w:sz w:val="24"/>
          <w:szCs w:val="24"/>
        </w:rPr>
        <w:t>Habitate de interes European</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Habitatele naturale de interes comunitar sunt acele tipuri care:</w:t>
      </w:r>
    </w:p>
    <w:p w:rsidR="00737DE6" w:rsidRPr="00315335" w:rsidRDefault="00737DE6" w:rsidP="00737DE6">
      <w:pPr>
        <w:shd w:val="clear" w:color="auto" w:fill="FFFFFF"/>
        <w:spacing w:after="0" w:line="240" w:lineRule="auto"/>
        <w:jc w:val="both"/>
        <w:rPr>
          <w:rFonts w:ascii="Arial" w:hAnsi="Arial" w:cs="Arial"/>
          <w:sz w:val="24"/>
          <w:szCs w:val="24"/>
          <w:lang w:val="it-IT"/>
        </w:rPr>
      </w:pPr>
      <w:r w:rsidRPr="00315335">
        <w:rPr>
          <w:rStyle w:val="li1"/>
          <w:rFonts w:ascii="Arial" w:hAnsi="Arial" w:cs="Arial"/>
          <w:color w:val="auto"/>
          <w:sz w:val="24"/>
          <w:szCs w:val="24"/>
          <w:lang w:val="it-IT"/>
        </w:rPr>
        <w:t xml:space="preserve">a) </w:t>
      </w:r>
      <w:r w:rsidRPr="00315335">
        <w:rPr>
          <w:rStyle w:val="tli1"/>
          <w:rFonts w:ascii="Arial" w:hAnsi="Arial" w:cs="Arial"/>
          <w:sz w:val="24"/>
          <w:szCs w:val="24"/>
          <w:lang w:val="it-IT"/>
        </w:rPr>
        <w:t>sunt în pericol de dispariţie în arealul lor natural;</w:t>
      </w:r>
    </w:p>
    <w:p w:rsidR="00737DE6" w:rsidRPr="00315335" w:rsidRDefault="00737DE6" w:rsidP="00737DE6">
      <w:pPr>
        <w:shd w:val="clear" w:color="auto" w:fill="FFFFFF"/>
        <w:spacing w:after="0" w:line="240" w:lineRule="auto"/>
        <w:jc w:val="both"/>
        <w:rPr>
          <w:rFonts w:ascii="Arial" w:hAnsi="Arial" w:cs="Arial"/>
          <w:sz w:val="24"/>
          <w:szCs w:val="24"/>
          <w:lang w:val="it-IT"/>
        </w:rPr>
      </w:pPr>
      <w:r w:rsidRPr="00315335">
        <w:rPr>
          <w:rStyle w:val="li1"/>
          <w:rFonts w:ascii="Arial" w:hAnsi="Arial" w:cs="Arial"/>
          <w:color w:val="auto"/>
          <w:sz w:val="24"/>
          <w:szCs w:val="24"/>
          <w:lang w:val="it-IT"/>
        </w:rPr>
        <w:t xml:space="preserve">b) </w:t>
      </w:r>
      <w:r w:rsidRPr="00315335">
        <w:rPr>
          <w:rStyle w:val="tli1"/>
          <w:rFonts w:ascii="Arial" w:hAnsi="Arial" w:cs="Arial"/>
          <w:sz w:val="24"/>
          <w:szCs w:val="24"/>
          <w:lang w:val="it-IT"/>
        </w:rPr>
        <w:t>au un areal natural redus ca urmare a restrângerii acestuia sau suprafaţa sa este redusă în mod natural;</w:t>
      </w:r>
    </w:p>
    <w:p w:rsidR="00737DE6" w:rsidRPr="00315335" w:rsidRDefault="00737DE6" w:rsidP="00737DE6">
      <w:pPr>
        <w:shd w:val="clear" w:color="auto" w:fill="FFFFFF"/>
        <w:spacing w:after="0" w:line="240" w:lineRule="auto"/>
        <w:jc w:val="both"/>
        <w:rPr>
          <w:rFonts w:ascii="Arial" w:hAnsi="Arial" w:cs="Arial"/>
          <w:sz w:val="24"/>
          <w:szCs w:val="24"/>
          <w:lang w:val="it-IT"/>
        </w:rPr>
      </w:pPr>
      <w:r w:rsidRPr="00315335">
        <w:rPr>
          <w:rStyle w:val="li1"/>
          <w:rFonts w:ascii="Arial" w:hAnsi="Arial" w:cs="Arial"/>
          <w:color w:val="auto"/>
          <w:sz w:val="24"/>
          <w:szCs w:val="24"/>
          <w:lang w:val="it-IT"/>
        </w:rPr>
        <w:t xml:space="preserve">c) </w:t>
      </w:r>
      <w:r w:rsidRPr="00315335">
        <w:rPr>
          <w:rStyle w:val="tli1"/>
          <w:rFonts w:ascii="Arial" w:hAnsi="Arial" w:cs="Arial"/>
          <w:sz w:val="24"/>
          <w:szCs w:val="24"/>
          <w:lang w:val="it-IT"/>
        </w:rPr>
        <w:t>sunt eşantioane reprezentative cu caracteristici tipice pentru una sau mai multe dintre cele 5 regiuni biogeografice: alpină, continentală, panonică, stepică şi pontică.</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Unele dintre acestea sunt habitate naturale prioritare deoarece sunt în pericol de dispariţie, iar pentru conservarea lor Uniunea Europeană are o responsabilitate particulară, ţinând cont de proporţia arealului lor natural de răspândire.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Dintre habitatele protejate pe plan european pentru conservarea unor specii de floră şi faună rare sau pe cale de dispariţie, cele caracteristice zonelor umede sunt cel mai bine reprezentate, diversitatea cea mai mare existând în lunca inundabilă a Dunării.</w:t>
      </w:r>
    </w:p>
    <w:p w:rsidR="00737DE6" w:rsidRPr="00315335" w:rsidRDefault="00737DE6" w:rsidP="00737DE6">
      <w:pPr>
        <w:shd w:val="clear" w:color="auto" w:fill="FFFFFF"/>
        <w:spacing w:after="0" w:line="240" w:lineRule="auto"/>
        <w:jc w:val="both"/>
        <w:rPr>
          <w:rFonts w:ascii="Arial" w:hAnsi="Arial" w:cs="Arial"/>
          <w:sz w:val="24"/>
          <w:szCs w:val="24"/>
          <w:lang w:val="pt-BR"/>
        </w:rPr>
      </w:pPr>
    </w:p>
    <w:p w:rsidR="00737DE6" w:rsidRPr="00315335" w:rsidRDefault="00737DE6" w:rsidP="00737DE6">
      <w:pPr>
        <w:shd w:val="clear" w:color="auto" w:fill="FFFFFF"/>
        <w:spacing w:after="0" w:line="240" w:lineRule="auto"/>
        <w:jc w:val="both"/>
        <w:rPr>
          <w:rFonts w:ascii="Arial" w:hAnsi="Arial" w:cs="Arial"/>
          <w:sz w:val="24"/>
          <w:szCs w:val="24"/>
        </w:rPr>
      </w:pPr>
      <w:r w:rsidRPr="00315335">
        <w:rPr>
          <w:rFonts w:ascii="Arial" w:hAnsi="Arial" w:cs="Arial"/>
          <w:sz w:val="24"/>
          <w:szCs w:val="24"/>
          <w:lang w:val="pt-BR"/>
        </w:rPr>
        <w:lastRenderedPageBreak/>
        <w:t> </w:t>
      </w:r>
      <w:r w:rsidRPr="00315335">
        <w:rPr>
          <w:rFonts w:ascii="Arial" w:hAnsi="Arial" w:cs="Arial"/>
          <w:b/>
          <w:sz w:val="24"/>
          <w:szCs w:val="24"/>
        </w:rPr>
        <w:t>Tabel nr. V-1</w:t>
      </w:r>
      <w:r w:rsidRPr="00315335">
        <w:rPr>
          <w:rFonts w:ascii="Arial" w:hAnsi="Arial" w:cs="Arial"/>
          <w:sz w:val="24"/>
          <w:szCs w:val="24"/>
        </w:rPr>
        <w:t>. Inventarul tipurilor de habitate de interes comunitar identificate în judeţul Brăila</w:t>
      </w:r>
    </w:p>
    <w:p w:rsidR="00737DE6" w:rsidRPr="00315335" w:rsidRDefault="00737DE6" w:rsidP="00737DE6">
      <w:pPr>
        <w:shd w:val="clear" w:color="auto" w:fill="FFFFFF"/>
        <w:spacing w:after="0" w:line="240" w:lineRule="auto"/>
        <w:jc w:val="both"/>
        <w:rPr>
          <w:rFonts w:ascii="Arial" w:hAnsi="Arial" w:cs="Arial"/>
          <w:sz w:val="24"/>
          <w:szCs w:val="24"/>
        </w:rPr>
      </w:pP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8"/>
        <w:gridCol w:w="3534"/>
        <w:gridCol w:w="1111"/>
        <w:gridCol w:w="4418"/>
      </w:tblGrid>
      <w:tr w:rsidR="00737DE6" w:rsidRPr="00315335" w:rsidTr="00916B06">
        <w:trPr>
          <w:trHeight w:val="557"/>
          <w:jc w:val="center"/>
        </w:trPr>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Nr. crt.</w:t>
            </w: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pStyle w:val="Subsol"/>
              <w:shd w:val="clear" w:color="auto" w:fill="FFFFFF"/>
              <w:jc w:val="center"/>
              <w:rPr>
                <w:rFonts w:ascii="Arial" w:hAnsi="Arial" w:cs="Arial"/>
                <w:sz w:val="24"/>
                <w:szCs w:val="24"/>
              </w:rPr>
            </w:pPr>
            <w:r w:rsidRPr="00315335">
              <w:rPr>
                <w:rFonts w:ascii="Arial" w:hAnsi="Arial" w:cs="Arial"/>
                <w:sz w:val="24"/>
                <w:szCs w:val="24"/>
              </w:rPr>
              <w:t>Tip habitat</w:t>
            </w:r>
          </w:p>
          <w:p w:rsidR="00737DE6" w:rsidRPr="00315335" w:rsidRDefault="00737DE6" w:rsidP="00916B06">
            <w:pPr>
              <w:pStyle w:val="Subsol"/>
              <w:shd w:val="clear" w:color="auto" w:fill="FFFFFF"/>
              <w:jc w:val="center"/>
              <w:rPr>
                <w:rFonts w:ascii="Arial" w:hAnsi="Arial" w:cs="Arial"/>
                <w:sz w:val="24"/>
                <w:szCs w:val="24"/>
              </w:rPr>
            </w:pPr>
            <w:r w:rsidRPr="00315335">
              <w:rPr>
                <w:rFonts w:ascii="Arial" w:hAnsi="Arial" w:cs="Arial"/>
                <w:sz w:val="24"/>
                <w:szCs w:val="24"/>
              </w:rPr>
              <w:t>conform OUG 57/2007</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Cod</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Natura</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2000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pStyle w:val="Subsol"/>
              <w:shd w:val="clear" w:color="auto" w:fill="FFFFFF"/>
              <w:jc w:val="center"/>
              <w:rPr>
                <w:rFonts w:ascii="Arial" w:hAnsi="Arial" w:cs="Arial"/>
                <w:sz w:val="24"/>
                <w:szCs w:val="24"/>
              </w:rPr>
            </w:pPr>
            <w:r w:rsidRPr="00315335">
              <w:rPr>
                <w:rFonts w:ascii="Arial" w:hAnsi="Arial" w:cs="Arial"/>
                <w:sz w:val="24"/>
                <w:szCs w:val="24"/>
              </w:rPr>
              <w:t>Zona în care a fost identificat</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Comunităţi cu Salicornia şi alte specii anuale care colonizează terenurile umede şi nisipoase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1310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Balta Albă, Lacul Jirlău, Lacul Sărat Câineni, Lacul Movila Miresii, Comăneasca, Lacul Sărat Brăila, Mihai Bravu</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Stepe şi mlaştini sărăturate panonice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1530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Balta Albă, Lacul Jirlău, Lacul Sărat Câineni, Valea Călmăţuiului, Lacul Movila Miresii, Comăneasca, Lacul Sărat Brăila, lunca Buzăului, Mihai Bravu</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Ape stătătoare, oligotrofe până la mezotrofe cu vegetaţie din Litorelletea uniflorae şi/sau Isoeto-Nanojuncetea</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en-US"/>
              </w:rPr>
            </w:pPr>
            <w:r w:rsidRPr="00315335">
              <w:rPr>
                <w:rFonts w:ascii="Arial" w:hAnsi="Arial" w:cs="Arial"/>
                <w:sz w:val="24"/>
                <w:szCs w:val="24"/>
                <w:lang w:val="en-US"/>
              </w:rPr>
              <w:t>3130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Parcul Natural Balta Mică a Brăilei (PNBMB), lunca Braţului Măcin</w:t>
            </w:r>
            <w:r w:rsidRPr="00315335">
              <w:rPr>
                <w:rFonts w:ascii="Arial" w:hAnsi="Arial" w:cs="Arial"/>
                <w:sz w:val="24"/>
                <w:szCs w:val="24"/>
              </w:rPr>
              <w:t>, lunca Buzăului</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pt-BR"/>
              </w:rPr>
            </w:pPr>
            <w:r w:rsidRPr="00315335">
              <w:rPr>
                <w:rFonts w:ascii="Arial" w:hAnsi="Arial" w:cs="Arial"/>
                <w:sz w:val="24"/>
                <w:szCs w:val="24"/>
                <w:lang w:val="pt-BR"/>
              </w:rPr>
              <w:t>Ape puternic oligo-mezotrofice cu vegetaţie bentonică de Chara sp.</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3140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Balta Albă, Lacul Jirlău, Lacul Sărat Câineni</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Lacuri eutrofe naturale cu vegetaţie de tip Magnopotamion sau Hydrocarition</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3150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fr-FR"/>
              </w:rPr>
            </w:pPr>
            <w:r w:rsidRPr="00315335">
              <w:rPr>
                <w:rFonts w:ascii="Arial" w:hAnsi="Arial" w:cs="Arial"/>
                <w:sz w:val="24"/>
                <w:szCs w:val="24"/>
                <w:lang w:val="fr-FR"/>
              </w:rPr>
              <w:t>PNBMB: lacuri şi bălti,</w:t>
            </w:r>
          </w:p>
          <w:p w:rsidR="00737DE6" w:rsidRPr="00315335" w:rsidRDefault="00737DE6" w:rsidP="00916B06">
            <w:pPr>
              <w:shd w:val="clear" w:color="auto" w:fill="FFFFFF"/>
              <w:spacing w:after="0" w:line="240" w:lineRule="auto"/>
              <w:rPr>
                <w:rFonts w:ascii="Arial" w:hAnsi="Arial" w:cs="Arial"/>
                <w:sz w:val="24"/>
                <w:szCs w:val="24"/>
                <w:lang w:val="fr-FR"/>
              </w:rPr>
            </w:pPr>
            <w:r w:rsidRPr="00315335">
              <w:rPr>
                <w:rFonts w:ascii="Arial" w:hAnsi="Arial" w:cs="Arial"/>
                <w:sz w:val="24"/>
                <w:szCs w:val="24"/>
                <w:lang w:val="fr-FR"/>
              </w:rPr>
              <w:t>mlaştini împădurite</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fr-FR"/>
              </w:rPr>
            </w:pPr>
            <w:r w:rsidRPr="00315335">
              <w:rPr>
                <w:rFonts w:ascii="Arial" w:hAnsi="Arial" w:cs="Arial"/>
                <w:sz w:val="24"/>
                <w:szCs w:val="24"/>
                <w:lang w:val="fr-FR"/>
              </w:rPr>
              <w:t>Cursuri  de apă din zona de câmpie până în etajul montan, cu vegetaţie din Ranunculion fluitantis şi Callitricho-Batrachion</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3260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fr-FR"/>
              </w:rPr>
            </w:pPr>
            <w:r w:rsidRPr="00315335">
              <w:rPr>
                <w:rFonts w:ascii="Arial" w:hAnsi="Arial" w:cs="Arial"/>
                <w:sz w:val="24"/>
                <w:szCs w:val="24"/>
                <w:lang w:val="fr-FR"/>
              </w:rPr>
              <w:t>Lunca Siretului</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fr-FR"/>
              </w:rPr>
            </w:pPr>
            <w:r w:rsidRPr="00315335">
              <w:rPr>
                <w:rFonts w:ascii="Arial" w:hAnsi="Arial" w:cs="Arial"/>
                <w:sz w:val="24"/>
                <w:szCs w:val="24"/>
                <w:lang w:val="fr-FR"/>
              </w:rPr>
              <w:t>Râuri cu maluri nămoloase cu vegetaţie de Chenopodion rubri si Bidention</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3270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fr-FR"/>
              </w:rPr>
            </w:pPr>
            <w:r w:rsidRPr="00315335">
              <w:rPr>
                <w:rFonts w:ascii="Arial" w:hAnsi="Arial" w:cs="Arial"/>
                <w:sz w:val="24"/>
                <w:szCs w:val="24"/>
                <w:lang w:val="fr-FR"/>
              </w:rPr>
              <w:t>PNBMB-canale cu maluri aluviale, lunca Braţului Măcin, lunca Siretului</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en-US"/>
              </w:rPr>
            </w:pPr>
            <w:r w:rsidRPr="00315335">
              <w:rPr>
                <w:rFonts w:ascii="Arial" w:hAnsi="Arial" w:cs="Arial"/>
                <w:sz w:val="24"/>
                <w:szCs w:val="24"/>
                <w:lang w:val="en-US"/>
              </w:rPr>
              <w:t>Stepe ponto-sarmatice -</w:t>
            </w:r>
            <w:r w:rsidRPr="00315335">
              <w:rPr>
                <w:rFonts w:ascii="Arial" w:hAnsi="Arial" w:cs="Arial"/>
                <w:sz w:val="24"/>
                <w:szCs w:val="24"/>
                <w:u w:val="single"/>
                <w:lang w:val="fr-FR"/>
              </w:rPr>
              <w:t xml:space="preserve"> habitat prioritar</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en-US"/>
              </w:rPr>
            </w:pPr>
            <w:r w:rsidRPr="00315335">
              <w:rPr>
                <w:rFonts w:ascii="Arial" w:hAnsi="Arial" w:cs="Arial"/>
                <w:sz w:val="24"/>
                <w:szCs w:val="24"/>
                <w:lang w:val="en-US"/>
              </w:rPr>
              <w:t>62CO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lunca Braţului Măcin</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Pajişti cu Molinia pe soluri calcaroase, turboase sau argiloase (Molinion caeruleae)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it-IT"/>
              </w:rPr>
            </w:pPr>
            <w:r w:rsidRPr="00315335">
              <w:rPr>
                <w:rFonts w:ascii="Arial" w:hAnsi="Arial" w:cs="Arial"/>
                <w:sz w:val="24"/>
                <w:szCs w:val="24"/>
                <w:lang w:val="it-IT"/>
              </w:rPr>
              <w:t>6410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PNBMB - Mlaştini cu vegetaţie de Molinia pe soluri luto-argiloase</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Asociaţii de lizieră cu ierburi înalte higrofile de la nivelul câmpiilor până la cel montan şi alpin</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it-IT"/>
              </w:rPr>
            </w:pPr>
            <w:r w:rsidRPr="00315335">
              <w:rPr>
                <w:rFonts w:ascii="Arial" w:hAnsi="Arial" w:cs="Arial"/>
                <w:sz w:val="24"/>
                <w:szCs w:val="24"/>
                <w:lang w:val="it-IT"/>
              </w:rPr>
              <w:t>6430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PNBMB,  lunca Braţului Măcin</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Pajişti aluviale din Cnidion dubii</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it-IT"/>
              </w:rPr>
            </w:pPr>
            <w:r w:rsidRPr="00315335">
              <w:rPr>
                <w:rFonts w:ascii="Arial" w:hAnsi="Arial" w:cs="Arial"/>
                <w:sz w:val="24"/>
                <w:szCs w:val="24"/>
                <w:lang w:val="it-IT"/>
              </w:rPr>
              <w:t>6440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PNBMB - mlaştini de-a lungul văii Dunării; lunca Braţului Măcin, lunca Siretului</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Pajişti de altitudine joasă (Alopecurus pratensis, Sanguisorba officinalis)</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lang w:val="it-IT"/>
              </w:rPr>
            </w:pPr>
            <w:r w:rsidRPr="00315335">
              <w:rPr>
                <w:rFonts w:ascii="Arial" w:hAnsi="Arial" w:cs="Arial"/>
                <w:sz w:val="24"/>
                <w:szCs w:val="24"/>
                <w:lang w:val="it-IT"/>
              </w:rPr>
              <w:t>6510</w:t>
            </w:r>
          </w:p>
          <w:p w:rsidR="00737DE6" w:rsidRPr="00315335" w:rsidRDefault="00737DE6" w:rsidP="00916B06">
            <w:pPr>
              <w:shd w:val="clear" w:color="auto" w:fill="FFFFFF"/>
              <w:spacing w:after="0" w:line="240" w:lineRule="auto"/>
              <w:jc w:val="center"/>
              <w:rPr>
                <w:rFonts w:ascii="Arial" w:hAnsi="Arial" w:cs="Arial"/>
                <w:sz w:val="24"/>
                <w:szCs w:val="24"/>
                <w:lang w:val="it-IT"/>
              </w:rPr>
            </w:pP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PNBMB - păşuni umede, depresiuni mlăştinoase;</w:t>
            </w:r>
          </w:p>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 xml:space="preserve"> lunca Braţului Măcin</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Păduri  aluviale cu Alnus glutinosa şi Fraxinus excelsior (Alno-Padion, Alnion incanae, Salicion albae)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it-IT"/>
              </w:rPr>
            </w:pPr>
            <w:r w:rsidRPr="00315335">
              <w:rPr>
                <w:rFonts w:ascii="Arial" w:hAnsi="Arial" w:cs="Arial"/>
                <w:sz w:val="24"/>
                <w:szCs w:val="24"/>
                <w:lang w:val="it-IT"/>
              </w:rPr>
              <w:t>91EO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fr-FR"/>
              </w:rPr>
              <w:t>Lunca Siretului</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 xml:space="preserve">Păduri mixte cu Quercus robur, Ulmus laevis, Fraxinus excelsior sau Fraxinus </w:t>
            </w:r>
            <w:r w:rsidRPr="00315335">
              <w:rPr>
                <w:rFonts w:ascii="Arial" w:hAnsi="Arial" w:cs="Arial"/>
                <w:sz w:val="24"/>
                <w:szCs w:val="24"/>
                <w:lang w:val="it-IT"/>
              </w:rPr>
              <w:lastRenderedPageBreak/>
              <w:t>angustifolia, din lungul marilor râuri (Ulmenion minoris)</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lastRenderedPageBreak/>
              <w:t>91FO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fr-FR"/>
              </w:rPr>
            </w:pPr>
            <w:r w:rsidRPr="00315335">
              <w:rPr>
                <w:rFonts w:ascii="Arial" w:hAnsi="Arial" w:cs="Arial"/>
                <w:sz w:val="24"/>
                <w:szCs w:val="24"/>
                <w:lang w:val="fr-FR"/>
              </w:rPr>
              <w:t>PNBMB</w:t>
            </w:r>
            <w:r w:rsidRPr="00315335">
              <w:rPr>
                <w:rFonts w:ascii="Arial" w:hAnsi="Arial" w:cs="Arial"/>
                <w:sz w:val="24"/>
                <w:szCs w:val="24"/>
                <w:lang w:val="it-IT"/>
              </w:rPr>
              <w:t>,</w:t>
            </w:r>
            <w:r w:rsidRPr="00315335">
              <w:rPr>
                <w:rFonts w:ascii="Arial" w:hAnsi="Arial" w:cs="Arial"/>
                <w:sz w:val="24"/>
                <w:szCs w:val="24"/>
                <w:lang w:val="fr-FR"/>
              </w:rPr>
              <w:t xml:space="preserve"> lunca Siretului</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fr-FR"/>
              </w:rPr>
            </w:pPr>
            <w:r w:rsidRPr="00315335">
              <w:rPr>
                <w:rFonts w:ascii="Arial" w:hAnsi="Arial" w:cs="Arial"/>
                <w:sz w:val="24"/>
                <w:szCs w:val="24"/>
                <w:lang w:val="fr-FR"/>
              </w:rPr>
              <w:t>Galerii cu Salix alba şi Populus alba</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92AO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fr-FR"/>
              </w:rPr>
            </w:pPr>
            <w:r w:rsidRPr="00315335">
              <w:rPr>
                <w:rFonts w:ascii="Arial" w:hAnsi="Arial" w:cs="Arial"/>
                <w:sz w:val="24"/>
                <w:szCs w:val="24"/>
                <w:lang w:val="fr-FR"/>
              </w:rPr>
              <w:t>PNBMB, lunca Braţului Măcin, lunca Buzăului, lunca Siretului</w:t>
            </w:r>
          </w:p>
        </w:tc>
      </w:tr>
      <w:tr w:rsidR="00737DE6" w:rsidRPr="00315335" w:rsidTr="00916B06">
        <w:trPr>
          <w:jc w:val="center"/>
        </w:trPr>
        <w:tc>
          <w:tcPr>
            <w:tcW w:w="528" w:type="dxa"/>
            <w:tcBorders>
              <w:top w:val="single" w:sz="4" w:space="0" w:color="auto"/>
              <w:left w:val="single" w:sz="4" w:space="0" w:color="auto"/>
              <w:bottom w:val="single" w:sz="4" w:space="0" w:color="auto"/>
              <w:right w:val="single" w:sz="4" w:space="0" w:color="auto"/>
            </w:tcBorders>
            <w:shd w:val="clear" w:color="auto" w:fill="auto"/>
          </w:tcPr>
          <w:p w:rsidR="00737DE6" w:rsidRPr="00315335" w:rsidRDefault="00737DE6" w:rsidP="0010044C">
            <w:pPr>
              <w:numPr>
                <w:ilvl w:val="0"/>
                <w:numId w:val="54"/>
              </w:numPr>
              <w:shd w:val="clear" w:color="auto" w:fill="FFFFFF"/>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Galerii  ripariene  şi tufărişuri (Nerio-Tamaricetea şi Securinegion tinctoriae)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92DO</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rPr>
              <w:t>lunca Buzăului</w:t>
            </w:r>
          </w:p>
        </w:tc>
      </w:tr>
    </w:tbl>
    <w:p w:rsidR="00737DE6" w:rsidRPr="00315335" w:rsidRDefault="00737DE6" w:rsidP="00737DE6">
      <w:pPr>
        <w:shd w:val="clear" w:color="auto" w:fill="FFFFFF"/>
        <w:spacing w:after="0" w:line="240" w:lineRule="auto"/>
        <w:jc w:val="both"/>
        <w:rPr>
          <w:rFonts w:ascii="Arial" w:hAnsi="Arial" w:cs="Arial"/>
          <w:sz w:val="24"/>
          <w:szCs w:val="24"/>
          <w:lang w:val="it-IT"/>
        </w:rPr>
      </w:pPr>
    </w:p>
    <w:p w:rsidR="00737DE6" w:rsidRPr="00315335" w:rsidRDefault="00737DE6" w:rsidP="00737DE6">
      <w:pPr>
        <w:shd w:val="clear" w:color="auto" w:fill="FFFFFF"/>
        <w:spacing w:after="0" w:line="240" w:lineRule="auto"/>
        <w:jc w:val="both"/>
        <w:rPr>
          <w:rFonts w:ascii="Arial" w:hAnsi="Arial" w:cs="Arial"/>
          <w:b/>
          <w:sz w:val="24"/>
          <w:szCs w:val="24"/>
          <w:lang w:val="it-IT"/>
        </w:rPr>
      </w:pPr>
      <w:r w:rsidRPr="00315335">
        <w:rPr>
          <w:rFonts w:ascii="Arial" w:hAnsi="Arial" w:cs="Arial"/>
          <w:b/>
          <w:sz w:val="24"/>
          <w:szCs w:val="24"/>
          <w:lang w:val="it-IT"/>
        </w:rPr>
        <w:t>Flora sălbatică</w:t>
      </w:r>
    </w:p>
    <w:p w:rsidR="00737DE6" w:rsidRPr="00315335" w:rsidRDefault="00737DE6" w:rsidP="00737DE6">
      <w:pPr>
        <w:pStyle w:val="Corptext2"/>
        <w:shd w:val="clear" w:color="auto" w:fill="FFFFFF"/>
        <w:spacing w:after="0" w:line="240" w:lineRule="auto"/>
        <w:ind w:firstLine="708"/>
        <w:jc w:val="both"/>
        <w:rPr>
          <w:rFonts w:ascii="Arial" w:hAnsi="Arial" w:cs="Arial"/>
          <w:lang w:val="ro-RO"/>
        </w:rPr>
      </w:pPr>
      <w:r w:rsidRPr="00315335">
        <w:rPr>
          <w:rFonts w:ascii="Arial" w:hAnsi="Arial" w:cs="Arial"/>
          <w:lang w:val="ro-RO"/>
        </w:rPr>
        <w:t>Într-un trecut mai îndepărtat vegetaţia caracteristică din judeţul Brăila era reprezentată prin stepă în zonele de câmpie şi prin vegetaţie de luncă şi baltă în Balta Brăilei. Stepa a fost desţelenită şi înlocuită cu vegetaţie de cultură (culturi agricole) în proporţie de peste 95%.</w:t>
      </w:r>
    </w:p>
    <w:p w:rsidR="00737DE6" w:rsidRPr="00315335" w:rsidRDefault="00737DE6" w:rsidP="00737DE6">
      <w:pPr>
        <w:pStyle w:val="Corptext2"/>
        <w:shd w:val="clear" w:color="auto" w:fill="FFFFFF"/>
        <w:spacing w:after="0" w:line="240" w:lineRule="auto"/>
        <w:ind w:firstLine="708"/>
        <w:jc w:val="both"/>
        <w:rPr>
          <w:rFonts w:ascii="Arial" w:hAnsi="Arial" w:cs="Arial"/>
          <w:lang w:val="ro-RO"/>
        </w:rPr>
      </w:pPr>
      <w:r w:rsidRPr="00315335">
        <w:rPr>
          <w:rFonts w:ascii="Arial" w:hAnsi="Arial" w:cs="Arial"/>
          <w:lang w:val="ro-RO"/>
        </w:rPr>
        <w:t>Aceasta se mai găseşte astăzi doar insular, pe pajiştile naturale, precum şi pe marginea drumurilor, de-a lungul digurilor şi canalelor de irigaţie. Asociaţiile vegetale caracteristice sunt cele de pajişti xerofile presărate din loc în loc cu tufărişuri constituite din arbuşti de stepă.</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 xml:space="preserve">Datorită umidităţii mari a solului, vegetaţia de lunca este mult mai bogată, aici dezvoltându-se o vegetaţie arborescentă de esenţă moale şi ierboasă dispusă pe benzi longitudinale sau concentrice, în cazul depresiunilor lacustre, în funcţie de gradul de umiditate. </w:t>
      </w:r>
    </w:p>
    <w:p w:rsidR="00737DE6" w:rsidRPr="00315335" w:rsidRDefault="00737DE6" w:rsidP="00737DE6">
      <w:pPr>
        <w:shd w:val="clear" w:color="auto" w:fill="FFFFFF"/>
        <w:spacing w:after="0" w:line="240" w:lineRule="auto"/>
        <w:jc w:val="both"/>
        <w:rPr>
          <w:rFonts w:ascii="Arial" w:eastAsia="SimSun" w:hAnsi="Arial" w:cs="Arial"/>
          <w:sz w:val="24"/>
          <w:szCs w:val="24"/>
        </w:rPr>
      </w:pPr>
      <w:r w:rsidRPr="00315335">
        <w:rPr>
          <w:rFonts w:ascii="Arial" w:eastAsia="SimSun" w:hAnsi="Arial" w:cs="Arial"/>
          <w:sz w:val="24"/>
          <w:szCs w:val="24"/>
        </w:rPr>
        <w:t>Din Balta Brăilei doar o treime din suprafaţă a rămas în regim liber de inundaţie, restul de peste 60000 de ha constituind actualmente incinta agricolă îndiguită Insula Mare a Brăilei. Vestigii ale florei acestui vast teritoriu de zonă umedă se găsesc acum în cele 10 insule din zona inundabilă care constituie Parcul Natural Balta Mică a Brăilei. Vegetaţia palustră a ostroavelor se remarcă prin specii rare, cum sunt nuferii albi şi galbeni, specii care doar în Delta Dunării sunt mai des întâlnite.</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Din cele 230 de specii de floră sălbatică inventariate în judeţul Brăila nu au fost identificate specii de interes naţional sau comunitar (listate în anexele 3-5 ale OUG 57/2007).</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Există și două specii endemice, și anume Campanula rotundifolia L., ssp. Romanica Savulescu Hayeck (clopoţel) şi Achillea coarctata Poir (coada şoricelului cu flori galbene), care cresc numai pe Popina Blasova-martor de eroziune hercinică (monument al naturii declarat la nivel judeţean), vestigiu al unui lanţ muntos din care s-au păstrat Munţii Măcin.</w:t>
      </w:r>
    </w:p>
    <w:p w:rsidR="00737DE6" w:rsidRPr="00315335" w:rsidRDefault="00737DE6" w:rsidP="00737DE6">
      <w:pPr>
        <w:shd w:val="clear" w:color="auto" w:fill="FFFFFF"/>
        <w:spacing w:after="0" w:line="240" w:lineRule="auto"/>
        <w:jc w:val="both"/>
        <w:rPr>
          <w:rFonts w:ascii="Arial" w:hAnsi="Arial" w:cs="Arial"/>
          <w:b/>
          <w:sz w:val="24"/>
          <w:szCs w:val="24"/>
        </w:rPr>
      </w:pPr>
    </w:p>
    <w:p w:rsidR="00737DE6" w:rsidRPr="00315335" w:rsidRDefault="00737DE6" w:rsidP="00737DE6">
      <w:pPr>
        <w:shd w:val="clear" w:color="auto" w:fill="FFFFFF"/>
        <w:spacing w:after="0" w:line="240" w:lineRule="auto"/>
        <w:jc w:val="both"/>
        <w:rPr>
          <w:rFonts w:ascii="Arial" w:hAnsi="Arial" w:cs="Arial"/>
          <w:b/>
          <w:sz w:val="24"/>
          <w:szCs w:val="24"/>
        </w:rPr>
      </w:pPr>
      <w:r w:rsidRPr="00315335">
        <w:rPr>
          <w:rFonts w:ascii="Arial" w:hAnsi="Arial" w:cs="Arial"/>
          <w:b/>
          <w:sz w:val="24"/>
          <w:szCs w:val="24"/>
        </w:rPr>
        <w:t>Fauna sălbatică</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Zoocenozele sunt specifice tipurilor de habitate descrise anterior, cele mai complexe fiind caracteristice pădurilor (de amestec) şi bălţilor permanente. Nevertebratele sunt reprezentate prin cel mai mare număr de specii, la nivelul tuturor tipurilor de ecosisteme, având o distribuţie relativ uniformă. Vertebratele sunt mai puţin numeroase, atât ca număr de specii, cât şi ca număr de indivizi.</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 xml:space="preserve">Păsările sunt cele mai numeroase dintre vertebrate,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balţi din terasa Dunării. </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Procentual, avifauna din Parcul Natural Balta Mică a Brăilei reprezintă peste jumătate din cea a României, respectiv 53%. Dintre acestea, 169 de specii sunt protejate pe plan european (prin Convenţia de la Berna), 58 de specii sunt păsări migratoare protejate prin Convenţia de la Bonn şi 6 specii protejate prin Convenţia CITES. De asemenea, 68 de  specii figurează în anexa I din Directiva Păsări. Faptul că zona inundabilă brăileană face parte din reţeaua internaţională de locuri de cuibărire şi pasaj, situată pe culoarul estic de migraţie dunărean, a fost unul dintre cele mai importante motive pentru care această zonă a fost  declarată arie protejată şi ulterior recunoscută ca sit Ramsar -zonă umedă de importanţă internaţională.</w:t>
      </w:r>
    </w:p>
    <w:p w:rsidR="00737DE6" w:rsidRPr="00315335" w:rsidRDefault="00737DE6" w:rsidP="00737DE6">
      <w:pPr>
        <w:pStyle w:val="BodyText21"/>
        <w:widowControl/>
        <w:shd w:val="clear" w:color="auto" w:fill="FFFFFF"/>
        <w:ind w:firstLine="737"/>
        <w:rPr>
          <w:rFonts w:ascii="Arial" w:hAnsi="Arial" w:cs="Arial"/>
          <w:u w:val="single"/>
          <w:lang w:val="ro-RO"/>
        </w:rPr>
      </w:pPr>
    </w:p>
    <w:p w:rsidR="00737DE6" w:rsidRPr="00315335" w:rsidRDefault="00737DE6" w:rsidP="00737DE6">
      <w:pPr>
        <w:pStyle w:val="BodyText21"/>
        <w:widowControl/>
        <w:shd w:val="clear" w:color="auto" w:fill="FFFFFF"/>
        <w:rPr>
          <w:rFonts w:ascii="Arial" w:hAnsi="Arial" w:cs="Arial"/>
          <w:b/>
          <w:lang w:val="ro-RO"/>
        </w:rPr>
      </w:pPr>
      <w:r w:rsidRPr="00315335">
        <w:rPr>
          <w:rFonts w:ascii="Arial" w:hAnsi="Arial" w:cs="Arial"/>
          <w:b/>
          <w:lang w:val="ro-RO"/>
        </w:rPr>
        <w:t>Specii de interes comunitar</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 xml:space="preserve">În judeţul Brăila au fost inventariate un număr de 90 de specii, considerate de interes comunitar în conformitate cu OUG 57/2007, Anexa 3, pentru care se desemnează arii speciale de conservare şi arii speciale de protecţie avifaunistică (Tabelul nr. V-2), din care o specie este prioritară (nurca-Mustela lutreola),  iar 49 de specii sunt cu regim de protecţie strictă. </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lastRenderedPageBreak/>
        <w:t xml:space="preserve">Din totalul de 305 specii de vertebrate inventariate la nivelul judeţului, 160 de specii necesită o protecţie strictă, din care 121 de specii sunt de interes comunitar, iar 39 de interes naţional. </w:t>
      </w:r>
    </w:p>
    <w:p w:rsidR="00737DE6" w:rsidRPr="00315335" w:rsidRDefault="00737DE6" w:rsidP="00737DE6">
      <w:pPr>
        <w:pStyle w:val="BodyText21"/>
        <w:widowControl/>
        <w:shd w:val="clear" w:color="auto" w:fill="FFFFFF"/>
        <w:ind w:firstLine="737"/>
        <w:rPr>
          <w:rFonts w:ascii="Arial" w:hAnsi="Arial" w:cs="Arial"/>
          <w:lang w:val="ro-RO"/>
        </w:rPr>
      </w:pPr>
    </w:p>
    <w:p w:rsidR="00737DE6" w:rsidRPr="00315335" w:rsidRDefault="00737DE6" w:rsidP="00737DE6">
      <w:pPr>
        <w:pStyle w:val="Indentcorptext"/>
        <w:shd w:val="clear" w:color="auto" w:fill="FFFFFF"/>
        <w:spacing w:after="0" w:line="240" w:lineRule="auto"/>
        <w:rPr>
          <w:rFonts w:ascii="Arial" w:hAnsi="Arial" w:cs="Arial"/>
          <w:b/>
          <w:sz w:val="24"/>
          <w:szCs w:val="24"/>
        </w:rPr>
      </w:pPr>
      <w:r w:rsidRPr="00315335">
        <w:rPr>
          <w:rFonts w:ascii="Arial" w:hAnsi="Arial" w:cs="Arial"/>
          <w:b/>
          <w:sz w:val="24"/>
          <w:szCs w:val="24"/>
          <w:lang w:val="ro-RO"/>
        </w:rPr>
        <w:t>Tabelul nr. V- 2.</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44"/>
        <w:gridCol w:w="1274"/>
        <w:gridCol w:w="714"/>
        <w:gridCol w:w="1344"/>
        <w:gridCol w:w="1498"/>
        <w:gridCol w:w="1330"/>
        <w:gridCol w:w="1418"/>
        <w:gridCol w:w="1563"/>
      </w:tblGrid>
      <w:tr w:rsidR="00737DE6" w:rsidRPr="00315335" w:rsidTr="00916B06">
        <w:trPr>
          <w:cantSplit/>
          <w:trHeight w:val="190"/>
          <w:jc w:val="center"/>
        </w:trPr>
        <w:tc>
          <w:tcPr>
            <w:tcW w:w="644" w:type="dxa"/>
            <w:vMerge w:val="restart"/>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Nr.</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crt.</w:t>
            </w:r>
          </w:p>
        </w:tc>
        <w:tc>
          <w:tcPr>
            <w:tcW w:w="1274" w:type="dxa"/>
            <w:vMerge w:val="restart"/>
            <w:shd w:val="clear" w:color="auto" w:fill="auto"/>
          </w:tcPr>
          <w:p w:rsidR="00737DE6" w:rsidRPr="00315335" w:rsidRDefault="00737DE6" w:rsidP="00916B06">
            <w:pPr>
              <w:pStyle w:val="BodyText21"/>
              <w:shd w:val="clear" w:color="auto" w:fill="FFFFFF"/>
              <w:jc w:val="center"/>
              <w:rPr>
                <w:rFonts w:ascii="Arial" w:hAnsi="Arial" w:cs="Arial"/>
                <w:lang w:val="ro-RO"/>
              </w:rPr>
            </w:pPr>
            <w:r w:rsidRPr="00315335">
              <w:rPr>
                <w:rFonts w:ascii="Arial" w:hAnsi="Arial" w:cs="Arial"/>
                <w:lang w:val="ro-RO"/>
              </w:rPr>
              <w:t>Grupa</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de specii</w:t>
            </w:r>
          </w:p>
        </w:tc>
        <w:tc>
          <w:tcPr>
            <w:tcW w:w="714" w:type="dxa"/>
            <w:vMerge w:val="restart"/>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Nr.</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spe</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cii</w:t>
            </w:r>
          </w:p>
        </w:tc>
        <w:tc>
          <w:tcPr>
            <w:tcW w:w="7153" w:type="dxa"/>
            <w:gridSpan w:val="5"/>
            <w:shd w:val="clear" w:color="auto" w:fill="auto"/>
          </w:tcPr>
          <w:p w:rsidR="00737DE6" w:rsidRPr="00315335" w:rsidRDefault="00737DE6" w:rsidP="00916B06">
            <w:pPr>
              <w:pStyle w:val="Titlu5"/>
              <w:shd w:val="clear" w:color="auto" w:fill="FFFFFF"/>
              <w:spacing w:before="0" w:after="0"/>
              <w:jc w:val="center"/>
              <w:rPr>
                <w:rFonts w:ascii="Arial" w:hAnsi="Arial" w:cs="Arial"/>
                <w:sz w:val="24"/>
                <w:szCs w:val="24"/>
              </w:rPr>
            </w:pPr>
            <w:r w:rsidRPr="00315335">
              <w:rPr>
                <w:rFonts w:ascii="Arial" w:hAnsi="Arial" w:cs="Arial"/>
                <w:sz w:val="24"/>
                <w:szCs w:val="24"/>
              </w:rPr>
              <w:t>OUG 57/2007</w:t>
            </w:r>
          </w:p>
        </w:tc>
      </w:tr>
      <w:tr w:rsidR="00737DE6" w:rsidRPr="00315335" w:rsidTr="00916B06">
        <w:trPr>
          <w:cantSplit/>
          <w:trHeight w:val="269"/>
          <w:jc w:val="center"/>
        </w:trPr>
        <w:tc>
          <w:tcPr>
            <w:tcW w:w="644" w:type="dxa"/>
            <w:vMerge/>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p>
        </w:tc>
        <w:tc>
          <w:tcPr>
            <w:tcW w:w="1274" w:type="dxa"/>
            <w:vMerge/>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p>
        </w:tc>
        <w:tc>
          <w:tcPr>
            <w:tcW w:w="714" w:type="dxa"/>
            <w:vMerge/>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p>
        </w:tc>
        <w:tc>
          <w:tcPr>
            <w:tcW w:w="1344" w:type="dxa"/>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Anexa 3-</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Specii a căror conservare necesită desemnarea ariilor speciale de conservare şi a ariilor de protecţie specială avifaunistică</w:t>
            </w:r>
          </w:p>
        </w:tc>
        <w:tc>
          <w:tcPr>
            <w:tcW w:w="1498" w:type="dxa"/>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Anexa 4</w:t>
            </w:r>
            <w:r w:rsidRPr="00315335">
              <w:rPr>
                <w:rFonts w:ascii="Arial" w:hAnsi="Arial" w:cs="Arial"/>
                <w:sz w:val="24"/>
                <w:szCs w:val="24"/>
                <w:vertAlign w:val="superscript"/>
              </w:rPr>
              <w:t>A</w:t>
            </w:r>
            <w:r w:rsidRPr="00315335">
              <w:rPr>
                <w:rFonts w:ascii="Arial" w:hAnsi="Arial" w:cs="Arial"/>
                <w:sz w:val="24"/>
                <w:szCs w:val="24"/>
              </w:rPr>
              <w:t>-</w:t>
            </w:r>
          </w:p>
          <w:p w:rsidR="00737DE6" w:rsidRPr="00315335" w:rsidRDefault="00737DE6" w:rsidP="00916B06">
            <w:pPr>
              <w:pStyle w:val="Subsol"/>
              <w:shd w:val="clear" w:color="auto" w:fill="FFFFFF"/>
              <w:jc w:val="center"/>
              <w:rPr>
                <w:rFonts w:ascii="Arial" w:hAnsi="Arial" w:cs="Arial"/>
                <w:sz w:val="24"/>
                <w:szCs w:val="24"/>
              </w:rPr>
            </w:pPr>
            <w:r w:rsidRPr="00315335">
              <w:rPr>
                <w:rFonts w:ascii="Arial" w:hAnsi="Arial" w:cs="Arial"/>
                <w:sz w:val="24"/>
                <w:szCs w:val="24"/>
              </w:rPr>
              <w:t>Specii de interes comunitar care necesită o protecţie strictă</w:t>
            </w:r>
          </w:p>
        </w:tc>
        <w:tc>
          <w:tcPr>
            <w:tcW w:w="1330" w:type="dxa"/>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Anexa 4</w:t>
            </w:r>
            <w:r w:rsidRPr="00315335">
              <w:rPr>
                <w:rFonts w:ascii="Arial" w:hAnsi="Arial" w:cs="Arial"/>
                <w:sz w:val="24"/>
                <w:szCs w:val="24"/>
                <w:vertAlign w:val="superscript"/>
              </w:rPr>
              <w:t xml:space="preserve">B </w:t>
            </w:r>
            <w:r w:rsidRPr="00315335">
              <w:rPr>
                <w:rFonts w:ascii="Arial" w:hAnsi="Arial" w:cs="Arial"/>
                <w:sz w:val="24"/>
                <w:szCs w:val="24"/>
              </w:rPr>
              <w: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Specii de interes naţional care necesită o protecţie strictă</w:t>
            </w:r>
          </w:p>
        </w:tc>
        <w:tc>
          <w:tcPr>
            <w:tcW w:w="1418" w:type="dxa"/>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Anexa 5</w:t>
            </w:r>
            <w:r w:rsidRPr="00315335">
              <w:rPr>
                <w:rFonts w:ascii="Arial" w:hAnsi="Arial" w:cs="Arial"/>
                <w:sz w:val="24"/>
                <w:szCs w:val="24"/>
                <w:vertAlign w:val="superscript"/>
              </w:rPr>
              <w:t>A</w:t>
            </w:r>
            <w:r w:rsidRPr="00315335">
              <w:rPr>
                <w:rFonts w:ascii="Arial" w:hAnsi="Arial" w:cs="Arial"/>
                <w:sz w:val="24"/>
                <w:szCs w:val="24"/>
              </w:rPr>
              <w: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Specii de interes comunitar a căror prelevare din natură şi exploatare fac obiectul măsurilor de management</w:t>
            </w:r>
          </w:p>
        </w:tc>
        <w:tc>
          <w:tcPr>
            <w:tcW w:w="1563" w:type="dxa"/>
            <w:shd w:val="clear" w:color="auto" w:fill="auto"/>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Anexa 5</w:t>
            </w:r>
            <w:r w:rsidRPr="00315335">
              <w:rPr>
                <w:rFonts w:ascii="Arial" w:hAnsi="Arial" w:cs="Arial"/>
                <w:sz w:val="24"/>
                <w:szCs w:val="24"/>
                <w:vertAlign w:val="superscript"/>
              </w:rPr>
              <w:t>B</w:t>
            </w:r>
            <w:r w:rsidRPr="00315335">
              <w:rPr>
                <w:rFonts w:ascii="Arial" w:hAnsi="Arial" w:cs="Arial"/>
                <w:sz w:val="24"/>
                <w:szCs w:val="24"/>
              </w:rPr>
              <w: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Specii de animale de interes naţional a căror prelevare din natură şi exploatare fac obiectul măsurilor de management</w:t>
            </w:r>
          </w:p>
        </w:tc>
      </w:tr>
      <w:tr w:rsidR="00737DE6" w:rsidRPr="00315335" w:rsidTr="00916B06">
        <w:trPr>
          <w:jc w:val="center"/>
        </w:trPr>
        <w:tc>
          <w:tcPr>
            <w:tcW w:w="644" w:type="dxa"/>
            <w:shd w:val="clear" w:color="auto" w:fill="auto"/>
            <w:vAlign w:val="center"/>
          </w:tcPr>
          <w:p w:rsidR="00737DE6" w:rsidRPr="00315335" w:rsidRDefault="00737DE6" w:rsidP="0010044C">
            <w:pPr>
              <w:numPr>
                <w:ilvl w:val="0"/>
                <w:numId w:val="58"/>
              </w:numPr>
              <w:shd w:val="clear" w:color="auto" w:fill="FFFFFF"/>
              <w:spacing w:after="0" w:line="240" w:lineRule="auto"/>
              <w:jc w:val="center"/>
              <w:rPr>
                <w:rFonts w:ascii="Arial" w:hAnsi="Arial" w:cs="Arial"/>
                <w:sz w:val="24"/>
                <w:szCs w:val="24"/>
              </w:rPr>
            </w:pPr>
          </w:p>
        </w:tc>
        <w:tc>
          <w:tcPr>
            <w:tcW w:w="127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iCs/>
                <w:sz w:val="24"/>
                <w:szCs w:val="24"/>
              </w:rPr>
            </w:pPr>
            <w:r w:rsidRPr="00315335">
              <w:rPr>
                <w:rFonts w:ascii="Arial" w:hAnsi="Arial" w:cs="Arial"/>
                <w:iCs/>
                <w:sz w:val="24"/>
                <w:szCs w:val="24"/>
              </w:rPr>
              <w:t>Peşti</w:t>
            </w:r>
          </w:p>
        </w:tc>
        <w:tc>
          <w:tcPr>
            <w:tcW w:w="71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67</w:t>
            </w:r>
          </w:p>
        </w:tc>
        <w:tc>
          <w:tcPr>
            <w:tcW w:w="134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16</w:t>
            </w:r>
          </w:p>
        </w:tc>
        <w:tc>
          <w:tcPr>
            <w:tcW w:w="149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5</w:t>
            </w:r>
          </w:p>
        </w:tc>
        <w:tc>
          <w:tcPr>
            <w:tcW w:w="133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5</w:t>
            </w:r>
          </w:p>
        </w:tc>
        <w:tc>
          <w:tcPr>
            <w:tcW w:w="141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7</w:t>
            </w:r>
          </w:p>
        </w:tc>
        <w:tc>
          <w:tcPr>
            <w:tcW w:w="1563"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r w:rsidR="00737DE6" w:rsidRPr="00315335" w:rsidTr="00916B06">
        <w:trPr>
          <w:jc w:val="center"/>
        </w:trPr>
        <w:tc>
          <w:tcPr>
            <w:tcW w:w="644" w:type="dxa"/>
            <w:shd w:val="clear" w:color="auto" w:fill="auto"/>
            <w:vAlign w:val="center"/>
          </w:tcPr>
          <w:p w:rsidR="00737DE6" w:rsidRPr="00315335" w:rsidRDefault="00737DE6" w:rsidP="0010044C">
            <w:pPr>
              <w:numPr>
                <w:ilvl w:val="0"/>
                <w:numId w:val="58"/>
              </w:numPr>
              <w:shd w:val="clear" w:color="auto" w:fill="FFFFFF"/>
              <w:spacing w:after="0" w:line="240" w:lineRule="auto"/>
              <w:jc w:val="center"/>
              <w:rPr>
                <w:rFonts w:ascii="Arial" w:hAnsi="Arial" w:cs="Arial"/>
                <w:sz w:val="24"/>
                <w:szCs w:val="24"/>
              </w:rPr>
            </w:pPr>
          </w:p>
        </w:tc>
        <w:tc>
          <w:tcPr>
            <w:tcW w:w="1274" w:type="dxa"/>
            <w:shd w:val="clear" w:color="auto" w:fill="auto"/>
            <w:vAlign w:val="center"/>
          </w:tcPr>
          <w:p w:rsidR="00737DE6" w:rsidRPr="00315335" w:rsidRDefault="00737DE6" w:rsidP="00916B06">
            <w:pPr>
              <w:pStyle w:val="Titlu1"/>
              <w:shd w:val="clear" w:color="auto" w:fill="FFFFFF"/>
              <w:spacing w:before="0" w:after="0"/>
              <w:jc w:val="center"/>
              <w:rPr>
                <w:b w:val="0"/>
                <w:sz w:val="24"/>
                <w:szCs w:val="24"/>
              </w:rPr>
            </w:pPr>
            <w:r w:rsidRPr="00315335">
              <w:rPr>
                <w:b w:val="0"/>
                <w:sz w:val="24"/>
                <w:szCs w:val="24"/>
              </w:rPr>
              <w:t>Amfibieni</w:t>
            </w:r>
          </w:p>
        </w:tc>
        <w:tc>
          <w:tcPr>
            <w:tcW w:w="71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7</w:t>
            </w:r>
          </w:p>
        </w:tc>
        <w:tc>
          <w:tcPr>
            <w:tcW w:w="134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3</w:t>
            </w:r>
          </w:p>
        </w:tc>
        <w:tc>
          <w:tcPr>
            <w:tcW w:w="149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3</w:t>
            </w:r>
          </w:p>
        </w:tc>
        <w:tc>
          <w:tcPr>
            <w:tcW w:w="133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41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2</w:t>
            </w:r>
          </w:p>
        </w:tc>
        <w:tc>
          <w:tcPr>
            <w:tcW w:w="1563"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r w:rsidR="00737DE6" w:rsidRPr="00315335" w:rsidTr="00916B06">
        <w:trPr>
          <w:jc w:val="center"/>
        </w:trPr>
        <w:tc>
          <w:tcPr>
            <w:tcW w:w="644" w:type="dxa"/>
            <w:shd w:val="clear" w:color="auto" w:fill="auto"/>
            <w:vAlign w:val="center"/>
          </w:tcPr>
          <w:p w:rsidR="00737DE6" w:rsidRPr="00315335" w:rsidRDefault="00737DE6" w:rsidP="0010044C">
            <w:pPr>
              <w:numPr>
                <w:ilvl w:val="0"/>
                <w:numId w:val="58"/>
              </w:numPr>
              <w:shd w:val="clear" w:color="auto" w:fill="FFFFFF"/>
              <w:spacing w:after="0" w:line="240" w:lineRule="auto"/>
              <w:jc w:val="center"/>
              <w:rPr>
                <w:rFonts w:ascii="Arial" w:hAnsi="Arial" w:cs="Arial"/>
                <w:sz w:val="24"/>
                <w:szCs w:val="24"/>
              </w:rPr>
            </w:pPr>
          </w:p>
        </w:tc>
        <w:tc>
          <w:tcPr>
            <w:tcW w:w="1274" w:type="dxa"/>
            <w:shd w:val="clear" w:color="auto" w:fill="auto"/>
            <w:vAlign w:val="center"/>
          </w:tcPr>
          <w:p w:rsidR="00737DE6" w:rsidRPr="00315335" w:rsidRDefault="00737DE6" w:rsidP="00916B06">
            <w:pPr>
              <w:pStyle w:val="Titlu1"/>
              <w:shd w:val="clear" w:color="auto" w:fill="FFFFFF"/>
              <w:spacing w:before="0" w:after="0"/>
              <w:jc w:val="center"/>
              <w:rPr>
                <w:b w:val="0"/>
                <w:sz w:val="24"/>
                <w:szCs w:val="24"/>
              </w:rPr>
            </w:pPr>
            <w:r w:rsidRPr="00315335">
              <w:rPr>
                <w:b w:val="0"/>
                <w:sz w:val="24"/>
                <w:szCs w:val="24"/>
              </w:rPr>
              <w:t>Reptile</w:t>
            </w:r>
          </w:p>
        </w:tc>
        <w:tc>
          <w:tcPr>
            <w:tcW w:w="71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5</w:t>
            </w:r>
          </w:p>
        </w:tc>
        <w:tc>
          <w:tcPr>
            <w:tcW w:w="134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1</w:t>
            </w:r>
          </w:p>
        </w:tc>
        <w:tc>
          <w:tcPr>
            <w:tcW w:w="149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5</w:t>
            </w:r>
          </w:p>
        </w:tc>
        <w:tc>
          <w:tcPr>
            <w:tcW w:w="133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41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563"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r w:rsidR="00737DE6" w:rsidRPr="00315335" w:rsidTr="00916B06">
        <w:trPr>
          <w:jc w:val="center"/>
        </w:trPr>
        <w:tc>
          <w:tcPr>
            <w:tcW w:w="644" w:type="dxa"/>
            <w:shd w:val="clear" w:color="auto" w:fill="auto"/>
            <w:vAlign w:val="center"/>
          </w:tcPr>
          <w:p w:rsidR="00737DE6" w:rsidRPr="00315335" w:rsidRDefault="00737DE6" w:rsidP="0010044C">
            <w:pPr>
              <w:numPr>
                <w:ilvl w:val="0"/>
                <w:numId w:val="58"/>
              </w:numPr>
              <w:shd w:val="clear" w:color="auto" w:fill="FFFFFF"/>
              <w:spacing w:after="0" w:line="240" w:lineRule="auto"/>
              <w:jc w:val="center"/>
              <w:rPr>
                <w:rFonts w:ascii="Arial" w:hAnsi="Arial" w:cs="Arial"/>
                <w:sz w:val="24"/>
                <w:szCs w:val="24"/>
              </w:rPr>
            </w:pPr>
          </w:p>
        </w:tc>
        <w:tc>
          <w:tcPr>
            <w:tcW w:w="1274" w:type="dxa"/>
            <w:shd w:val="clear" w:color="auto" w:fill="auto"/>
            <w:vAlign w:val="center"/>
          </w:tcPr>
          <w:p w:rsidR="00737DE6" w:rsidRPr="00315335" w:rsidRDefault="00737DE6" w:rsidP="00916B06">
            <w:pPr>
              <w:pStyle w:val="Titlu1"/>
              <w:shd w:val="clear" w:color="auto" w:fill="FFFFFF"/>
              <w:spacing w:before="0" w:after="0"/>
              <w:jc w:val="center"/>
              <w:rPr>
                <w:b w:val="0"/>
                <w:sz w:val="24"/>
                <w:szCs w:val="24"/>
              </w:rPr>
            </w:pPr>
            <w:r w:rsidRPr="00315335">
              <w:rPr>
                <w:b w:val="0"/>
                <w:sz w:val="24"/>
                <w:szCs w:val="24"/>
              </w:rPr>
              <w:t>Păsări</w:t>
            </w:r>
          </w:p>
        </w:tc>
        <w:tc>
          <w:tcPr>
            <w:tcW w:w="71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208</w:t>
            </w:r>
          </w:p>
        </w:tc>
        <w:tc>
          <w:tcPr>
            <w:tcW w:w="134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64</w:t>
            </w:r>
          </w:p>
        </w:tc>
        <w:tc>
          <w:tcPr>
            <w:tcW w:w="149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33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25</w:t>
            </w:r>
          </w:p>
        </w:tc>
        <w:tc>
          <w:tcPr>
            <w:tcW w:w="141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563"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r w:rsidR="00737DE6" w:rsidRPr="00315335" w:rsidTr="00916B06">
        <w:trPr>
          <w:jc w:val="center"/>
        </w:trPr>
        <w:tc>
          <w:tcPr>
            <w:tcW w:w="644" w:type="dxa"/>
            <w:shd w:val="clear" w:color="auto" w:fill="auto"/>
            <w:vAlign w:val="center"/>
          </w:tcPr>
          <w:p w:rsidR="00737DE6" w:rsidRPr="00315335" w:rsidRDefault="00737DE6" w:rsidP="0010044C">
            <w:pPr>
              <w:numPr>
                <w:ilvl w:val="0"/>
                <w:numId w:val="58"/>
              </w:numPr>
              <w:shd w:val="clear" w:color="auto" w:fill="FFFFFF"/>
              <w:spacing w:after="0" w:line="240" w:lineRule="auto"/>
              <w:jc w:val="center"/>
              <w:rPr>
                <w:rFonts w:ascii="Arial" w:hAnsi="Arial" w:cs="Arial"/>
                <w:sz w:val="24"/>
                <w:szCs w:val="24"/>
              </w:rPr>
            </w:pPr>
          </w:p>
        </w:tc>
        <w:tc>
          <w:tcPr>
            <w:tcW w:w="1274" w:type="dxa"/>
            <w:shd w:val="clear" w:color="auto" w:fill="auto"/>
            <w:vAlign w:val="center"/>
          </w:tcPr>
          <w:p w:rsidR="00737DE6" w:rsidRPr="00315335" w:rsidRDefault="00737DE6" w:rsidP="00916B06">
            <w:pPr>
              <w:pStyle w:val="Titlu1"/>
              <w:shd w:val="clear" w:color="auto" w:fill="FFFFFF"/>
              <w:spacing w:before="0" w:after="0"/>
              <w:jc w:val="center"/>
              <w:rPr>
                <w:b w:val="0"/>
                <w:sz w:val="24"/>
                <w:szCs w:val="24"/>
              </w:rPr>
            </w:pPr>
            <w:r w:rsidRPr="00315335">
              <w:rPr>
                <w:b w:val="0"/>
                <w:sz w:val="24"/>
                <w:szCs w:val="24"/>
              </w:rPr>
              <w:t>Mamifere</w:t>
            </w:r>
          </w:p>
        </w:tc>
        <w:tc>
          <w:tcPr>
            <w:tcW w:w="71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18</w:t>
            </w:r>
          </w:p>
        </w:tc>
        <w:tc>
          <w:tcPr>
            <w:tcW w:w="134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6</w:t>
            </w:r>
          </w:p>
        </w:tc>
        <w:tc>
          <w:tcPr>
            <w:tcW w:w="149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6</w:t>
            </w:r>
          </w:p>
        </w:tc>
        <w:tc>
          <w:tcPr>
            <w:tcW w:w="133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41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3</w:t>
            </w:r>
          </w:p>
        </w:tc>
        <w:tc>
          <w:tcPr>
            <w:tcW w:w="1563"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9</w:t>
            </w:r>
          </w:p>
        </w:tc>
      </w:tr>
      <w:tr w:rsidR="00737DE6" w:rsidRPr="00315335" w:rsidTr="00916B06">
        <w:trPr>
          <w:jc w:val="center"/>
        </w:trPr>
        <w:tc>
          <w:tcPr>
            <w:tcW w:w="1918" w:type="dxa"/>
            <w:gridSpan w:val="2"/>
            <w:shd w:val="clear" w:color="auto" w:fill="auto"/>
            <w:vAlign w:val="center"/>
          </w:tcPr>
          <w:p w:rsidR="00737DE6" w:rsidRPr="00315335" w:rsidRDefault="00737DE6" w:rsidP="00916B06">
            <w:pPr>
              <w:pStyle w:val="Titlu1"/>
              <w:shd w:val="clear" w:color="auto" w:fill="FFFFFF"/>
              <w:spacing w:before="0" w:after="0"/>
              <w:jc w:val="center"/>
              <w:rPr>
                <w:b w:val="0"/>
                <w:iCs/>
                <w:sz w:val="24"/>
                <w:szCs w:val="24"/>
              </w:rPr>
            </w:pPr>
            <w:r w:rsidRPr="00315335">
              <w:rPr>
                <w:b w:val="0"/>
                <w:iCs/>
                <w:sz w:val="24"/>
                <w:szCs w:val="24"/>
              </w:rPr>
              <w:t>Total</w:t>
            </w:r>
          </w:p>
        </w:tc>
        <w:tc>
          <w:tcPr>
            <w:tcW w:w="71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305</w:t>
            </w:r>
          </w:p>
        </w:tc>
        <w:tc>
          <w:tcPr>
            <w:tcW w:w="1344"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90</w:t>
            </w:r>
          </w:p>
        </w:tc>
        <w:tc>
          <w:tcPr>
            <w:tcW w:w="149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19</w:t>
            </w:r>
          </w:p>
        </w:tc>
        <w:tc>
          <w:tcPr>
            <w:tcW w:w="133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30</w:t>
            </w:r>
          </w:p>
        </w:tc>
        <w:tc>
          <w:tcPr>
            <w:tcW w:w="1418"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12</w:t>
            </w:r>
          </w:p>
        </w:tc>
        <w:tc>
          <w:tcPr>
            <w:tcW w:w="1563"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9</w:t>
            </w:r>
          </w:p>
        </w:tc>
      </w:tr>
    </w:tbl>
    <w:p w:rsidR="00737DE6" w:rsidRPr="00315335" w:rsidRDefault="00737DE6" w:rsidP="00737DE6">
      <w:pPr>
        <w:pStyle w:val="Indentcorptext"/>
        <w:spacing w:after="0" w:line="240" w:lineRule="auto"/>
        <w:rPr>
          <w:rFonts w:ascii="Arial" w:hAnsi="Arial" w:cs="Arial"/>
          <w:sz w:val="24"/>
          <w:szCs w:val="24"/>
        </w:rPr>
      </w:pP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Prezenţa în anumite zone din judeţul Brăila a speciilor listate pe anexele 3-5 ale OUG nr. 57/2007 a stat la baza declarării siturilor Natura 2000.</w:t>
      </w:r>
      <w:r w:rsidRPr="00315335">
        <w:rPr>
          <w:rFonts w:ascii="Arial" w:hAnsi="Arial" w:cs="Arial"/>
        </w:rPr>
        <w:tab/>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 xml:space="preserve">Dintre cele 67 de specii de peşti inventariate, 4 specii sunt vulnerabile şi 4 sunt periclitate, o specie - păstrăvul de mare (Salmo trutta labrax)- fiind critic periclitată. 2 specii de amfibieni din cele 7 inventariate la nivelul judeţului sunt vulnerabile, 3 sunt aproape ameninţate, iar tritonul cu creastă dobrogean (Triturus dobrogicus) este periclitat fiind observat în lunca Dunării, în zone ce fac parte din siturile de importanţă comunitară ROSCI0006 Balta Mică a Brăilei şi ROSCI0012 Braţul Măcin. </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 xml:space="preserve">Dintre speciile de păsări, 22 sunt vulnerabile, 13 specii sunt periclitate şi 3 critic periclitate (gârliţă mică, codalb şi acvilă ţipătoare mare). </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Din totalul speciilor de mamifere inventariate, 6 specii sunt vulnerabile.</w:t>
      </w: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t>Situaţia privind starea de conservare a vertebratelor inventariate pentru judeţul Brăila poate fi sintetizată conform tabelului nr. V - 3 :</w:t>
      </w:r>
    </w:p>
    <w:p w:rsidR="00737DE6" w:rsidRPr="00315335" w:rsidRDefault="00737DE6" w:rsidP="00737DE6">
      <w:pPr>
        <w:pStyle w:val="Indentcorptext"/>
        <w:shd w:val="clear" w:color="auto" w:fill="FFFFFF"/>
        <w:spacing w:after="0" w:line="240" w:lineRule="auto"/>
        <w:rPr>
          <w:rFonts w:ascii="Arial" w:hAnsi="Arial" w:cs="Arial"/>
          <w:sz w:val="24"/>
          <w:szCs w:val="24"/>
        </w:rPr>
      </w:pPr>
    </w:p>
    <w:p w:rsidR="00737DE6" w:rsidRPr="00315335" w:rsidRDefault="00737DE6" w:rsidP="00737DE6">
      <w:pPr>
        <w:pStyle w:val="Indentcorptext"/>
        <w:shd w:val="clear" w:color="auto" w:fill="FFFFFF"/>
        <w:spacing w:after="0" w:line="240" w:lineRule="auto"/>
        <w:rPr>
          <w:rFonts w:ascii="Arial" w:hAnsi="Arial" w:cs="Arial"/>
          <w:b/>
          <w:sz w:val="24"/>
          <w:szCs w:val="24"/>
        </w:rPr>
      </w:pPr>
      <w:r w:rsidRPr="00315335">
        <w:rPr>
          <w:rFonts w:ascii="Arial" w:hAnsi="Arial" w:cs="Arial"/>
          <w:b/>
          <w:sz w:val="24"/>
          <w:szCs w:val="24"/>
        </w:rPr>
        <w:t>Tabel nr. V- 3.</w:t>
      </w:r>
      <w:r w:rsidRPr="00315335">
        <w:rPr>
          <w:rFonts w:ascii="Arial" w:hAnsi="Arial" w:cs="Arial"/>
          <w:sz w:val="24"/>
          <w:szCs w:val="24"/>
          <w:lang w:val="ro-RO"/>
        </w:rPr>
        <w:t xml:space="preserve"> Situaţia privind starea de conservare a vertebratelor inventariate pentru judeţul Brăila</w:t>
      </w:r>
    </w:p>
    <w:tbl>
      <w:tblPr>
        <w:tblW w:w="9589"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582"/>
        <w:gridCol w:w="1400"/>
        <w:gridCol w:w="1498"/>
        <w:gridCol w:w="1539"/>
        <w:gridCol w:w="1372"/>
        <w:gridCol w:w="1568"/>
      </w:tblGrid>
      <w:tr w:rsidR="00737DE6" w:rsidRPr="00315335" w:rsidTr="00916B06">
        <w:tc>
          <w:tcPr>
            <w:tcW w:w="630" w:type="dxa"/>
            <w:vMerge w:val="restart"/>
            <w:shd w:val="clear" w:color="auto" w:fill="auto"/>
            <w:vAlign w:val="center"/>
          </w:tcPr>
          <w:p w:rsidR="00737DE6" w:rsidRPr="00315335" w:rsidRDefault="00737DE6" w:rsidP="00916B06">
            <w:pPr>
              <w:pStyle w:val="Indentcorptext"/>
              <w:shd w:val="clear" w:color="auto" w:fill="FFFFFF"/>
              <w:spacing w:after="0" w:line="240" w:lineRule="auto"/>
              <w:ind w:left="0"/>
              <w:jc w:val="center"/>
              <w:rPr>
                <w:rFonts w:ascii="Arial" w:hAnsi="Arial" w:cs="Arial"/>
                <w:sz w:val="24"/>
                <w:szCs w:val="24"/>
              </w:rPr>
            </w:pPr>
            <w:r w:rsidRPr="00315335">
              <w:rPr>
                <w:rFonts w:ascii="Arial" w:hAnsi="Arial" w:cs="Arial"/>
                <w:sz w:val="24"/>
                <w:szCs w:val="24"/>
              </w:rPr>
              <w:t>Nr. crt.</w:t>
            </w:r>
          </w:p>
        </w:tc>
        <w:tc>
          <w:tcPr>
            <w:tcW w:w="1582" w:type="dxa"/>
            <w:vMerge w:val="restart"/>
            <w:shd w:val="clear" w:color="auto" w:fill="auto"/>
            <w:vAlign w:val="center"/>
          </w:tcPr>
          <w:p w:rsidR="00737DE6" w:rsidRPr="00315335" w:rsidRDefault="00737DE6" w:rsidP="00916B06">
            <w:pPr>
              <w:pStyle w:val="Indentcorptext"/>
              <w:shd w:val="clear" w:color="auto" w:fill="FFFFFF"/>
              <w:spacing w:after="0" w:line="240" w:lineRule="auto"/>
              <w:ind w:left="0"/>
              <w:jc w:val="center"/>
              <w:rPr>
                <w:rFonts w:ascii="Arial" w:hAnsi="Arial" w:cs="Arial"/>
                <w:sz w:val="24"/>
                <w:szCs w:val="24"/>
              </w:rPr>
            </w:pPr>
            <w:r w:rsidRPr="00315335">
              <w:rPr>
                <w:rFonts w:ascii="Arial" w:hAnsi="Arial" w:cs="Arial"/>
                <w:sz w:val="24"/>
                <w:szCs w:val="24"/>
              </w:rPr>
              <w:t>Grupa de vertebrate</w:t>
            </w:r>
          </w:p>
        </w:tc>
        <w:tc>
          <w:tcPr>
            <w:tcW w:w="1400" w:type="dxa"/>
            <w:vMerge w:val="restart"/>
            <w:shd w:val="clear" w:color="auto" w:fill="auto"/>
            <w:vAlign w:val="center"/>
          </w:tcPr>
          <w:p w:rsidR="00737DE6" w:rsidRPr="00315335" w:rsidRDefault="00737DE6" w:rsidP="00916B06">
            <w:pPr>
              <w:pStyle w:val="Indentcorptext"/>
              <w:shd w:val="clear" w:color="auto" w:fill="FFFFFF"/>
              <w:spacing w:after="0" w:line="240" w:lineRule="auto"/>
              <w:ind w:left="0"/>
              <w:jc w:val="center"/>
              <w:rPr>
                <w:rFonts w:ascii="Arial" w:hAnsi="Arial" w:cs="Arial"/>
                <w:sz w:val="24"/>
                <w:szCs w:val="24"/>
              </w:rPr>
            </w:pPr>
            <w:r w:rsidRPr="00315335">
              <w:rPr>
                <w:rFonts w:ascii="Arial" w:hAnsi="Arial" w:cs="Arial"/>
                <w:sz w:val="24"/>
                <w:szCs w:val="24"/>
              </w:rPr>
              <w:t>Nr. specii</w:t>
            </w:r>
          </w:p>
        </w:tc>
        <w:tc>
          <w:tcPr>
            <w:tcW w:w="5977" w:type="dxa"/>
            <w:gridSpan w:val="4"/>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Statut</w:t>
            </w:r>
          </w:p>
        </w:tc>
      </w:tr>
      <w:tr w:rsidR="00737DE6" w:rsidRPr="00315335" w:rsidTr="00916B06">
        <w:tc>
          <w:tcPr>
            <w:tcW w:w="630" w:type="dxa"/>
            <w:vMerge/>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p>
        </w:tc>
        <w:tc>
          <w:tcPr>
            <w:tcW w:w="1582" w:type="dxa"/>
            <w:vMerge/>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p>
        </w:tc>
        <w:tc>
          <w:tcPr>
            <w:tcW w:w="1400" w:type="dxa"/>
            <w:vMerge/>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p>
        </w:tc>
        <w:tc>
          <w:tcPr>
            <w:tcW w:w="1498" w:type="dxa"/>
            <w:shd w:val="clear" w:color="auto" w:fill="auto"/>
            <w:vAlign w:val="center"/>
          </w:tcPr>
          <w:p w:rsidR="00737DE6" w:rsidRPr="00315335" w:rsidRDefault="00737DE6" w:rsidP="00916B06">
            <w:pPr>
              <w:pStyle w:val="Indentcorptext"/>
              <w:shd w:val="clear" w:color="auto" w:fill="FFFFFF"/>
              <w:spacing w:after="0" w:line="240" w:lineRule="auto"/>
              <w:ind w:left="0"/>
              <w:jc w:val="center"/>
              <w:rPr>
                <w:rFonts w:ascii="Arial" w:hAnsi="Arial" w:cs="Arial"/>
                <w:sz w:val="24"/>
                <w:szCs w:val="24"/>
              </w:rPr>
            </w:pPr>
            <w:r w:rsidRPr="00315335">
              <w:rPr>
                <w:rFonts w:ascii="Arial" w:hAnsi="Arial" w:cs="Arial"/>
                <w:sz w:val="24"/>
                <w:szCs w:val="24"/>
              </w:rPr>
              <w:t>Vulnerabile</w:t>
            </w:r>
          </w:p>
        </w:tc>
        <w:tc>
          <w:tcPr>
            <w:tcW w:w="1539" w:type="dxa"/>
            <w:shd w:val="clear" w:color="auto" w:fill="auto"/>
            <w:vAlign w:val="center"/>
          </w:tcPr>
          <w:p w:rsidR="00737DE6" w:rsidRPr="00315335" w:rsidRDefault="00737DE6" w:rsidP="00916B06">
            <w:pPr>
              <w:pStyle w:val="Indentcorptext"/>
              <w:shd w:val="clear" w:color="auto" w:fill="FFFFFF"/>
              <w:spacing w:after="0" w:line="240" w:lineRule="auto"/>
              <w:ind w:left="0"/>
              <w:jc w:val="center"/>
              <w:rPr>
                <w:rFonts w:ascii="Arial" w:hAnsi="Arial" w:cs="Arial"/>
                <w:sz w:val="24"/>
                <w:szCs w:val="24"/>
              </w:rPr>
            </w:pPr>
            <w:r w:rsidRPr="00315335">
              <w:rPr>
                <w:rFonts w:ascii="Arial" w:hAnsi="Arial" w:cs="Arial"/>
                <w:sz w:val="24"/>
                <w:szCs w:val="24"/>
              </w:rPr>
              <w:t>Periclitate</w:t>
            </w:r>
          </w:p>
        </w:tc>
        <w:tc>
          <w:tcPr>
            <w:tcW w:w="1372" w:type="dxa"/>
            <w:shd w:val="clear" w:color="auto" w:fill="auto"/>
            <w:vAlign w:val="center"/>
          </w:tcPr>
          <w:p w:rsidR="00737DE6" w:rsidRPr="00315335" w:rsidRDefault="00737DE6" w:rsidP="00916B06">
            <w:pPr>
              <w:pStyle w:val="Indentcorptext"/>
              <w:shd w:val="clear" w:color="auto" w:fill="FFFFFF"/>
              <w:spacing w:after="0" w:line="240" w:lineRule="auto"/>
              <w:ind w:left="0"/>
              <w:jc w:val="center"/>
              <w:rPr>
                <w:rFonts w:ascii="Arial" w:hAnsi="Arial" w:cs="Arial"/>
                <w:sz w:val="24"/>
                <w:szCs w:val="24"/>
              </w:rPr>
            </w:pPr>
            <w:r w:rsidRPr="00315335">
              <w:rPr>
                <w:rFonts w:ascii="Arial" w:hAnsi="Arial" w:cs="Arial"/>
                <w:sz w:val="24"/>
                <w:szCs w:val="24"/>
              </w:rPr>
              <w:t>Critic periclitate</w:t>
            </w:r>
          </w:p>
        </w:tc>
        <w:tc>
          <w:tcPr>
            <w:tcW w:w="1568" w:type="dxa"/>
            <w:shd w:val="clear" w:color="auto" w:fill="auto"/>
            <w:vAlign w:val="center"/>
          </w:tcPr>
          <w:p w:rsidR="00737DE6" w:rsidRPr="00315335" w:rsidRDefault="00737DE6" w:rsidP="00916B06">
            <w:pPr>
              <w:pStyle w:val="Indentcorptext"/>
              <w:shd w:val="clear" w:color="auto" w:fill="FFFFFF"/>
              <w:spacing w:after="0" w:line="240" w:lineRule="auto"/>
              <w:ind w:left="0"/>
              <w:jc w:val="center"/>
              <w:rPr>
                <w:rFonts w:ascii="Arial" w:hAnsi="Arial" w:cs="Arial"/>
                <w:sz w:val="24"/>
                <w:szCs w:val="24"/>
              </w:rPr>
            </w:pPr>
            <w:r w:rsidRPr="00315335">
              <w:rPr>
                <w:rFonts w:ascii="Arial" w:hAnsi="Arial" w:cs="Arial"/>
                <w:sz w:val="24"/>
                <w:szCs w:val="24"/>
              </w:rPr>
              <w:t>Aproape ameninţate</w:t>
            </w:r>
          </w:p>
        </w:tc>
      </w:tr>
      <w:tr w:rsidR="00737DE6" w:rsidRPr="00315335" w:rsidTr="00916B06">
        <w:tc>
          <w:tcPr>
            <w:tcW w:w="630"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1</w:t>
            </w:r>
          </w:p>
        </w:tc>
        <w:tc>
          <w:tcPr>
            <w:tcW w:w="1582"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iCs/>
                <w:sz w:val="24"/>
                <w:szCs w:val="24"/>
                <w:lang w:val="en-US"/>
              </w:rPr>
            </w:pPr>
            <w:r w:rsidRPr="00315335">
              <w:rPr>
                <w:rFonts w:ascii="Arial" w:hAnsi="Arial" w:cs="Arial"/>
                <w:iCs/>
                <w:sz w:val="24"/>
                <w:szCs w:val="24"/>
                <w:lang w:val="en-US"/>
              </w:rPr>
              <w:t>Peşti</w:t>
            </w:r>
          </w:p>
        </w:tc>
        <w:tc>
          <w:tcPr>
            <w:tcW w:w="140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lang w:val="en-US"/>
              </w:rPr>
            </w:pPr>
            <w:r w:rsidRPr="00315335">
              <w:rPr>
                <w:rFonts w:ascii="Arial" w:hAnsi="Arial" w:cs="Arial"/>
                <w:sz w:val="24"/>
                <w:szCs w:val="24"/>
                <w:lang w:val="en-US"/>
              </w:rPr>
              <w:t>67</w:t>
            </w:r>
          </w:p>
        </w:tc>
        <w:tc>
          <w:tcPr>
            <w:tcW w:w="149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4</w:t>
            </w:r>
          </w:p>
        </w:tc>
        <w:tc>
          <w:tcPr>
            <w:tcW w:w="1539"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4</w:t>
            </w:r>
          </w:p>
        </w:tc>
        <w:tc>
          <w:tcPr>
            <w:tcW w:w="1372"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1</w:t>
            </w:r>
          </w:p>
        </w:tc>
        <w:tc>
          <w:tcPr>
            <w:tcW w:w="156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r w:rsidR="00737DE6" w:rsidRPr="00315335" w:rsidTr="00916B06">
        <w:tc>
          <w:tcPr>
            <w:tcW w:w="630"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2</w:t>
            </w:r>
          </w:p>
        </w:tc>
        <w:tc>
          <w:tcPr>
            <w:tcW w:w="1582" w:type="dxa"/>
            <w:shd w:val="clear" w:color="auto" w:fill="auto"/>
            <w:vAlign w:val="center"/>
          </w:tcPr>
          <w:p w:rsidR="00737DE6" w:rsidRPr="00315335" w:rsidRDefault="00737DE6" w:rsidP="00916B06">
            <w:pPr>
              <w:pStyle w:val="Titlu1"/>
              <w:shd w:val="clear" w:color="auto" w:fill="FFFFFF"/>
              <w:spacing w:before="0" w:after="0"/>
              <w:jc w:val="center"/>
              <w:rPr>
                <w:b w:val="0"/>
                <w:sz w:val="24"/>
                <w:szCs w:val="24"/>
              </w:rPr>
            </w:pPr>
            <w:r w:rsidRPr="00315335">
              <w:rPr>
                <w:b w:val="0"/>
                <w:sz w:val="24"/>
                <w:szCs w:val="24"/>
              </w:rPr>
              <w:t>Amfibieni</w:t>
            </w:r>
          </w:p>
        </w:tc>
        <w:tc>
          <w:tcPr>
            <w:tcW w:w="140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lang w:val="en-US"/>
              </w:rPr>
            </w:pPr>
            <w:r w:rsidRPr="00315335">
              <w:rPr>
                <w:rFonts w:ascii="Arial" w:hAnsi="Arial" w:cs="Arial"/>
                <w:sz w:val="24"/>
                <w:szCs w:val="24"/>
                <w:lang w:val="en-US"/>
              </w:rPr>
              <w:t>7</w:t>
            </w:r>
          </w:p>
        </w:tc>
        <w:tc>
          <w:tcPr>
            <w:tcW w:w="149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2</w:t>
            </w:r>
          </w:p>
        </w:tc>
        <w:tc>
          <w:tcPr>
            <w:tcW w:w="1539"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1</w:t>
            </w:r>
          </w:p>
        </w:tc>
        <w:tc>
          <w:tcPr>
            <w:tcW w:w="1372"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56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3</w:t>
            </w:r>
          </w:p>
        </w:tc>
      </w:tr>
      <w:tr w:rsidR="00737DE6" w:rsidRPr="00315335" w:rsidTr="00916B06">
        <w:tc>
          <w:tcPr>
            <w:tcW w:w="630"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3</w:t>
            </w:r>
          </w:p>
        </w:tc>
        <w:tc>
          <w:tcPr>
            <w:tcW w:w="1582" w:type="dxa"/>
            <w:shd w:val="clear" w:color="auto" w:fill="auto"/>
            <w:vAlign w:val="center"/>
          </w:tcPr>
          <w:p w:rsidR="00737DE6" w:rsidRPr="00315335" w:rsidRDefault="00737DE6" w:rsidP="00916B06">
            <w:pPr>
              <w:pStyle w:val="Titlu1"/>
              <w:shd w:val="clear" w:color="auto" w:fill="FFFFFF"/>
              <w:spacing w:before="0" w:after="0"/>
              <w:jc w:val="center"/>
              <w:rPr>
                <w:b w:val="0"/>
                <w:sz w:val="24"/>
                <w:szCs w:val="24"/>
              </w:rPr>
            </w:pPr>
            <w:r w:rsidRPr="00315335">
              <w:rPr>
                <w:b w:val="0"/>
                <w:sz w:val="24"/>
                <w:szCs w:val="24"/>
              </w:rPr>
              <w:t>Reptile</w:t>
            </w:r>
          </w:p>
        </w:tc>
        <w:tc>
          <w:tcPr>
            <w:tcW w:w="140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lang w:val="en-US"/>
              </w:rPr>
            </w:pPr>
            <w:r w:rsidRPr="00315335">
              <w:rPr>
                <w:rFonts w:ascii="Arial" w:hAnsi="Arial" w:cs="Arial"/>
                <w:sz w:val="24"/>
                <w:szCs w:val="24"/>
                <w:lang w:val="en-US"/>
              </w:rPr>
              <w:t>5</w:t>
            </w:r>
          </w:p>
        </w:tc>
        <w:tc>
          <w:tcPr>
            <w:tcW w:w="149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1</w:t>
            </w:r>
          </w:p>
        </w:tc>
        <w:tc>
          <w:tcPr>
            <w:tcW w:w="1539"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372"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56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r w:rsidR="00737DE6" w:rsidRPr="00315335" w:rsidTr="00916B06">
        <w:tc>
          <w:tcPr>
            <w:tcW w:w="630"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4</w:t>
            </w:r>
          </w:p>
        </w:tc>
        <w:tc>
          <w:tcPr>
            <w:tcW w:w="1582" w:type="dxa"/>
            <w:shd w:val="clear" w:color="auto" w:fill="auto"/>
            <w:vAlign w:val="center"/>
          </w:tcPr>
          <w:p w:rsidR="00737DE6" w:rsidRPr="00315335" w:rsidRDefault="00737DE6" w:rsidP="00916B06">
            <w:pPr>
              <w:pStyle w:val="Titlu1"/>
              <w:shd w:val="clear" w:color="auto" w:fill="FFFFFF"/>
              <w:spacing w:before="0" w:after="0"/>
              <w:jc w:val="center"/>
              <w:rPr>
                <w:b w:val="0"/>
                <w:sz w:val="24"/>
                <w:szCs w:val="24"/>
              </w:rPr>
            </w:pPr>
            <w:r w:rsidRPr="00315335">
              <w:rPr>
                <w:b w:val="0"/>
                <w:sz w:val="24"/>
                <w:szCs w:val="24"/>
              </w:rPr>
              <w:t>Păsări</w:t>
            </w:r>
          </w:p>
        </w:tc>
        <w:tc>
          <w:tcPr>
            <w:tcW w:w="140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lang w:val="en-US"/>
              </w:rPr>
            </w:pPr>
            <w:r w:rsidRPr="00315335">
              <w:rPr>
                <w:rFonts w:ascii="Arial" w:hAnsi="Arial" w:cs="Arial"/>
                <w:sz w:val="24"/>
                <w:szCs w:val="24"/>
                <w:lang w:val="en-US"/>
              </w:rPr>
              <w:t>208</w:t>
            </w:r>
          </w:p>
        </w:tc>
        <w:tc>
          <w:tcPr>
            <w:tcW w:w="149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22</w:t>
            </w:r>
          </w:p>
        </w:tc>
        <w:tc>
          <w:tcPr>
            <w:tcW w:w="1539"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13</w:t>
            </w:r>
          </w:p>
        </w:tc>
        <w:tc>
          <w:tcPr>
            <w:tcW w:w="1372"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3</w:t>
            </w:r>
          </w:p>
        </w:tc>
        <w:tc>
          <w:tcPr>
            <w:tcW w:w="156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r w:rsidR="00737DE6" w:rsidRPr="00315335" w:rsidTr="00916B06">
        <w:tc>
          <w:tcPr>
            <w:tcW w:w="630"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5</w:t>
            </w:r>
          </w:p>
        </w:tc>
        <w:tc>
          <w:tcPr>
            <w:tcW w:w="1582" w:type="dxa"/>
            <w:shd w:val="clear" w:color="auto" w:fill="auto"/>
            <w:vAlign w:val="center"/>
          </w:tcPr>
          <w:p w:rsidR="00737DE6" w:rsidRPr="00315335" w:rsidRDefault="00737DE6" w:rsidP="00916B06">
            <w:pPr>
              <w:pStyle w:val="Titlu1"/>
              <w:shd w:val="clear" w:color="auto" w:fill="FFFFFF"/>
              <w:spacing w:before="0" w:after="0"/>
              <w:jc w:val="center"/>
              <w:rPr>
                <w:b w:val="0"/>
                <w:sz w:val="24"/>
                <w:szCs w:val="24"/>
              </w:rPr>
            </w:pPr>
            <w:r w:rsidRPr="00315335">
              <w:rPr>
                <w:b w:val="0"/>
                <w:sz w:val="24"/>
                <w:szCs w:val="24"/>
              </w:rPr>
              <w:t>Mamifere</w:t>
            </w:r>
          </w:p>
        </w:tc>
        <w:tc>
          <w:tcPr>
            <w:tcW w:w="140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lang w:val="en-US"/>
              </w:rPr>
            </w:pPr>
            <w:r w:rsidRPr="00315335">
              <w:rPr>
                <w:rFonts w:ascii="Arial" w:hAnsi="Arial" w:cs="Arial"/>
                <w:sz w:val="24"/>
                <w:szCs w:val="24"/>
                <w:lang w:val="en-US"/>
              </w:rPr>
              <w:t>18</w:t>
            </w:r>
          </w:p>
        </w:tc>
        <w:tc>
          <w:tcPr>
            <w:tcW w:w="149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6</w:t>
            </w:r>
          </w:p>
        </w:tc>
        <w:tc>
          <w:tcPr>
            <w:tcW w:w="1539"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372"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156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r w:rsidR="00737DE6" w:rsidRPr="00315335" w:rsidTr="00916B06">
        <w:tc>
          <w:tcPr>
            <w:tcW w:w="2212" w:type="dxa"/>
            <w:gridSpan w:val="2"/>
            <w:shd w:val="clear" w:color="auto" w:fill="auto"/>
            <w:vAlign w:val="center"/>
          </w:tcPr>
          <w:p w:rsidR="00737DE6" w:rsidRPr="00315335" w:rsidRDefault="00737DE6" w:rsidP="00916B06">
            <w:pPr>
              <w:pStyle w:val="Titlu1"/>
              <w:shd w:val="clear" w:color="auto" w:fill="FFFFFF"/>
              <w:spacing w:before="0" w:after="0"/>
              <w:jc w:val="center"/>
              <w:rPr>
                <w:b w:val="0"/>
                <w:sz w:val="24"/>
                <w:szCs w:val="24"/>
              </w:rPr>
            </w:pPr>
            <w:r w:rsidRPr="00315335">
              <w:rPr>
                <w:b w:val="0"/>
                <w:sz w:val="24"/>
                <w:szCs w:val="24"/>
              </w:rPr>
              <w:t>Total</w:t>
            </w:r>
          </w:p>
        </w:tc>
        <w:tc>
          <w:tcPr>
            <w:tcW w:w="1400" w:type="dxa"/>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lang w:val="en-US"/>
              </w:rPr>
            </w:pPr>
            <w:r w:rsidRPr="00315335">
              <w:rPr>
                <w:rFonts w:ascii="Arial" w:hAnsi="Arial" w:cs="Arial"/>
                <w:sz w:val="24"/>
                <w:szCs w:val="24"/>
                <w:lang w:val="en-US"/>
              </w:rPr>
              <w:t>305</w:t>
            </w:r>
          </w:p>
        </w:tc>
        <w:tc>
          <w:tcPr>
            <w:tcW w:w="149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35</w:t>
            </w:r>
          </w:p>
        </w:tc>
        <w:tc>
          <w:tcPr>
            <w:tcW w:w="1539"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18</w:t>
            </w:r>
          </w:p>
        </w:tc>
        <w:tc>
          <w:tcPr>
            <w:tcW w:w="1372"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4</w:t>
            </w:r>
          </w:p>
        </w:tc>
        <w:tc>
          <w:tcPr>
            <w:tcW w:w="1568" w:type="dxa"/>
            <w:shd w:val="clear" w:color="auto" w:fill="auto"/>
            <w:vAlign w:val="center"/>
          </w:tcPr>
          <w:p w:rsidR="00737DE6" w:rsidRPr="00315335" w:rsidRDefault="00737DE6" w:rsidP="00916B06">
            <w:pPr>
              <w:pStyle w:val="Indentcorptext"/>
              <w:shd w:val="clear" w:color="auto" w:fill="FFFFFF"/>
              <w:spacing w:after="0" w:line="240" w:lineRule="auto"/>
              <w:jc w:val="center"/>
              <w:rPr>
                <w:rFonts w:ascii="Arial" w:hAnsi="Arial" w:cs="Arial"/>
                <w:sz w:val="24"/>
                <w:szCs w:val="24"/>
              </w:rPr>
            </w:pPr>
            <w:r w:rsidRPr="00315335">
              <w:rPr>
                <w:rFonts w:ascii="Arial" w:hAnsi="Arial" w:cs="Arial"/>
                <w:sz w:val="24"/>
                <w:szCs w:val="24"/>
              </w:rPr>
              <w:t>3</w:t>
            </w:r>
          </w:p>
        </w:tc>
      </w:tr>
    </w:tbl>
    <w:p w:rsidR="00737DE6" w:rsidRPr="00315335" w:rsidRDefault="00737DE6" w:rsidP="00737DE6">
      <w:pPr>
        <w:pStyle w:val="Indentcorptext"/>
        <w:shd w:val="clear" w:color="auto" w:fill="FFFFFF"/>
        <w:spacing w:after="0" w:line="240" w:lineRule="auto"/>
        <w:rPr>
          <w:rFonts w:ascii="Arial" w:hAnsi="Arial" w:cs="Arial"/>
          <w:sz w:val="24"/>
          <w:szCs w:val="24"/>
        </w:rPr>
      </w:pPr>
    </w:p>
    <w:p w:rsidR="00737DE6" w:rsidRPr="00315335" w:rsidRDefault="00737DE6" w:rsidP="00737DE6">
      <w:pPr>
        <w:pStyle w:val="Corptext2"/>
        <w:shd w:val="clear" w:color="auto" w:fill="FFFFFF"/>
        <w:spacing w:after="0" w:line="240" w:lineRule="auto"/>
        <w:ind w:firstLine="708"/>
        <w:jc w:val="both"/>
        <w:rPr>
          <w:rFonts w:ascii="Arial" w:hAnsi="Arial" w:cs="Arial"/>
        </w:rPr>
      </w:pPr>
      <w:r w:rsidRPr="00315335">
        <w:rPr>
          <w:rFonts w:ascii="Arial" w:hAnsi="Arial" w:cs="Arial"/>
        </w:rPr>
        <w:lastRenderedPageBreak/>
        <w:t xml:space="preserve">Păsările sunt cele mai numeroase dintre vertebrate,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bălţi din terasa Dunării. </w:t>
      </w:r>
    </w:p>
    <w:p w:rsidR="00737DE6" w:rsidRPr="00315335" w:rsidRDefault="00737DE6" w:rsidP="00737DE6">
      <w:pPr>
        <w:shd w:val="clear" w:color="auto" w:fill="FFFFFF"/>
        <w:spacing w:after="0" w:line="240" w:lineRule="auto"/>
        <w:ind w:firstLine="735"/>
        <w:jc w:val="both"/>
        <w:rPr>
          <w:rFonts w:ascii="Arial" w:hAnsi="Arial" w:cs="Arial"/>
          <w:b/>
          <w:snapToGrid w:val="0"/>
          <w:sz w:val="24"/>
          <w:szCs w:val="24"/>
        </w:rPr>
      </w:pPr>
    </w:p>
    <w:p w:rsidR="00737DE6" w:rsidRPr="00315335" w:rsidRDefault="00737DE6" w:rsidP="00737DE6">
      <w:pPr>
        <w:shd w:val="clear" w:color="auto" w:fill="FFFFFF"/>
        <w:spacing w:after="0" w:line="240" w:lineRule="auto"/>
        <w:ind w:firstLine="735"/>
        <w:jc w:val="both"/>
        <w:rPr>
          <w:rFonts w:ascii="Arial" w:hAnsi="Arial" w:cs="Arial"/>
          <w:b/>
          <w:i/>
          <w:snapToGrid w:val="0"/>
          <w:sz w:val="24"/>
          <w:szCs w:val="24"/>
        </w:rPr>
      </w:pPr>
      <w:r w:rsidRPr="00315335">
        <w:rPr>
          <w:rFonts w:ascii="Arial" w:hAnsi="Arial" w:cs="Arial"/>
          <w:b/>
          <w:snapToGrid w:val="0"/>
          <w:sz w:val="24"/>
          <w:szCs w:val="24"/>
        </w:rPr>
        <w:t xml:space="preserve">V.1. </w:t>
      </w:r>
      <w:r w:rsidRPr="00315335">
        <w:rPr>
          <w:rFonts w:ascii="Arial" w:hAnsi="Arial" w:cs="Arial"/>
          <w:b/>
          <w:i/>
          <w:snapToGrid w:val="0"/>
          <w:sz w:val="24"/>
          <w:szCs w:val="24"/>
        </w:rPr>
        <w:t>Amenințări pentru biodiversitate și presiuni exercitate asupra biodiversității</w:t>
      </w:r>
    </w:p>
    <w:p w:rsidR="00737DE6" w:rsidRPr="00315335" w:rsidRDefault="00737DE6" w:rsidP="00737DE6">
      <w:pPr>
        <w:shd w:val="clear" w:color="auto" w:fill="FFFFFF"/>
        <w:spacing w:after="0" w:line="240" w:lineRule="auto"/>
        <w:ind w:firstLine="735"/>
        <w:jc w:val="both"/>
        <w:rPr>
          <w:rFonts w:ascii="Arial" w:hAnsi="Arial" w:cs="Arial"/>
          <w:snapToGrid w:val="0"/>
          <w:sz w:val="24"/>
          <w:szCs w:val="24"/>
        </w:rPr>
      </w:pPr>
      <w:r w:rsidRPr="00315335">
        <w:rPr>
          <w:rFonts w:ascii="Arial" w:hAnsi="Arial" w:cs="Arial"/>
          <w:b/>
          <w:snapToGrid w:val="0"/>
          <w:sz w:val="24"/>
          <w:szCs w:val="24"/>
        </w:rPr>
        <w:t xml:space="preserve">  V.1.1. Speciile invazive</w:t>
      </w:r>
    </w:p>
    <w:p w:rsidR="00737DE6" w:rsidRPr="00315335" w:rsidRDefault="00737DE6" w:rsidP="00737DE6">
      <w:pPr>
        <w:shd w:val="clear" w:color="auto" w:fill="FFFFFF"/>
        <w:spacing w:after="0" w:line="240" w:lineRule="auto"/>
        <w:ind w:firstLine="708"/>
        <w:jc w:val="both"/>
        <w:rPr>
          <w:rFonts w:ascii="Arial" w:hAnsi="Arial" w:cs="Arial"/>
          <w:snapToGrid w:val="0"/>
          <w:sz w:val="24"/>
          <w:szCs w:val="24"/>
        </w:rPr>
      </w:pPr>
      <w:r w:rsidRPr="00315335">
        <w:rPr>
          <w:rFonts w:ascii="Arial" w:hAnsi="Arial" w:cs="Arial"/>
          <w:snapToGrid w:val="0"/>
          <w:sz w:val="24"/>
          <w:szCs w:val="24"/>
        </w:rPr>
        <w:t>Conform OUG 57/2007 cu modificările și completările ulterioare specii invazive sunt speciile indigene sau alohtone (străine), care şi-au extins arealul de distribuţie sau au fost introduse accidental ori intenţionat într-o arie şi/sau s-au reprodus într-o asemenea măsură şi atât de agresiv încât influenţează negativ/domină/înlocuiesc unele dintre speciile indigene, determinând modificarea structurii cantitative şi/sau calitative a biocenozei naturale, caracteristică unui anumit tip de biotop.</w:t>
      </w:r>
    </w:p>
    <w:p w:rsidR="00737DE6" w:rsidRPr="00315335" w:rsidRDefault="00737DE6" w:rsidP="00737DE6">
      <w:pPr>
        <w:shd w:val="clear" w:color="auto" w:fill="FFFFFF"/>
        <w:spacing w:after="0" w:line="240" w:lineRule="auto"/>
        <w:ind w:firstLine="708"/>
        <w:jc w:val="both"/>
        <w:rPr>
          <w:rFonts w:ascii="Arial" w:hAnsi="Arial" w:cs="Arial"/>
          <w:snapToGrid w:val="0"/>
          <w:sz w:val="24"/>
          <w:szCs w:val="24"/>
        </w:rPr>
      </w:pPr>
      <w:r w:rsidRPr="00315335">
        <w:rPr>
          <w:rFonts w:ascii="Arial" w:hAnsi="Arial" w:cs="Arial"/>
          <w:snapToGrid w:val="0"/>
          <w:sz w:val="24"/>
          <w:szCs w:val="24"/>
        </w:rPr>
        <w:t xml:space="preserve">Convenţia privind Diversitatea Biologică defineşte o specie alogenă ca fiind "o specie, subspecie sau un taxon inferior, introdus în afara răspândirii sale naturale din trecut sau prezent, incluzând orice parte, gameţi, seminţe, ouă sau mijloace de răspândire a acestor specii, care pot supravieţui şi se pot reproduce ulterior", în timp ce o specie alogenă invazivă este "o specie alogenă a cărei introducere şi/sau răspândire ameninţă diversitatea biologică". </w:t>
      </w:r>
    </w:p>
    <w:p w:rsidR="00737DE6" w:rsidRPr="00315335" w:rsidRDefault="00737DE6" w:rsidP="00737DE6">
      <w:pPr>
        <w:pStyle w:val="BodyText21"/>
        <w:widowControl/>
        <w:shd w:val="clear" w:color="auto" w:fill="FFFFFF"/>
        <w:ind w:firstLine="708"/>
        <w:rPr>
          <w:rFonts w:ascii="Arial" w:hAnsi="Arial" w:cs="Arial"/>
          <w:lang w:val="ro-RO"/>
        </w:rPr>
      </w:pPr>
      <w:r w:rsidRPr="00315335">
        <w:rPr>
          <w:rFonts w:ascii="Arial" w:hAnsi="Arial" w:cs="Arial"/>
          <w:lang w:val="ro-RO"/>
        </w:rPr>
        <w:t>Aceste specii sunt raspandite la scara geografica larga si pot fi intalnite in toate tipurile de ecosisteme. Cele mai multe astfel de specii care afecteaza ecosistemele terestre apartin unor grupuri de organisme vii cum sunt plantele, mamiferele și insectele.  Amenințarea pe care aceste specii o reprezintă pentru biodiversitate la nivel global este considerată ca ocupând locul secund, după pericolul reprezentat de pierderea sau degradarea habitatului.</w:t>
      </w:r>
    </w:p>
    <w:p w:rsidR="00737DE6" w:rsidRPr="00315335" w:rsidRDefault="00737DE6" w:rsidP="00737DE6">
      <w:pPr>
        <w:pStyle w:val="BodyText21"/>
        <w:widowControl/>
        <w:shd w:val="clear" w:color="auto" w:fill="FFFFFF"/>
        <w:rPr>
          <w:rFonts w:ascii="Arial" w:hAnsi="Arial" w:cs="Arial"/>
          <w:lang w:val="ro-RO"/>
        </w:rPr>
      </w:pPr>
      <w:r w:rsidRPr="00315335">
        <w:rPr>
          <w:rFonts w:ascii="Arial" w:hAnsi="Arial" w:cs="Arial"/>
          <w:lang w:val="ro-RO"/>
        </w:rPr>
        <w:t xml:space="preserve">O specie invazivă este considerată aceea care are o creștere și o distribuție spațială rapidă și care în unele cazuri ocupă spații foarte mari. Datorita faptului că factorii biotopului sau caracteristici locale ale structurii biocenozei în care erau integrate nu mai actioneaza similar in noile conditii de viata, speciile introduse pot deveni invazive ca urmare a unei cresteri numerice rapide si necontrolate in noul mediu. Acest fapt se repercuteaza negativ asupra unor specii de plante si animale autohtone care nu au timp sa-si dezvolte masuri de aparare adecvate.  </w:t>
      </w:r>
    </w:p>
    <w:p w:rsidR="00737DE6" w:rsidRPr="00315335" w:rsidRDefault="00737DE6" w:rsidP="00737DE6">
      <w:pPr>
        <w:pStyle w:val="BodyText21"/>
        <w:widowControl/>
        <w:shd w:val="clear" w:color="auto" w:fill="FFFFFF"/>
        <w:rPr>
          <w:rFonts w:ascii="Arial" w:hAnsi="Arial" w:cs="Arial"/>
          <w:lang w:val="ro-RO"/>
        </w:rPr>
      </w:pPr>
      <w:r w:rsidRPr="00315335">
        <w:rPr>
          <w:rFonts w:ascii="Arial" w:hAnsi="Arial" w:cs="Arial"/>
          <w:lang w:val="ro-RO"/>
        </w:rPr>
        <w:t>Invazia speciilor străine este recunoscută, în prezent, ca una dintre principalele ameninţări la adresa biodiversităţii , structurii şi funcţiilor ecosistemelor, conservării arealelor protejate şi determină costuri mari în agricultură, silvicultură, piscicultură şi alte ramuri economice, precum şi în sănătatea umană.</w:t>
      </w:r>
    </w:p>
    <w:p w:rsidR="00737DE6" w:rsidRPr="00315335" w:rsidRDefault="00737DE6" w:rsidP="00737DE6">
      <w:pPr>
        <w:pStyle w:val="BodyText21"/>
        <w:widowControl/>
        <w:shd w:val="clear" w:color="auto" w:fill="FFFFFF"/>
        <w:ind w:firstLine="708"/>
        <w:rPr>
          <w:rFonts w:ascii="Arial" w:hAnsi="Arial" w:cs="Arial"/>
          <w:lang w:val="ro-RO"/>
        </w:rPr>
      </w:pPr>
      <w:r w:rsidRPr="00315335">
        <w:rPr>
          <w:rFonts w:ascii="Arial" w:hAnsi="Arial" w:cs="Arial"/>
          <w:lang w:val="ro-RO"/>
        </w:rPr>
        <w:t xml:space="preserve">În vederea protejarii habitatelor naturale si a speciilor indigene, introducerea de specii alohtone, interventiile asupra speciilor invazive, precum si reintroducerea speciilor indigene prevazute în anexele nr. </w:t>
      </w:r>
      <w:smartTag w:uri="urn:schemas-microsoft-com:office:smarttags" w:element="metricconverter">
        <w:smartTagPr>
          <w:attr w:name="ProductID" w:val="4 A"/>
        </w:smartTagPr>
        <w:r w:rsidRPr="00315335">
          <w:rPr>
            <w:rFonts w:ascii="Arial" w:hAnsi="Arial" w:cs="Arial"/>
            <w:lang w:val="ro-RO"/>
          </w:rPr>
          <w:t>4 A</w:t>
        </w:r>
      </w:smartTag>
      <w:r w:rsidRPr="00315335">
        <w:rPr>
          <w:rFonts w:ascii="Arial" w:hAnsi="Arial" w:cs="Arial"/>
          <w:lang w:val="ro-RO"/>
        </w:rPr>
        <w:t xml:space="preserve"> si 4 B se reglementeaza prin ordin al conducatorului autoritatii publice centrale pentru protectia mediului si padurilor.   </w:t>
      </w:r>
    </w:p>
    <w:p w:rsidR="00737DE6" w:rsidRPr="00315335" w:rsidRDefault="00737DE6" w:rsidP="00737DE6">
      <w:pPr>
        <w:pStyle w:val="BodyText21"/>
        <w:widowControl/>
        <w:shd w:val="clear" w:color="auto" w:fill="FFFFFF"/>
        <w:rPr>
          <w:rFonts w:ascii="Arial" w:hAnsi="Arial" w:cs="Arial"/>
          <w:lang w:val="ro-RO"/>
        </w:rPr>
      </w:pPr>
      <w:r w:rsidRPr="00315335">
        <w:rPr>
          <w:rFonts w:ascii="Arial" w:hAnsi="Arial" w:cs="Arial"/>
          <w:lang w:val="ro-RO"/>
        </w:rPr>
        <w:t>Comisia Europeană a publicat in 09.09.2013 o propunere de regulament pentru prevenire şi management privind introducerea şi răspândirea speciilor alogene invazive. Propunerea urmăreşte să abordeze problema speciilor alogene invazive într-o manieră cuprinzătoare, astfel încât să protejeze biodiversitatea nativă şi a serviciilor de ecosistem (servicii de mediu), precum şi pentru a reduce şi a atenua impactul economic şi asupra sănătăţii umane pe care aceste specii le pot avea</w:t>
      </w:r>
    </w:p>
    <w:p w:rsidR="00737DE6" w:rsidRPr="00315335" w:rsidRDefault="00737DE6" w:rsidP="00737DE6">
      <w:pPr>
        <w:pStyle w:val="BodyText21"/>
        <w:widowControl/>
        <w:shd w:val="clear" w:color="auto" w:fill="FFFFFF"/>
        <w:ind w:firstLine="708"/>
        <w:rPr>
          <w:rFonts w:ascii="Arial" w:hAnsi="Arial" w:cs="Arial"/>
          <w:lang w:val="ro-RO"/>
        </w:rPr>
      </w:pPr>
      <w:r w:rsidRPr="00315335">
        <w:rPr>
          <w:rFonts w:ascii="Arial" w:hAnsi="Arial" w:cs="Arial"/>
          <w:lang w:val="ro-RO"/>
        </w:rPr>
        <w:t>Conform Strategiei Europene pentru Biodiversitate, se prevede ca până în 2020 să fie identificate şi prioritizate speciile alogene invazive şi căile lor de răspândire, să fie controlate sau eradicate speciile prioritare şi să se prevenină introducerea de noi specii invasive. Odată cu intrarea în vigoare a Regulamentului se vor întocmi baze de date şi se va putea monitoriza progresul acţiunilor întreprinse pentru limitarea efectelor negative generate de speciile invazive</w:t>
      </w:r>
    </w:p>
    <w:p w:rsidR="00737DE6" w:rsidRPr="00315335" w:rsidRDefault="00737DE6" w:rsidP="00737DE6">
      <w:pPr>
        <w:pStyle w:val="BodyText21"/>
        <w:widowControl/>
        <w:shd w:val="clear" w:color="auto" w:fill="FFFFFF"/>
        <w:rPr>
          <w:rFonts w:ascii="Arial" w:hAnsi="Arial" w:cs="Arial"/>
          <w:lang w:val="ro-RO"/>
        </w:rPr>
      </w:pPr>
      <w:r w:rsidRPr="00315335">
        <w:rPr>
          <w:rFonts w:ascii="Arial" w:hAnsi="Arial" w:cs="Arial"/>
          <w:lang w:val="ro-RO"/>
        </w:rPr>
        <w:t>În prezent la nivel național nu există o bază de date care să conţină speciile invazive. Baza de date europeană DAISIE (</w:t>
      </w:r>
      <w:hyperlink r:id="rId108" w:history="1">
        <w:r w:rsidRPr="00315335">
          <w:rPr>
            <w:rFonts w:ascii="Arial" w:hAnsi="Arial" w:cs="Arial"/>
            <w:lang w:val="ro-RO"/>
          </w:rPr>
          <w:t>http://www.europe-aliens.org/</w:t>
        </w:r>
      </w:hyperlink>
      <w:r w:rsidRPr="00315335">
        <w:rPr>
          <w:rFonts w:ascii="Arial" w:hAnsi="Arial" w:cs="Arial"/>
          <w:lang w:val="ro-RO"/>
        </w:rPr>
        <w:t xml:space="preserve">) este completată în mod benevol de către specialiştii din domeniu. </w:t>
      </w:r>
    </w:p>
    <w:p w:rsidR="00737DE6" w:rsidRPr="00315335" w:rsidRDefault="00737DE6" w:rsidP="00737DE6">
      <w:pPr>
        <w:pStyle w:val="BodyText21"/>
        <w:widowControl/>
        <w:shd w:val="clear" w:color="auto" w:fill="FFFFFF"/>
        <w:ind w:firstLine="708"/>
        <w:rPr>
          <w:rFonts w:ascii="Arial" w:hAnsi="Arial" w:cs="Arial"/>
          <w:lang w:val="ro-RO"/>
        </w:rPr>
      </w:pPr>
      <w:r w:rsidRPr="00315335">
        <w:rPr>
          <w:rFonts w:ascii="Arial" w:hAnsi="Arial" w:cs="Arial"/>
          <w:lang w:val="ro-RO"/>
        </w:rPr>
        <w:t xml:space="preserve">Pentru județul Brăila nu există informații relevante cu privire la aceste specii. Pe traseul Dunării de Jos cea mai expansivă specie alohtonă invazivă este Amorpha fruticosa, un arbust originar din America de Nord, asemănător salcâmului care a fost introdus în România ca arbust ornamental și pentru stabilizarea solurilor degradate și erodate. În timp s-au constatat efecte </w:t>
      </w:r>
      <w:r w:rsidRPr="00315335">
        <w:rPr>
          <w:rFonts w:ascii="Arial" w:hAnsi="Arial" w:cs="Arial"/>
          <w:lang w:val="ro-RO"/>
        </w:rPr>
        <w:lastRenderedPageBreak/>
        <w:t>negative asupra mediului, prin concurența făcută speciilor autohtone, ceea ce a condus chiar la eliminarea unora dintre acestea pe arealele afectate. Prezentă în habitate seminaturale ea a coborât acum până în sălcete unde tinde să înlocuiască salcia autohtonă. Îndepărtarea tufărișului de amorfă din habitatele naturale invadate, în scopul regenerării acestora, este deosebit de dificilă, din cauza prolificității deosebite a speciei, presupunând, de asemenea, resurse financiare foarte mari.</w:t>
      </w:r>
    </w:p>
    <w:p w:rsidR="00737DE6" w:rsidRPr="00315335" w:rsidRDefault="00737DE6" w:rsidP="00737DE6">
      <w:pPr>
        <w:pStyle w:val="Default"/>
        <w:shd w:val="clear" w:color="auto" w:fill="FFFFFF"/>
        <w:ind w:firstLine="708"/>
        <w:jc w:val="both"/>
        <w:rPr>
          <w:rFonts w:ascii="Arial" w:hAnsi="Arial" w:cs="Arial"/>
          <w:color w:val="auto"/>
        </w:rPr>
      </w:pPr>
      <w:r w:rsidRPr="00315335">
        <w:rPr>
          <w:rFonts w:ascii="Arial" w:hAnsi="Arial" w:cs="Arial"/>
          <w:color w:val="auto"/>
          <w:lang w:val="ro-RO"/>
        </w:rPr>
        <w:t>În ariile protejate situate în Lunca Siretului Inferior a fost observată apariția și extinderea invazivă a speciei Trachemys scripta -țestoasa de apă cu tâmple galbene însă cu semnalări punctuale, izolat și cu caracter ocazional. Specia intră în competiție cu broasca țestoasă europeană, Emys orbicularis, înlocuind-o treptat din habitatele respective.</w:t>
      </w:r>
      <w:r w:rsidRPr="00315335">
        <w:rPr>
          <w:rFonts w:ascii="Arial" w:hAnsi="Arial" w:cs="Arial"/>
          <w:color w:val="auto"/>
        </w:rPr>
        <w:t xml:space="preserve"> De asemenea, în același areal este semnalată extinderea invazivă a speciilor introduse prin practicile silvice, salcâm, glădiță, oțetar, specii care înlocuiesc treptat vegetația nativă, intrând în competiție cu speciile corespunzătoare tipului de stațiune existent, alterând habitatele și capacitatea acestora de susținere a speciilor de interes conservativ precum și alterarea habitatelor .</w:t>
      </w:r>
    </w:p>
    <w:p w:rsidR="00737DE6" w:rsidRPr="00315335" w:rsidRDefault="00737DE6" w:rsidP="00737DE6">
      <w:pPr>
        <w:pStyle w:val="BodyText21"/>
        <w:widowControl/>
        <w:shd w:val="clear" w:color="auto" w:fill="FFFFFF"/>
        <w:ind w:firstLine="737"/>
        <w:rPr>
          <w:rFonts w:ascii="Arial" w:hAnsi="Arial" w:cs="Arial"/>
          <w:lang w:val="ro-RO"/>
        </w:rPr>
      </w:pPr>
      <w:r w:rsidRPr="00315335">
        <w:rPr>
          <w:rFonts w:ascii="Arial" w:hAnsi="Arial" w:cs="Arial"/>
          <w:lang w:val="ro-RO"/>
        </w:rPr>
        <w:t xml:space="preserve"> </w:t>
      </w:r>
    </w:p>
    <w:p w:rsidR="00737DE6" w:rsidRPr="00315335" w:rsidRDefault="00737DE6" w:rsidP="00737DE6">
      <w:pPr>
        <w:pStyle w:val="BodyText21"/>
        <w:widowControl/>
        <w:shd w:val="clear" w:color="auto" w:fill="FFFFFF"/>
        <w:ind w:left="170"/>
        <w:rPr>
          <w:rFonts w:ascii="Arial" w:hAnsi="Arial" w:cs="Arial"/>
        </w:rPr>
      </w:pPr>
      <w:r w:rsidRPr="00315335">
        <w:rPr>
          <w:rFonts w:ascii="Arial" w:hAnsi="Arial" w:cs="Arial"/>
          <w:b/>
        </w:rPr>
        <w:t xml:space="preserve">V.1.2 </w:t>
      </w:r>
      <w:r w:rsidRPr="00315335">
        <w:rPr>
          <w:rFonts w:ascii="Arial" w:hAnsi="Arial" w:cs="Arial"/>
          <w:b/>
          <w:i/>
        </w:rPr>
        <w:t>Poluarea și încărcarea cu nutrienți</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Toate formele de poluare ameninţă biodiversitatea, dar mai ales încărcarea cu nutrienţi (azot şi fosfor), care reprezintă o cauză majoră şi în continuă creştere a pierderii de biodiversitate şi a degradării ecosistemelor. Emisiile de azot în atmosferă au crescut substanţial în ultimii 100 de ani, mai ales sub formă de amoniu din agricultură şi de oxizi de azot din industrie. Ca urmare a depunerilor din atmosferă, aceste forme de azot sunt depozitate, afectând habitatele sensibile. </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În plus, compuşii cu azot pot produce şi eutrofizarea ecosistemelor, manifestată prin scăderea bogăţiei de specii și creșterea numerică a populațiilor speciilor rezistente. Astfel, eutrofizarea apelor (lacuri, ape marine) constă în dezvoltarea excesivă a algelor plantonice, ceea ce conduce la creşterea acumulării de materie organică. Această acumulare poate fi asociată cu modificări în compoziţia speciilor, alterând astfel funcţionarea lanţurilor trofice.</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Se consideră că biodiversitatea este ameninţată de poluare acolo unde sunt depășite anumite încărcări considerate critice pentru anumiți indicatori care reflectă cantitatea de nutrienți ( azot și fosfor) , sulf sau expunerea la ozon.</w:t>
      </w:r>
    </w:p>
    <w:p w:rsidR="00737DE6" w:rsidRPr="00315335" w:rsidRDefault="00737DE6" w:rsidP="00737DE6">
      <w:pPr>
        <w:shd w:val="clear" w:color="auto" w:fill="FFFFFF"/>
        <w:autoSpaceDE w:val="0"/>
        <w:autoSpaceDN w:val="0"/>
        <w:adjustRightInd w:val="0"/>
        <w:spacing w:after="0" w:line="240" w:lineRule="auto"/>
        <w:jc w:val="both"/>
        <w:rPr>
          <w:rFonts w:ascii="Arial" w:hAnsi="Arial" w:cs="Arial"/>
          <w:sz w:val="24"/>
          <w:szCs w:val="24"/>
        </w:rPr>
      </w:pPr>
    </w:p>
    <w:p w:rsidR="00737DE6" w:rsidRPr="00315335" w:rsidRDefault="00737DE6" w:rsidP="00737DE6">
      <w:pPr>
        <w:pStyle w:val="Default"/>
        <w:shd w:val="clear" w:color="auto" w:fill="FFFFFF"/>
        <w:ind w:firstLine="708"/>
        <w:jc w:val="both"/>
        <w:rPr>
          <w:rFonts w:ascii="Arial" w:hAnsi="Arial" w:cs="Arial"/>
          <w:b/>
          <w:i/>
          <w:color w:val="auto"/>
          <w:lang w:val="ro-RO"/>
        </w:rPr>
      </w:pPr>
      <w:r w:rsidRPr="00315335">
        <w:rPr>
          <w:rFonts w:ascii="Arial" w:hAnsi="Arial" w:cs="Arial"/>
          <w:b/>
          <w:i/>
          <w:color w:val="auto"/>
          <w:lang w:val="ro-RO"/>
        </w:rPr>
        <w:t>V.I.3 Schimbările climatice</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Schimbări climatice sunt schimbări de climat care sunt atribuite direct sau indirect unei activităţi omeneşti care alterează compoziţia atmosferei la nivel global şi care se adaugă variabilităţii naturale a climatului observat în cursul unor perioade comparabile.</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Studiile ştiinţifice de impact au pus în evidenţă modificările produse de schimbarea climei asupra sistemelor naturale şi au analizat măsurile de adaptare pentru ca aceste modificări să fie minime, astfel încât să se asigure resursele de hrană şi dezvoltarea pe termen lung a societăţii  şi economiei.</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Biodiversitatea este afectată de schimbările climatice, cu consecinţe negative pentru umanitate. În acelaşi timp, biodiversitatea, prin serviciile de ecosistem pe care le susţine, are o contribuţie importantă atât la atenuarea, cât şi la adaptarea la schimbările climatice. Cu alte cuvinte, conservarea şi gestiunea adecvată a biodiversităţii este o chestiune critică în privinţa schimbărilor climatice. </w:t>
      </w:r>
    </w:p>
    <w:p w:rsidR="00737DE6" w:rsidRPr="00315335" w:rsidRDefault="00737DE6" w:rsidP="00737DE6">
      <w:pPr>
        <w:pStyle w:val="Default"/>
        <w:shd w:val="clear" w:color="auto" w:fill="FFFFFF"/>
        <w:ind w:firstLine="708"/>
        <w:jc w:val="both"/>
        <w:rPr>
          <w:rFonts w:ascii="Arial" w:hAnsi="Arial" w:cs="Arial"/>
          <w:color w:val="auto"/>
          <w:lang w:val="ro-RO"/>
        </w:rPr>
      </w:pPr>
    </w:p>
    <w:p w:rsidR="00737DE6" w:rsidRPr="00315335" w:rsidRDefault="00737DE6" w:rsidP="00737DE6">
      <w:pPr>
        <w:shd w:val="clear" w:color="auto" w:fill="FFFFFF"/>
        <w:tabs>
          <w:tab w:val="left" w:pos="1176"/>
          <w:tab w:val="left" w:leader="dot" w:pos="9356"/>
        </w:tabs>
        <w:spacing w:after="0" w:line="240" w:lineRule="auto"/>
        <w:jc w:val="both"/>
        <w:rPr>
          <w:rFonts w:ascii="Arial" w:hAnsi="Arial" w:cs="Arial"/>
          <w:b/>
          <w:sz w:val="24"/>
          <w:szCs w:val="24"/>
        </w:rPr>
      </w:pPr>
      <w:r w:rsidRPr="00315335">
        <w:rPr>
          <w:rFonts w:ascii="Arial" w:hAnsi="Arial" w:cs="Arial"/>
          <w:b/>
          <w:sz w:val="24"/>
          <w:szCs w:val="24"/>
        </w:rPr>
        <w:t xml:space="preserve">V.1.4 </w:t>
      </w:r>
      <w:r w:rsidRPr="00315335">
        <w:rPr>
          <w:rFonts w:ascii="Arial" w:hAnsi="Arial" w:cs="Arial"/>
          <w:b/>
          <w:i/>
          <w:sz w:val="24"/>
          <w:szCs w:val="24"/>
        </w:rPr>
        <w:t>Modificarea habitatelor</w:t>
      </w:r>
      <w:r w:rsidRPr="00315335">
        <w:rPr>
          <w:rFonts w:ascii="Arial" w:hAnsi="Arial" w:cs="Arial"/>
          <w:b/>
          <w:sz w:val="24"/>
          <w:szCs w:val="24"/>
        </w:rPr>
        <w:t xml:space="preserve"> </w:t>
      </w:r>
    </w:p>
    <w:p w:rsidR="00737DE6" w:rsidRPr="00315335" w:rsidRDefault="00737DE6" w:rsidP="00737DE6">
      <w:pPr>
        <w:shd w:val="clear" w:color="auto" w:fill="FFFFFF"/>
        <w:tabs>
          <w:tab w:val="left" w:leader="dot" w:pos="9356"/>
        </w:tabs>
        <w:spacing w:after="0" w:line="240" w:lineRule="auto"/>
        <w:jc w:val="both"/>
        <w:rPr>
          <w:rFonts w:ascii="Arial" w:hAnsi="Arial" w:cs="Arial"/>
          <w:sz w:val="24"/>
          <w:szCs w:val="24"/>
        </w:rPr>
      </w:pPr>
      <w:r w:rsidRPr="00315335">
        <w:rPr>
          <w:rFonts w:ascii="Arial" w:hAnsi="Arial" w:cs="Arial"/>
          <w:b/>
          <w:sz w:val="24"/>
          <w:szCs w:val="24"/>
        </w:rPr>
        <w:t xml:space="preserve">              V.1.4.1. Fragmentarea ecosistemelor</w:t>
      </w:r>
      <w:r w:rsidRPr="00315335">
        <w:rPr>
          <w:rFonts w:ascii="Arial" w:hAnsi="Arial" w:cs="Arial"/>
          <w:sz w:val="24"/>
          <w:szCs w:val="24"/>
        </w:rPr>
        <w:t xml:space="preserve"> </w:t>
      </w:r>
    </w:p>
    <w:p w:rsidR="00737DE6" w:rsidRPr="00315335" w:rsidRDefault="00737DE6" w:rsidP="00737DE6">
      <w:pPr>
        <w:shd w:val="clear" w:color="auto" w:fill="FFFFFF"/>
        <w:tabs>
          <w:tab w:val="left" w:leader="dot" w:pos="9356"/>
        </w:tabs>
        <w:spacing w:after="0" w:line="240" w:lineRule="auto"/>
        <w:jc w:val="both"/>
        <w:rPr>
          <w:rFonts w:ascii="Arial" w:hAnsi="Arial" w:cs="Arial"/>
          <w:sz w:val="24"/>
          <w:szCs w:val="24"/>
        </w:rPr>
      </w:pP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Extinderea în spaţiu a sistemului socio-economic uman, creşterea complexităţii subsistemelor componente precum şi sporirea conexiunilor dintre acestea duc la distrugerea, degradarea şi fragmentarea sistemelor ecologice naturale şi seminaturale. Fragmentarea habitatelor este procesul prin care o suprafaţă mare şi continuă a unui habitat este divizată în două sau mai multe fragmente. Alterarea sistemelor ecologice naturale terestre şi a apelor curgătoare este considerată una din cele mai grave ameninţări asupra biodiversităţii la nivel global. </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lastRenderedPageBreak/>
        <w:t xml:space="preserve">Cea mai vizibilă şi cu un impact major este distrugerea directă a sistemelor ecologice (ex. tăierea unei păduri, drenarea unui zone umede, construirea unui baraj, transformarea zonelor de stepă/preerie/savană în agroecosisteme). Deseori impactul distrugerii directe este mult amplificat de fragmentarea sistemelor ecologice rămase. </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Fragmentarea poate duce la întreruperea continuităţii structurale sau funcţionale a sistemelor ecologice, datorită distribuirii habitatului rămas în parcele mici, izolate. Rezultatul final al dezvoltării componentelor sistemului socio-economic uman într-o regiune sunt un ansamblu de zone naturale şi seminaturale, cu suprafaţă redusă, izolate, adevărate insule într-o “mare” de agroecosisteme, ecosisteme urbane şi rurale. Conversia terenurilor în scopul dezvoltării urbane, industriale, agricole, turistice sau pentru transport, poate determina degradarea, distrugerea şi fragmentarea habitatelor. Se reduce astfel spaţiul pentru habitate şi ecosisteme care furnizează servicii importante, cum ar fi reglarea echilibrului apei şi protecţia împotriva inundaţiilor. </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Fragmentarea antropică a habitatelor are loc mai ales prin conversia terenurilor agricole, urbanizare, poluare, despăduriri şi introducerea de specii alogene. </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Fragmentarea ecosistemelor este cauza cea mai importantă a distrugerii biodiversităţii, prin reducerea bogăţiei de specii şi a diversităţii taxonomice, respectiv prin reducerea funcţiilor ecosistemelor. Fragmentarea poate produce izolarea unor specii până la reducerea la minim a mărimii viabile a unei populaţii, aceasta fiind în pericol de extincţie. În alte cazuri, populaţia unei specii poate să crească într-un habitat complex fragmentat, pentru că este specie dominantă sau pentru că au fost eliminate alte specii prin fragmentare.</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În judeţul Brăila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ca şi o mare parte din păşunile cu vegetaţie de stepă pe terenuri cu exces de umiditate, care au fost asanate. </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Consecinţele îndiguirii sunt: </w:t>
      </w:r>
    </w:p>
    <w:p w:rsidR="00737DE6" w:rsidRPr="00315335" w:rsidRDefault="00737DE6" w:rsidP="0010044C">
      <w:pPr>
        <w:pStyle w:val="Default"/>
        <w:numPr>
          <w:ilvl w:val="0"/>
          <w:numId w:val="84"/>
        </w:numPr>
        <w:shd w:val="clear" w:color="auto" w:fill="FFFFFF"/>
        <w:tabs>
          <w:tab w:val="clear" w:pos="1776"/>
        </w:tabs>
        <w:ind w:left="1134"/>
        <w:jc w:val="both"/>
        <w:rPr>
          <w:rFonts w:ascii="Arial" w:hAnsi="Arial" w:cs="Arial"/>
          <w:color w:val="auto"/>
          <w:lang w:val="ro-RO"/>
        </w:rPr>
      </w:pPr>
      <w:r w:rsidRPr="00315335">
        <w:rPr>
          <w:rFonts w:ascii="Arial" w:hAnsi="Arial" w:cs="Arial"/>
          <w:color w:val="auto"/>
          <w:lang w:val="ro-RO"/>
        </w:rPr>
        <w:t>modificarea regimului hidrologic al Dunării prin creşterea amplitudinii viiturilor;</w:t>
      </w:r>
    </w:p>
    <w:p w:rsidR="00737DE6" w:rsidRPr="00315335" w:rsidRDefault="00737DE6" w:rsidP="0010044C">
      <w:pPr>
        <w:pStyle w:val="Default"/>
        <w:numPr>
          <w:ilvl w:val="0"/>
          <w:numId w:val="84"/>
        </w:numPr>
        <w:shd w:val="clear" w:color="auto" w:fill="FFFFFF"/>
        <w:tabs>
          <w:tab w:val="clear" w:pos="1776"/>
        </w:tabs>
        <w:ind w:left="1134"/>
        <w:jc w:val="both"/>
        <w:rPr>
          <w:rFonts w:ascii="Arial" w:hAnsi="Arial" w:cs="Arial"/>
          <w:color w:val="auto"/>
          <w:lang w:val="ro-RO"/>
        </w:rPr>
      </w:pPr>
      <w:r w:rsidRPr="00315335">
        <w:rPr>
          <w:rFonts w:ascii="Arial" w:hAnsi="Arial" w:cs="Arial"/>
          <w:color w:val="auto"/>
          <w:lang w:val="ro-RO"/>
        </w:rPr>
        <w:t>reducerea capacităţii de retenţie a nutrienţilor de către zonele inundabile;</w:t>
      </w:r>
    </w:p>
    <w:p w:rsidR="00737DE6" w:rsidRPr="00315335" w:rsidRDefault="00737DE6" w:rsidP="0010044C">
      <w:pPr>
        <w:pStyle w:val="Default"/>
        <w:numPr>
          <w:ilvl w:val="0"/>
          <w:numId w:val="84"/>
        </w:numPr>
        <w:shd w:val="clear" w:color="auto" w:fill="FFFFFF"/>
        <w:tabs>
          <w:tab w:val="clear" w:pos="1776"/>
        </w:tabs>
        <w:ind w:left="1134"/>
        <w:jc w:val="both"/>
        <w:rPr>
          <w:rFonts w:ascii="Arial" w:hAnsi="Arial" w:cs="Arial"/>
          <w:color w:val="auto"/>
          <w:lang w:val="ro-RO"/>
        </w:rPr>
      </w:pPr>
      <w:r w:rsidRPr="00315335">
        <w:rPr>
          <w:rFonts w:ascii="Arial" w:hAnsi="Arial" w:cs="Arial"/>
          <w:color w:val="auto"/>
          <w:lang w:val="ro-RO"/>
        </w:rPr>
        <w:t>sărăturarea terenurilor desecate din cauza fluctuaţiilor nivelului pânzei freatice din sol;</w:t>
      </w:r>
    </w:p>
    <w:p w:rsidR="00737DE6" w:rsidRPr="00315335" w:rsidRDefault="00737DE6" w:rsidP="0010044C">
      <w:pPr>
        <w:pStyle w:val="Default"/>
        <w:numPr>
          <w:ilvl w:val="0"/>
          <w:numId w:val="84"/>
        </w:numPr>
        <w:shd w:val="clear" w:color="auto" w:fill="FFFFFF"/>
        <w:tabs>
          <w:tab w:val="clear" w:pos="1776"/>
        </w:tabs>
        <w:ind w:left="1134"/>
        <w:jc w:val="both"/>
        <w:rPr>
          <w:rFonts w:ascii="Arial" w:hAnsi="Arial" w:cs="Arial"/>
          <w:color w:val="auto"/>
          <w:lang w:val="ro-RO"/>
        </w:rPr>
      </w:pPr>
      <w:r w:rsidRPr="00315335">
        <w:rPr>
          <w:rFonts w:ascii="Arial" w:hAnsi="Arial" w:cs="Arial"/>
          <w:color w:val="auto"/>
          <w:lang w:val="ro-RO"/>
        </w:rPr>
        <w:t>reducerea zonelor de reproducere a speciilor de peşti semimigratori;</w:t>
      </w:r>
    </w:p>
    <w:p w:rsidR="00737DE6" w:rsidRPr="00315335" w:rsidRDefault="00737DE6" w:rsidP="0010044C">
      <w:pPr>
        <w:pStyle w:val="Default"/>
        <w:numPr>
          <w:ilvl w:val="0"/>
          <w:numId w:val="84"/>
        </w:numPr>
        <w:shd w:val="clear" w:color="auto" w:fill="FFFFFF"/>
        <w:tabs>
          <w:tab w:val="clear" w:pos="1776"/>
        </w:tabs>
        <w:ind w:left="1134"/>
        <w:jc w:val="both"/>
        <w:rPr>
          <w:rFonts w:ascii="Arial" w:hAnsi="Arial" w:cs="Arial"/>
          <w:color w:val="auto"/>
          <w:lang w:val="ro-RO"/>
        </w:rPr>
      </w:pPr>
      <w:r w:rsidRPr="00315335">
        <w:rPr>
          <w:rFonts w:ascii="Arial" w:hAnsi="Arial" w:cs="Arial"/>
          <w:color w:val="auto"/>
          <w:lang w:val="ro-RO"/>
        </w:rPr>
        <w:t>reducerea capturilor de peşte.</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Secarea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Realizarea canalelor în scop piscicol determină în prezent scurgerea prematură a apei către Dunăre, fenomen favorizat şi de faptul că, în timp, fundul bălţilor s-a ridicat prin depunerea aluviunilor aduse de fluviu. </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Modificarea ecosistemelor a fost cauzată şi de utilizarea unor metode şi tehnici agricole inadecvate precum folosirea pesticidelor, păşunatul intensiv sau neorganizat, arderea miriştilor, ş.a.. </w:t>
      </w:r>
    </w:p>
    <w:p w:rsidR="00737DE6" w:rsidRPr="00315335" w:rsidRDefault="00737DE6" w:rsidP="00737DE6">
      <w:pPr>
        <w:pStyle w:val="Default"/>
        <w:shd w:val="clear" w:color="auto" w:fill="FFFFFF"/>
        <w:ind w:firstLine="708"/>
        <w:jc w:val="both"/>
        <w:rPr>
          <w:rFonts w:ascii="Arial" w:hAnsi="Arial" w:cs="Arial"/>
          <w:color w:val="auto"/>
          <w:lang w:val="ro-RO"/>
        </w:rPr>
      </w:pPr>
      <w:r w:rsidRPr="00315335">
        <w:rPr>
          <w:rFonts w:ascii="Arial" w:hAnsi="Arial" w:cs="Arial"/>
          <w:color w:val="auto"/>
          <w:lang w:val="ro-RO"/>
        </w:rPr>
        <w:t xml:space="preserve">Substituirea pădurilor aluviale naturale din Balta Brăilei prin culturi uniclonale plopicole şi salicicole, îndiguirile, desecările şi întinsele monoculturi agricole practicate în ultimlele decenii au dus la profunde modificări calitative şi cantitative asupra biodiversităţii judeţului. </w:t>
      </w:r>
    </w:p>
    <w:p w:rsidR="00737DE6" w:rsidRPr="00315335" w:rsidRDefault="00737DE6" w:rsidP="00737DE6">
      <w:pPr>
        <w:shd w:val="clear" w:color="auto" w:fill="FFFFFF"/>
        <w:spacing w:after="0" w:line="240" w:lineRule="auto"/>
        <w:jc w:val="both"/>
        <w:rPr>
          <w:rFonts w:ascii="Arial" w:hAnsi="Arial" w:cs="Arial"/>
          <w:sz w:val="24"/>
          <w:szCs w:val="24"/>
          <w:lang w:val="fr-FR"/>
        </w:rPr>
      </w:pPr>
    </w:p>
    <w:p w:rsidR="00737DE6" w:rsidRPr="00315335" w:rsidRDefault="00737DE6" w:rsidP="00737DE6">
      <w:pPr>
        <w:shd w:val="clear" w:color="auto" w:fill="FFFFFF"/>
        <w:tabs>
          <w:tab w:val="left" w:leader="dot" w:pos="9356"/>
        </w:tabs>
        <w:spacing w:after="0" w:line="240" w:lineRule="auto"/>
        <w:ind w:left="1498"/>
        <w:jc w:val="both"/>
        <w:rPr>
          <w:rFonts w:ascii="Arial" w:hAnsi="Arial" w:cs="Arial"/>
          <w:b/>
          <w:sz w:val="24"/>
          <w:szCs w:val="24"/>
        </w:rPr>
      </w:pPr>
      <w:r w:rsidRPr="00315335">
        <w:rPr>
          <w:rFonts w:ascii="Arial" w:hAnsi="Arial" w:cs="Arial"/>
          <w:b/>
          <w:sz w:val="24"/>
          <w:szCs w:val="24"/>
        </w:rPr>
        <w:t xml:space="preserve">V.1.4.2. Reducerea habitatelor naturale şi semi-naturale </w:t>
      </w:r>
    </w:p>
    <w:p w:rsidR="00737DE6" w:rsidRPr="00315335" w:rsidRDefault="00737DE6" w:rsidP="00737DE6">
      <w:pPr>
        <w:pStyle w:val="Default"/>
        <w:shd w:val="clear" w:color="auto" w:fill="FFFFFF"/>
        <w:ind w:firstLine="708"/>
        <w:jc w:val="both"/>
        <w:rPr>
          <w:rFonts w:ascii="Arial" w:hAnsi="Arial" w:cs="Arial"/>
          <w:color w:val="auto"/>
          <w:lang w:val="ro-RO" w:eastAsia="ro-RO"/>
        </w:rPr>
      </w:pPr>
      <w:r w:rsidRPr="00315335">
        <w:rPr>
          <w:rFonts w:ascii="Arial" w:hAnsi="Arial" w:cs="Arial"/>
          <w:color w:val="auto"/>
          <w:lang w:val="ro-RO" w:eastAsia="ro-RO"/>
        </w:rPr>
        <w:t>Terenurile ocupate de suprafeţele construite şi infrastructura densă conectează aşezările umane şi fragmentează peisajele. Acest lucru fiind, de asemenea, o sursă importantă de poluare a apei, solului şi a aerului.</w:t>
      </w:r>
    </w:p>
    <w:p w:rsidR="00737DE6" w:rsidRPr="00315335" w:rsidRDefault="00737DE6" w:rsidP="00737DE6">
      <w:pPr>
        <w:pStyle w:val="Default"/>
        <w:shd w:val="clear" w:color="auto" w:fill="FFFFFF"/>
        <w:jc w:val="both"/>
        <w:rPr>
          <w:rFonts w:ascii="Arial" w:hAnsi="Arial" w:cs="Arial"/>
          <w:color w:val="auto"/>
          <w:lang w:val="ro-RO" w:eastAsia="ro-RO"/>
        </w:rPr>
      </w:pPr>
      <w:r w:rsidRPr="00315335">
        <w:rPr>
          <w:rFonts w:ascii="Arial" w:hAnsi="Arial" w:cs="Arial"/>
          <w:color w:val="auto"/>
          <w:lang w:val="ro-RO" w:eastAsia="ro-RO"/>
        </w:rPr>
        <w:t>Gradul de conversie a terenurilor se poate exprima prin schimbarea cantitativă a ocupării terenurilor agricole, împădurite, semi-naturale şi naturale, prin expansiunea terenurilor urbane şi artificiale.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În privinţa suprafeţelor scoase din circuitul agricol, acestea au primit alte folosinţe, în special pentru construirea canalizării pentru apa menajeră şi a staţiilor de epurare a apelor </w:t>
      </w:r>
      <w:r w:rsidRPr="00315335">
        <w:rPr>
          <w:rFonts w:ascii="Arial" w:hAnsi="Arial" w:cs="Arial"/>
          <w:sz w:val="24"/>
          <w:szCs w:val="24"/>
        </w:rPr>
        <w:lastRenderedPageBreak/>
        <w:t xml:space="preserve">uzate, amplasarea de parcuri eoliene, staţii telefonie mobilă, precum şi pentru alte construcţii. În general, zonele ocupate de construcţii s-au extins în detrimentul celorlalte categorii de acoperiri de terenuri, cu excepţia pădurilor şi a corpurilor de apă.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Toate investiţiile mari, dar şi cele mici, amplasate în zone naturale, trebuie să ţină cont, în primul rând, de impactul negativ asupra florei şi a faunei sălbatice. În acest sens, se impun studii de impact bine documentate, elaborate de către specialişti în domeniu, punându-se accent pe efectele pe termen mediu şi lung.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Extinderea intravilanului în zonele din imediata vecinătate a ariilor naturale protejate sau chiar în interiorul acestora cu scopul de realizare ulterioara a unor zone rezidenţiale sau chiar staţiuni turistice generează o presiune puternică asupra ariilor naturale protejate. </w:t>
      </w:r>
    </w:p>
    <w:p w:rsidR="00737DE6" w:rsidRPr="00315335" w:rsidRDefault="00737DE6" w:rsidP="00737DE6">
      <w:pPr>
        <w:pStyle w:val="BodyText21"/>
        <w:widowControl/>
        <w:shd w:val="clear" w:color="auto" w:fill="FFFFFF"/>
        <w:rPr>
          <w:rFonts w:ascii="Arial" w:eastAsia="SimSun" w:hAnsi="Arial" w:cs="Arial"/>
          <w:lang w:val="fr-FR"/>
        </w:rPr>
      </w:pPr>
      <w:r w:rsidRPr="00315335">
        <w:rPr>
          <w:rFonts w:ascii="Arial" w:eastAsia="SimSun" w:hAnsi="Arial" w:cs="Arial"/>
          <w:lang w:val="fr-FR"/>
        </w:rPr>
        <w:t>De multe ori efectele acţiunilor antropice sunt greu sesizabile, însă în unele împrejurări, când afectează biocenoze întregi, pot fi de-a dreptul catastrofale pentru existenţa populaţiilor umane, din zonele respective. Dispariţia sau scăderea până la un nivel critic a speciilor este cauzată de supraexploatare (vânătoare, pescuit, suprapăşunat), însă, de multe ori, este consecinţa distrugerii habitatului lor prin construirea diverselor obiective urbane şi industriale. Exploatarea excesivă a unor resurse naturale, precum şi fragmentarea unor habitate naturale, duc la periclitarea vieţii sălbatice.</w:t>
      </w:r>
    </w:p>
    <w:p w:rsidR="00737DE6" w:rsidRPr="00315335" w:rsidRDefault="00737DE6" w:rsidP="00737DE6">
      <w:pPr>
        <w:pStyle w:val="BodyText21"/>
        <w:widowControl/>
        <w:shd w:val="clear" w:color="auto" w:fill="FFFFFF"/>
        <w:rPr>
          <w:rFonts w:ascii="Arial" w:hAnsi="Arial" w:cs="Arial"/>
          <w:i/>
          <w:lang w:val="ro-RO"/>
        </w:rPr>
      </w:pPr>
      <w:r w:rsidRPr="00315335">
        <w:rPr>
          <w:rFonts w:ascii="Arial" w:hAnsi="Arial" w:cs="Arial"/>
          <w:i/>
          <w:lang w:val="ro-RO"/>
        </w:rPr>
        <w:tab/>
      </w:r>
    </w:p>
    <w:p w:rsidR="00737DE6" w:rsidRPr="00315335" w:rsidRDefault="00737DE6" w:rsidP="00737DE6">
      <w:pPr>
        <w:shd w:val="clear" w:color="auto" w:fill="FFFFFF"/>
        <w:tabs>
          <w:tab w:val="left" w:pos="1176"/>
          <w:tab w:val="left" w:leader="dot" w:pos="9356"/>
        </w:tabs>
        <w:spacing w:after="0" w:line="240" w:lineRule="auto"/>
        <w:ind w:left="426"/>
        <w:rPr>
          <w:rFonts w:ascii="Arial" w:hAnsi="Arial" w:cs="Arial"/>
          <w:b/>
          <w:i/>
          <w:sz w:val="24"/>
          <w:szCs w:val="24"/>
        </w:rPr>
      </w:pPr>
      <w:r w:rsidRPr="00315335">
        <w:rPr>
          <w:rFonts w:ascii="Arial" w:hAnsi="Arial" w:cs="Arial"/>
          <w:b/>
          <w:i/>
          <w:sz w:val="24"/>
          <w:szCs w:val="24"/>
        </w:rPr>
        <w:t>V.1.5 Exploatarea excesivă a resurselor naturale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Utilizarea nesustenabilă a resurselor naturale şi supra-exploatarea lor, care apare când consumul depăşeşte puterea de reproducere a plantelor şi animalelor, este una din ameninţările majore pentru  biodiversitate.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Supraexploatarea resurselor naturale regenerabile pentru a alimenta procesele de producţie din economie, poate fi generată prin :</w:t>
      </w:r>
    </w:p>
    <w:p w:rsidR="00737DE6" w:rsidRPr="00315335" w:rsidRDefault="00737DE6" w:rsidP="0010044C">
      <w:pPr>
        <w:numPr>
          <w:ilvl w:val="0"/>
          <w:numId w:val="55"/>
        </w:numPr>
        <w:shd w:val="clear" w:color="auto" w:fill="FFFFFF"/>
        <w:tabs>
          <w:tab w:val="clear" w:pos="2520"/>
        </w:tabs>
        <w:spacing w:after="0" w:line="240" w:lineRule="auto"/>
        <w:ind w:left="561"/>
        <w:jc w:val="both"/>
        <w:rPr>
          <w:rFonts w:ascii="Arial" w:hAnsi="Arial" w:cs="Arial"/>
          <w:sz w:val="24"/>
          <w:szCs w:val="24"/>
          <w:lang w:val="it-IT"/>
        </w:rPr>
      </w:pPr>
      <w:r w:rsidRPr="00315335">
        <w:rPr>
          <w:rFonts w:ascii="Arial" w:hAnsi="Arial" w:cs="Arial"/>
          <w:sz w:val="24"/>
          <w:szCs w:val="24"/>
          <w:lang w:val="it-IT"/>
        </w:rPr>
        <w:t xml:space="preserve">agricultura intensivă, care este concentrată pe monocultură, cu minimizarea speciilor asociate. Aceste sisteme oferă producţii mari pentru un singur produs, dar depind de utilizarea fertilizatorilor şi a pesticidelor. </w:t>
      </w:r>
    </w:p>
    <w:p w:rsidR="00737DE6" w:rsidRPr="00315335" w:rsidRDefault="00737DE6" w:rsidP="0010044C">
      <w:pPr>
        <w:numPr>
          <w:ilvl w:val="0"/>
          <w:numId w:val="55"/>
        </w:numPr>
        <w:shd w:val="clear" w:color="auto" w:fill="FFFFFF"/>
        <w:tabs>
          <w:tab w:val="clear" w:pos="2520"/>
        </w:tabs>
        <w:spacing w:after="0" w:line="240" w:lineRule="auto"/>
        <w:ind w:left="561"/>
        <w:jc w:val="both"/>
        <w:rPr>
          <w:rFonts w:ascii="Arial" w:hAnsi="Arial" w:cs="Arial"/>
          <w:sz w:val="24"/>
          <w:szCs w:val="24"/>
          <w:lang w:val="it-IT"/>
        </w:rPr>
      </w:pPr>
      <w:r w:rsidRPr="00315335">
        <w:rPr>
          <w:rFonts w:ascii="Arial" w:hAnsi="Arial" w:cs="Arial"/>
          <w:sz w:val="24"/>
          <w:szCs w:val="24"/>
          <w:lang w:val="it-IT"/>
        </w:rPr>
        <w:t xml:space="preserve">exploatarea unor specii prin vânătoare sau pescuit, braconajul piscicol având drept consecinţe diminuarea necontrolată a populaţiilor de peşti în sensul depăşirii capacităţii de suport, capturarea neselectivă a ihtiofaunei (mai ales folosind pentru pescuit dispozitive cu curent electric şi plase  monofilament), produc dezechilibre în lanţurile trofice; </w:t>
      </w:r>
    </w:p>
    <w:p w:rsidR="00737DE6" w:rsidRPr="00315335" w:rsidRDefault="00737DE6" w:rsidP="0010044C">
      <w:pPr>
        <w:numPr>
          <w:ilvl w:val="0"/>
          <w:numId w:val="55"/>
        </w:numPr>
        <w:shd w:val="clear" w:color="auto" w:fill="FFFFFF"/>
        <w:tabs>
          <w:tab w:val="clear" w:pos="2520"/>
          <w:tab w:val="num" w:pos="567"/>
        </w:tabs>
        <w:spacing w:after="0" w:line="240" w:lineRule="auto"/>
        <w:ind w:left="561"/>
        <w:jc w:val="both"/>
        <w:rPr>
          <w:rFonts w:ascii="Arial" w:hAnsi="Arial" w:cs="Arial"/>
          <w:sz w:val="24"/>
          <w:szCs w:val="24"/>
          <w:lang w:val="it-IT"/>
        </w:rPr>
      </w:pPr>
      <w:r w:rsidRPr="00315335">
        <w:rPr>
          <w:rFonts w:ascii="Arial" w:hAnsi="Arial" w:cs="Arial"/>
          <w:sz w:val="24"/>
          <w:szCs w:val="24"/>
          <w:lang w:val="it-IT"/>
        </w:rPr>
        <w:t>supraexploatarea masei lemnoase şi tăierile ilegale din pădurile de curând retrocedate şi care nu sunt în prezent administrate corespunzător reprezintă o ameninţare la adresa biodiversităţii;</w:t>
      </w:r>
    </w:p>
    <w:p w:rsidR="00737DE6" w:rsidRPr="00315335" w:rsidRDefault="00737DE6" w:rsidP="0010044C">
      <w:pPr>
        <w:numPr>
          <w:ilvl w:val="0"/>
          <w:numId w:val="55"/>
        </w:numPr>
        <w:shd w:val="clear" w:color="auto" w:fill="FFFFFF"/>
        <w:tabs>
          <w:tab w:val="clear" w:pos="2520"/>
          <w:tab w:val="num" w:pos="567"/>
        </w:tabs>
        <w:spacing w:after="0" w:line="240" w:lineRule="auto"/>
        <w:ind w:left="561"/>
        <w:jc w:val="both"/>
        <w:rPr>
          <w:rFonts w:ascii="Arial" w:hAnsi="Arial" w:cs="Arial"/>
          <w:sz w:val="24"/>
          <w:szCs w:val="24"/>
          <w:lang w:val="it-IT"/>
        </w:rPr>
      </w:pPr>
      <w:r w:rsidRPr="00315335">
        <w:rPr>
          <w:rFonts w:ascii="Arial" w:hAnsi="Arial" w:cs="Arial"/>
          <w:sz w:val="24"/>
          <w:szCs w:val="24"/>
          <w:lang w:val="it-IT"/>
        </w:rPr>
        <w:t>suprapăşunatul ce are un impact negativ semnificativ asupra fitocenozelor, cauzând descreşterea biomasei vegetale şi a numărului de specii cu valoare nutritivă;</w:t>
      </w:r>
    </w:p>
    <w:p w:rsidR="00737DE6" w:rsidRPr="00315335" w:rsidRDefault="00737DE6" w:rsidP="0010044C">
      <w:pPr>
        <w:numPr>
          <w:ilvl w:val="0"/>
          <w:numId w:val="55"/>
        </w:numPr>
        <w:shd w:val="clear" w:color="auto" w:fill="FFFFFF"/>
        <w:tabs>
          <w:tab w:val="clear" w:pos="2520"/>
          <w:tab w:val="num" w:pos="567"/>
        </w:tabs>
        <w:spacing w:after="0" w:line="240" w:lineRule="auto"/>
        <w:ind w:left="561"/>
        <w:jc w:val="both"/>
        <w:rPr>
          <w:rFonts w:ascii="Arial" w:hAnsi="Arial" w:cs="Arial"/>
          <w:sz w:val="24"/>
          <w:szCs w:val="24"/>
          <w:lang w:val="it-IT"/>
        </w:rPr>
      </w:pPr>
      <w:r w:rsidRPr="00315335">
        <w:rPr>
          <w:rFonts w:ascii="Arial" w:hAnsi="Arial" w:cs="Arial"/>
          <w:sz w:val="24"/>
          <w:szCs w:val="24"/>
          <w:lang w:val="it-IT"/>
        </w:rPr>
        <w:t xml:space="preserve">presiunile asupra resursei de apă au crescut în ultimii ani din cauza dezvoltării agriculturii, sectorului energetic, industriei, alimentării cu apă şi a turismului, necesarul de apă depăşind de multe ori cantităţile existente. Creşterea volumelor de apă stocate artificial reduce apa alocată sistemelor naturale şi creşte fragmentarea din cauza barajelor. Extracţia excesivă de apă şi perioadele prelungite de secetă au redus debitele râurilor, au redus nivelul lacurilor şi al apelor freatice şi au secat zonele umede. </w:t>
      </w:r>
    </w:p>
    <w:p w:rsidR="00737DE6" w:rsidRPr="00315335" w:rsidRDefault="00737DE6" w:rsidP="0010044C">
      <w:pPr>
        <w:numPr>
          <w:ilvl w:val="0"/>
          <w:numId w:val="55"/>
        </w:numPr>
        <w:shd w:val="clear" w:color="auto" w:fill="FFFFFF"/>
        <w:tabs>
          <w:tab w:val="clear" w:pos="2520"/>
          <w:tab w:val="num" w:pos="567"/>
        </w:tabs>
        <w:spacing w:after="0" w:line="240" w:lineRule="auto"/>
        <w:ind w:left="561"/>
        <w:jc w:val="both"/>
        <w:rPr>
          <w:rFonts w:ascii="Arial" w:hAnsi="Arial" w:cs="Arial"/>
          <w:sz w:val="24"/>
          <w:szCs w:val="24"/>
          <w:lang w:val="it-IT"/>
        </w:rPr>
      </w:pPr>
      <w:r w:rsidRPr="00315335">
        <w:rPr>
          <w:rFonts w:ascii="Arial" w:hAnsi="Arial" w:cs="Arial"/>
          <w:sz w:val="24"/>
          <w:szCs w:val="24"/>
          <w:lang w:val="it-IT"/>
        </w:rPr>
        <w:t>Creşterea populaţiei poate cauza un impact asupra biodiversităţii atât direct prin supraexploatarea resurselor naturale, cât şi indirect prin intensificarea utilizării terenurilor, care poate duce în timp la modificări ale peisajelor.</w:t>
      </w:r>
    </w:p>
    <w:p w:rsidR="00737DE6" w:rsidRPr="00315335" w:rsidRDefault="00737DE6" w:rsidP="0010044C">
      <w:pPr>
        <w:numPr>
          <w:ilvl w:val="0"/>
          <w:numId w:val="55"/>
        </w:numPr>
        <w:shd w:val="clear" w:color="auto" w:fill="FFFFFF"/>
        <w:tabs>
          <w:tab w:val="clear" w:pos="2520"/>
          <w:tab w:val="num" w:pos="567"/>
        </w:tabs>
        <w:spacing w:after="0" w:line="240" w:lineRule="auto"/>
        <w:ind w:left="561"/>
        <w:jc w:val="both"/>
        <w:rPr>
          <w:rFonts w:ascii="Arial" w:hAnsi="Arial" w:cs="Arial"/>
          <w:sz w:val="24"/>
          <w:szCs w:val="24"/>
          <w:lang w:val="it-IT"/>
        </w:rPr>
      </w:pPr>
      <w:r w:rsidRPr="00315335">
        <w:rPr>
          <w:rFonts w:ascii="Arial" w:hAnsi="Arial" w:cs="Arial"/>
          <w:sz w:val="24"/>
          <w:szCs w:val="24"/>
          <w:lang w:val="it-IT"/>
        </w:rPr>
        <w:t xml:space="preserve">Turismul practicat în zonele împădurite poate afecta fondul forestier prin gestionarea necorespunzătoare a deşeurilor, dar şi prin distrugerea florei, deteriorarea locurilor de reproducere/odihnă sau perturbarea faunei sălbatice sau producerea de incendii.  </w:t>
      </w:r>
    </w:p>
    <w:p w:rsidR="00737DE6" w:rsidRPr="00315335" w:rsidRDefault="00737DE6" w:rsidP="00737DE6">
      <w:pPr>
        <w:shd w:val="clear" w:color="auto" w:fill="FFFFFF"/>
        <w:tabs>
          <w:tab w:val="left" w:pos="1176"/>
          <w:tab w:val="left" w:leader="dot" w:pos="9356"/>
        </w:tabs>
        <w:spacing w:after="0" w:line="240" w:lineRule="auto"/>
        <w:ind w:left="993"/>
        <w:rPr>
          <w:rFonts w:ascii="Arial" w:hAnsi="Arial" w:cs="Arial"/>
          <w:sz w:val="24"/>
          <w:szCs w:val="24"/>
        </w:rPr>
      </w:pPr>
    </w:p>
    <w:p w:rsidR="00737DE6" w:rsidRPr="00315335" w:rsidRDefault="00737DE6" w:rsidP="00737DE6">
      <w:pPr>
        <w:shd w:val="clear" w:color="auto" w:fill="FFFFFF"/>
        <w:tabs>
          <w:tab w:val="left" w:leader="dot" w:pos="9356"/>
        </w:tabs>
        <w:spacing w:after="0" w:line="240" w:lineRule="auto"/>
        <w:ind w:left="1498"/>
        <w:rPr>
          <w:rFonts w:ascii="Arial" w:hAnsi="Arial" w:cs="Arial"/>
          <w:sz w:val="24"/>
          <w:szCs w:val="24"/>
        </w:rPr>
      </w:pPr>
      <w:r w:rsidRPr="00315335">
        <w:rPr>
          <w:rFonts w:ascii="Arial" w:hAnsi="Arial" w:cs="Arial"/>
          <w:b/>
          <w:sz w:val="24"/>
          <w:szCs w:val="24"/>
        </w:rPr>
        <w:t>V.1.5.1 Exploatarea forestieră</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Raportul dintre creşterea şi tăierea arborilor poate oferi o imagine asupra sustenabilității producţiei de masă lemnoasă în timp, cât şi asupra disponibilității actuale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w:t>
      </w:r>
      <w:r w:rsidRPr="00315335">
        <w:rPr>
          <w:rFonts w:ascii="Arial" w:hAnsi="Arial" w:cs="Arial"/>
          <w:sz w:val="24"/>
          <w:szCs w:val="24"/>
        </w:rPr>
        <w:lastRenderedPageBreak/>
        <w:t>potenţialul producţiei de masă lemnoasă şi pentru starea biodiversităţii, a sănătăţii şi funcţiilor pădurilor.</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Suprafaţa fondului forestier al judeţului Brăila este de 28296 ha, ceea ce reprezintă numai 5,93 % din suprafaţa judeţului, din care cea mai mare parte este proprietate de stat. Potrivit Codului silvic (Legea nr. 46/2008) judeţul Brăila este zonă deficitară în păduri deoarece suprafaţa acestora reprezintă mai puţin de 30% din suprafaţa totală a judeţului. În aceste condiții modul de planificare a producției devine un aspect foarte sensibil al planificării gestionării pădurilor de care trebuie ținut cont la momentul proiectării și aprobării amenajamentelor silvice. </w:t>
      </w:r>
    </w:p>
    <w:p w:rsidR="00737DE6" w:rsidRPr="00315335" w:rsidRDefault="00737DE6" w:rsidP="00737DE6">
      <w:pPr>
        <w:jc w:val="both"/>
        <w:rPr>
          <w:rFonts w:ascii="Arial" w:hAnsi="Arial" w:cs="Arial"/>
          <w:sz w:val="24"/>
          <w:szCs w:val="24"/>
        </w:rPr>
      </w:pPr>
    </w:p>
    <w:p w:rsidR="00737DE6" w:rsidRPr="00315335" w:rsidRDefault="00737DE6" w:rsidP="00737DE6">
      <w:pPr>
        <w:ind w:left="142" w:hanging="142"/>
        <w:rPr>
          <w:rFonts w:ascii="Arial" w:hAnsi="Arial" w:cs="Arial"/>
          <w:sz w:val="24"/>
          <w:szCs w:val="24"/>
        </w:rPr>
      </w:pPr>
      <w:r w:rsidRPr="00315335">
        <w:rPr>
          <w:rFonts w:ascii="Arial" w:hAnsi="Arial" w:cs="Arial"/>
          <w:b/>
          <w:sz w:val="24"/>
          <w:szCs w:val="24"/>
        </w:rPr>
        <w:tab/>
        <w:t>Tabel nr. V.1.5.1.- 1</w:t>
      </w:r>
      <w:r w:rsidRPr="00315335">
        <w:rPr>
          <w:rFonts w:ascii="Arial" w:hAnsi="Arial" w:cs="Arial"/>
          <w:sz w:val="24"/>
          <w:szCs w:val="24"/>
        </w:rPr>
        <w:t xml:space="preserve"> Evolutia cresterii fondului forestier comparativ cu taierea masei lemnoase la nivelul judetului Braila in perioada 2014-2018 (mc/an/ha);</w:t>
      </w:r>
    </w:p>
    <w:tbl>
      <w:tblPr>
        <w:tblpPr w:leftFromText="180" w:rightFromText="180" w:vertAnchor="text" w:horzAnchor="margin" w:tblpXSpec="center"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1101"/>
        <w:gridCol w:w="3083"/>
        <w:gridCol w:w="3579"/>
      </w:tblGrid>
      <w:tr w:rsidR="00315335" w:rsidRPr="00315335" w:rsidTr="00916B06">
        <w:tc>
          <w:tcPr>
            <w:tcW w:w="1101" w:type="dxa"/>
            <w:shd w:val="clear" w:color="auto" w:fill="E5DFEC" w:themeFill="accent4" w:themeFillTint="33"/>
          </w:tcPr>
          <w:p w:rsidR="00737DE6" w:rsidRPr="00315335" w:rsidRDefault="00737DE6" w:rsidP="00916B06">
            <w:pPr>
              <w:jc w:val="center"/>
              <w:rPr>
                <w:rFonts w:ascii="Arial" w:hAnsi="Arial" w:cs="Arial"/>
                <w:b/>
                <w:sz w:val="24"/>
                <w:szCs w:val="24"/>
              </w:rPr>
            </w:pPr>
            <w:r w:rsidRPr="00315335">
              <w:rPr>
                <w:rFonts w:ascii="Arial" w:hAnsi="Arial" w:cs="Arial"/>
                <w:b/>
                <w:sz w:val="24"/>
                <w:szCs w:val="24"/>
              </w:rPr>
              <w:t>Anul</w:t>
            </w:r>
          </w:p>
        </w:tc>
        <w:tc>
          <w:tcPr>
            <w:tcW w:w="3083" w:type="dxa"/>
            <w:shd w:val="clear" w:color="auto" w:fill="E5DFEC" w:themeFill="accent4" w:themeFillTint="33"/>
          </w:tcPr>
          <w:p w:rsidR="00737DE6" w:rsidRPr="00315335" w:rsidRDefault="00737DE6" w:rsidP="00916B06">
            <w:pPr>
              <w:jc w:val="center"/>
              <w:rPr>
                <w:rFonts w:ascii="Arial" w:hAnsi="Arial" w:cs="Arial"/>
                <w:b/>
                <w:sz w:val="24"/>
                <w:szCs w:val="24"/>
              </w:rPr>
            </w:pPr>
            <w:r w:rsidRPr="00315335">
              <w:rPr>
                <w:rFonts w:ascii="Arial" w:hAnsi="Arial" w:cs="Arial"/>
                <w:b/>
                <w:sz w:val="24"/>
                <w:szCs w:val="24"/>
              </w:rPr>
              <w:t>Cresterea anuala a fondului forestier (mc/an/ha)</w:t>
            </w:r>
          </w:p>
        </w:tc>
        <w:tc>
          <w:tcPr>
            <w:tcW w:w="3579" w:type="dxa"/>
            <w:shd w:val="clear" w:color="auto" w:fill="E5DFEC" w:themeFill="accent4" w:themeFillTint="33"/>
          </w:tcPr>
          <w:p w:rsidR="00737DE6" w:rsidRPr="00315335" w:rsidRDefault="00737DE6" w:rsidP="00916B06">
            <w:pPr>
              <w:jc w:val="center"/>
              <w:rPr>
                <w:rFonts w:ascii="Arial" w:hAnsi="Arial" w:cs="Arial"/>
                <w:b/>
                <w:sz w:val="24"/>
                <w:szCs w:val="24"/>
              </w:rPr>
            </w:pPr>
            <w:r w:rsidRPr="00315335">
              <w:rPr>
                <w:rFonts w:ascii="Arial" w:hAnsi="Arial" w:cs="Arial"/>
                <w:b/>
                <w:sz w:val="24"/>
                <w:szCs w:val="24"/>
              </w:rPr>
              <w:t>Cantitatea de masa lemnoasa recoltata anual (mc/an/ha)</w:t>
            </w:r>
          </w:p>
        </w:tc>
      </w:tr>
      <w:tr w:rsidR="00315335" w:rsidRPr="00315335" w:rsidTr="00916B06">
        <w:tc>
          <w:tcPr>
            <w:tcW w:w="1101" w:type="dxa"/>
            <w:shd w:val="clear" w:color="auto" w:fill="E5DFEC" w:themeFill="accent4" w:themeFillTint="33"/>
          </w:tcPr>
          <w:p w:rsidR="00737DE6" w:rsidRPr="00315335" w:rsidRDefault="00737DE6" w:rsidP="00916B06">
            <w:pPr>
              <w:jc w:val="center"/>
              <w:rPr>
                <w:rFonts w:ascii="Arial" w:hAnsi="Arial" w:cs="Arial"/>
              </w:rPr>
            </w:pPr>
            <w:r w:rsidRPr="00315335">
              <w:rPr>
                <w:rFonts w:ascii="Arial" w:hAnsi="Arial" w:cs="Arial"/>
              </w:rPr>
              <w:t>2014</w:t>
            </w:r>
          </w:p>
        </w:tc>
        <w:tc>
          <w:tcPr>
            <w:tcW w:w="3083"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5,5</w:t>
            </w:r>
          </w:p>
        </w:tc>
        <w:tc>
          <w:tcPr>
            <w:tcW w:w="3579"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5,5</w:t>
            </w:r>
          </w:p>
        </w:tc>
      </w:tr>
      <w:tr w:rsidR="00315335" w:rsidRPr="00315335" w:rsidTr="00916B06">
        <w:tc>
          <w:tcPr>
            <w:tcW w:w="1101" w:type="dxa"/>
            <w:shd w:val="clear" w:color="auto" w:fill="E5DFEC" w:themeFill="accent4" w:themeFillTint="33"/>
          </w:tcPr>
          <w:p w:rsidR="00737DE6" w:rsidRPr="00315335" w:rsidRDefault="00737DE6" w:rsidP="00916B06">
            <w:pPr>
              <w:jc w:val="center"/>
              <w:rPr>
                <w:rFonts w:ascii="Arial" w:hAnsi="Arial" w:cs="Arial"/>
              </w:rPr>
            </w:pPr>
            <w:r w:rsidRPr="00315335">
              <w:rPr>
                <w:rFonts w:ascii="Arial" w:hAnsi="Arial" w:cs="Arial"/>
              </w:rPr>
              <w:t>2015</w:t>
            </w:r>
          </w:p>
        </w:tc>
        <w:tc>
          <w:tcPr>
            <w:tcW w:w="3083"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5,5</w:t>
            </w:r>
          </w:p>
        </w:tc>
        <w:tc>
          <w:tcPr>
            <w:tcW w:w="3579"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5,3</w:t>
            </w:r>
          </w:p>
        </w:tc>
      </w:tr>
      <w:tr w:rsidR="00315335" w:rsidRPr="00315335" w:rsidTr="00916B06">
        <w:tc>
          <w:tcPr>
            <w:tcW w:w="1101" w:type="dxa"/>
            <w:shd w:val="clear" w:color="auto" w:fill="E5DFEC" w:themeFill="accent4" w:themeFillTint="33"/>
          </w:tcPr>
          <w:p w:rsidR="00737DE6" w:rsidRPr="00315335" w:rsidRDefault="00737DE6" w:rsidP="00916B06">
            <w:pPr>
              <w:jc w:val="center"/>
              <w:rPr>
                <w:rFonts w:ascii="Arial" w:hAnsi="Arial" w:cs="Arial"/>
              </w:rPr>
            </w:pPr>
            <w:r w:rsidRPr="00315335">
              <w:rPr>
                <w:rFonts w:ascii="Arial" w:hAnsi="Arial" w:cs="Arial"/>
              </w:rPr>
              <w:t>2016</w:t>
            </w:r>
          </w:p>
        </w:tc>
        <w:tc>
          <w:tcPr>
            <w:tcW w:w="3083"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5,5</w:t>
            </w:r>
          </w:p>
        </w:tc>
        <w:tc>
          <w:tcPr>
            <w:tcW w:w="3579"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5,3</w:t>
            </w:r>
          </w:p>
        </w:tc>
      </w:tr>
      <w:tr w:rsidR="00315335" w:rsidRPr="00315335" w:rsidTr="00916B06">
        <w:tc>
          <w:tcPr>
            <w:tcW w:w="1101" w:type="dxa"/>
            <w:shd w:val="clear" w:color="auto" w:fill="E5DFEC" w:themeFill="accent4" w:themeFillTint="33"/>
          </w:tcPr>
          <w:p w:rsidR="00737DE6" w:rsidRPr="00315335" w:rsidRDefault="00737DE6" w:rsidP="00916B06">
            <w:pPr>
              <w:jc w:val="center"/>
              <w:rPr>
                <w:rFonts w:ascii="Arial" w:hAnsi="Arial" w:cs="Arial"/>
              </w:rPr>
            </w:pPr>
            <w:r w:rsidRPr="00315335">
              <w:rPr>
                <w:rFonts w:ascii="Arial" w:hAnsi="Arial" w:cs="Arial"/>
              </w:rPr>
              <w:t>2017</w:t>
            </w:r>
          </w:p>
        </w:tc>
        <w:tc>
          <w:tcPr>
            <w:tcW w:w="3083"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5,5</w:t>
            </w:r>
          </w:p>
        </w:tc>
        <w:tc>
          <w:tcPr>
            <w:tcW w:w="3579"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5,3</w:t>
            </w:r>
          </w:p>
        </w:tc>
      </w:tr>
      <w:tr w:rsidR="00315335" w:rsidRPr="00315335" w:rsidTr="00916B06">
        <w:tc>
          <w:tcPr>
            <w:tcW w:w="1101" w:type="dxa"/>
            <w:shd w:val="clear" w:color="auto" w:fill="E5DFEC" w:themeFill="accent4" w:themeFillTint="33"/>
          </w:tcPr>
          <w:p w:rsidR="00737DE6" w:rsidRPr="00315335" w:rsidRDefault="00737DE6" w:rsidP="00916B06">
            <w:pPr>
              <w:jc w:val="center"/>
              <w:rPr>
                <w:rFonts w:ascii="Arial" w:hAnsi="Arial" w:cs="Arial"/>
              </w:rPr>
            </w:pPr>
            <w:r w:rsidRPr="00315335">
              <w:rPr>
                <w:rFonts w:ascii="Arial" w:hAnsi="Arial" w:cs="Arial"/>
              </w:rPr>
              <w:t>2018</w:t>
            </w:r>
          </w:p>
        </w:tc>
        <w:tc>
          <w:tcPr>
            <w:tcW w:w="3083"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5,5</w:t>
            </w:r>
          </w:p>
        </w:tc>
        <w:tc>
          <w:tcPr>
            <w:tcW w:w="3579"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5,3</w:t>
            </w:r>
          </w:p>
        </w:tc>
      </w:tr>
    </w:tbl>
    <w:p w:rsidR="00737DE6" w:rsidRPr="00315335" w:rsidRDefault="00737DE6" w:rsidP="00737DE6">
      <w:pPr>
        <w:ind w:firstLine="720"/>
        <w:jc w:val="both"/>
        <w:rPr>
          <w:rFonts w:ascii="Arial" w:hAnsi="Arial" w:cs="Arial"/>
          <w:sz w:val="24"/>
          <w:szCs w:val="24"/>
          <w:lang w:val="fr-FR"/>
        </w:rPr>
      </w:pPr>
    </w:p>
    <w:p w:rsidR="00737DE6" w:rsidRPr="00315335" w:rsidRDefault="00737DE6" w:rsidP="00737DE6">
      <w:pPr>
        <w:ind w:firstLine="720"/>
        <w:jc w:val="both"/>
        <w:rPr>
          <w:rFonts w:ascii="Arial" w:hAnsi="Arial" w:cs="Arial"/>
          <w:sz w:val="24"/>
          <w:szCs w:val="24"/>
          <w:lang w:val="fr-FR"/>
        </w:rPr>
      </w:pPr>
    </w:p>
    <w:p w:rsidR="00737DE6" w:rsidRPr="00315335" w:rsidRDefault="00737DE6" w:rsidP="00737DE6">
      <w:pPr>
        <w:ind w:firstLine="720"/>
        <w:jc w:val="both"/>
        <w:rPr>
          <w:rFonts w:ascii="Arial" w:hAnsi="Arial" w:cs="Arial"/>
          <w:sz w:val="24"/>
          <w:szCs w:val="24"/>
          <w:lang w:val="fr-FR"/>
        </w:rPr>
      </w:pPr>
    </w:p>
    <w:p w:rsidR="00737DE6" w:rsidRPr="00315335" w:rsidRDefault="00737DE6" w:rsidP="00737DE6">
      <w:pPr>
        <w:ind w:firstLine="720"/>
        <w:jc w:val="both"/>
        <w:rPr>
          <w:rFonts w:ascii="Arial" w:hAnsi="Arial" w:cs="Arial"/>
          <w:sz w:val="24"/>
          <w:szCs w:val="24"/>
          <w:lang w:val="fr-FR"/>
        </w:rPr>
      </w:pPr>
    </w:p>
    <w:p w:rsidR="00737DE6" w:rsidRPr="00315335" w:rsidRDefault="00737DE6" w:rsidP="00737DE6">
      <w:pPr>
        <w:ind w:firstLine="720"/>
        <w:jc w:val="both"/>
        <w:rPr>
          <w:rFonts w:ascii="Arial" w:hAnsi="Arial" w:cs="Arial"/>
          <w:sz w:val="24"/>
          <w:szCs w:val="24"/>
          <w:lang w:val="fr-FR"/>
        </w:rPr>
      </w:pPr>
    </w:p>
    <w:p w:rsidR="00737DE6" w:rsidRPr="00315335" w:rsidRDefault="00737DE6" w:rsidP="00737DE6">
      <w:pPr>
        <w:ind w:firstLine="720"/>
        <w:jc w:val="both"/>
        <w:rPr>
          <w:rFonts w:ascii="Arial" w:hAnsi="Arial" w:cs="Arial"/>
          <w:sz w:val="24"/>
          <w:szCs w:val="24"/>
          <w:lang w:val="fr-FR"/>
        </w:rPr>
      </w:pPr>
    </w:p>
    <w:p w:rsidR="00737DE6" w:rsidRPr="00315335" w:rsidRDefault="00737DE6" w:rsidP="00737DE6">
      <w:pPr>
        <w:ind w:firstLine="720"/>
        <w:jc w:val="both"/>
        <w:rPr>
          <w:rFonts w:ascii="Arial" w:hAnsi="Arial" w:cs="Arial"/>
          <w:sz w:val="24"/>
          <w:szCs w:val="24"/>
          <w:lang w:val="fr-FR"/>
        </w:rPr>
      </w:pPr>
    </w:p>
    <w:p w:rsidR="00737DE6" w:rsidRPr="00315335" w:rsidRDefault="00737DE6" w:rsidP="00737DE6">
      <w:pPr>
        <w:ind w:firstLine="720"/>
        <w:jc w:val="both"/>
        <w:rPr>
          <w:rFonts w:ascii="Arial" w:hAnsi="Arial" w:cs="Arial"/>
          <w:sz w:val="24"/>
          <w:szCs w:val="24"/>
          <w:lang w:val="fr-FR"/>
        </w:rPr>
      </w:pPr>
    </w:p>
    <w:p w:rsidR="00737DE6" w:rsidRPr="00315335" w:rsidRDefault="00737DE6" w:rsidP="00737DE6">
      <w:pPr>
        <w:jc w:val="both"/>
        <w:rPr>
          <w:rFonts w:ascii="Arial" w:hAnsi="Arial" w:cs="Arial"/>
          <w:sz w:val="24"/>
          <w:szCs w:val="24"/>
        </w:rPr>
      </w:pPr>
      <w:r w:rsidRPr="00315335">
        <w:rPr>
          <w:rFonts w:ascii="Arial" w:hAnsi="Arial" w:cs="Arial"/>
          <w:sz w:val="24"/>
          <w:szCs w:val="24"/>
          <w:lang w:val="fr-FR"/>
        </w:rPr>
        <w:t>Pentru pădurile din județul Brăila cantitatea de masă lemnoasă recoltată anual s-a situat sub valoarea stabilită de creșterea anuală, excepție fiind anul 2014 în care cantitatea recoltată a fost este egală cu  creșterea anuală.</w:t>
      </w:r>
    </w:p>
    <w:p w:rsidR="00737DE6" w:rsidRPr="00315335" w:rsidRDefault="00737DE6" w:rsidP="00737DE6">
      <w:pPr>
        <w:ind w:firstLine="720"/>
        <w:jc w:val="both"/>
        <w:rPr>
          <w:rFonts w:ascii="Arial" w:hAnsi="Arial" w:cs="Arial"/>
          <w:b/>
          <w:sz w:val="24"/>
          <w:szCs w:val="24"/>
          <w:lang w:val="fr-FR"/>
        </w:rPr>
      </w:pPr>
      <w:r w:rsidRPr="00315335">
        <w:rPr>
          <w:rFonts w:ascii="Arial" w:hAnsi="Arial" w:cs="Arial"/>
          <w:b/>
          <w:sz w:val="24"/>
          <w:szCs w:val="24"/>
          <w:lang w:val="fr-FR"/>
        </w:rPr>
        <w:t>Figura nr. V.1.5.1.1-</w:t>
      </w:r>
      <w:r w:rsidRPr="00315335">
        <w:rPr>
          <w:rFonts w:ascii="Arial" w:hAnsi="Arial" w:cs="Arial"/>
          <w:sz w:val="24"/>
          <w:szCs w:val="24"/>
        </w:rPr>
        <w:t xml:space="preserve"> Evolutia cresterii fondului forestier comparativ cu taierea masei lemnoase la nivelul judetului Braila in perioada 2014-2018 (mc/an/ha);</w:t>
      </w:r>
    </w:p>
    <w:p w:rsidR="00737DE6" w:rsidRPr="00315335" w:rsidRDefault="00737DE6" w:rsidP="00737DE6">
      <w:pPr>
        <w:ind w:firstLine="720"/>
        <w:jc w:val="both"/>
        <w:rPr>
          <w:rFonts w:ascii="Arial" w:hAnsi="Arial" w:cs="Arial"/>
          <w:sz w:val="24"/>
          <w:szCs w:val="24"/>
          <w:highlight w:val="yellow"/>
          <w:lang w:val="fr-FR"/>
        </w:rPr>
      </w:pPr>
      <w:r w:rsidRPr="00315335">
        <w:rPr>
          <w:rFonts w:ascii="Arial" w:hAnsi="Arial" w:cs="Arial"/>
          <w:noProof/>
          <w:sz w:val="24"/>
          <w:szCs w:val="24"/>
          <w:highlight w:val="yellow"/>
        </w:rPr>
        <w:drawing>
          <wp:inline distT="0" distB="0" distL="0" distR="0" wp14:anchorId="1F747810" wp14:editId="522ECF69">
            <wp:extent cx="5200650" cy="2305050"/>
            <wp:effectExtent l="19050" t="0" r="1905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37DE6" w:rsidRPr="00315335" w:rsidRDefault="00737DE6" w:rsidP="00737DE6">
      <w:pPr>
        <w:ind w:firstLine="720"/>
        <w:jc w:val="both"/>
        <w:rPr>
          <w:rFonts w:ascii="Arial" w:hAnsi="Arial" w:cs="Arial"/>
          <w:sz w:val="24"/>
          <w:szCs w:val="24"/>
          <w:highlight w:val="yellow"/>
          <w:lang w:val="fr-FR"/>
        </w:rPr>
      </w:pPr>
    </w:p>
    <w:p w:rsidR="00737DE6" w:rsidRPr="00315335" w:rsidRDefault="00737DE6" w:rsidP="00737DE6">
      <w:pPr>
        <w:ind w:firstLine="720"/>
        <w:jc w:val="both"/>
        <w:rPr>
          <w:rFonts w:ascii="Arial" w:hAnsi="Arial" w:cs="Arial"/>
          <w:sz w:val="24"/>
          <w:szCs w:val="24"/>
          <w:lang w:val="fr-FR"/>
        </w:rPr>
      </w:pPr>
      <w:r w:rsidRPr="00315335">
        <w:rPr>
          <w:rFonts w:ascii="Arial" w:hAnsi="Arial" w:cs="Arial"/>
          <w:sz w:val="24"/>
          <w:szCs w:val="24"/>
          <w:lang w:val="fr-FR"/>
        </w:rPr>
        <w:t>Ca urmare, în județul Brăila nu se poate vorbi de o supraexploatare a fondului forestier.</w:t>
      </w:r>
    </w:p>
    <w:p w:rsidR="00737DE6" w:rsidRPr="00315335" w:rsidRDefault="00737DE6" w:rsidP="00737DE6">
      <w:pPr>
        <w:shd w:val="clear" w:color="auto" w:fill="FFFFFF"/>
        <w:tabs>
          <w:tab w:val="left" w:leader="dot" w:pos="9356"/>
        </w:tabs>
        <w:spacing w:after="0" w:line="240" w:lineRule="auto"/>
        <w:jc w:val="both"/>
        <w:rPr>
          <w:rFonts w:ascii="Arial" w:hAnsi="Arial" w:cs="Arial"/>
          <w:b/>
          <w:sz w:val="24"/>
          <w:szCs w:val="24"/>
        </w:rPr>
      </w:pPr>
    </w:p>
    <w:p w:rsidR="00A36B99" w:rsidRDefault="00A36B99" w:rsidP="00737DE6">
      <w:pPr>
        <w:shd w:val="clear" w:color="auto" w:fill="FFFFFF"/>
        <w:tabs>
          <w:tab w:val="left" w:leader="dot" w:pos="9356"/>
        </w:tabs>
        <w:spacing w:after="0" w:line="240" w:lineRule="auto"/>
        <w:jc w:val="both"/>
        <w:rPr>
          <w:rFonts w:ascii="Arial" w:hAnsi="Arial" w:cs="Arial"/>
          <w:b/>
          <w:sz w:val="24"/>
          <w:szCs w:val="24"/>
        </w:rPr>
      </w:pPr>
    </w:p>
    <w:p w:rsidR="00A36B99" w:rsidRDefault="00A36B99" w:rsidP="00737DE6">
      <w:pPr>
        <w:shd w:val="clear" w:color="auto" w:fill="FFFFFF"/>
        <w:tabs>
          <w:tab w:val="left" w:leader="dot" w:pos="9356"/>
        </w:tabs>
        <w:spacing w:after="0" w:line="240" w:lineRule="auto"/>
        <w:jc w:val="both"/>
        <w:rPr>
          <w:rFonts w:ascii="Arial" w:hAnsi="Arial" w:cs="Arial"/>
          <w:b/>
          <w:sz w:val="24"/>
          <w:szCs w:val="24"/>
        </w:rPr>
      </w:pPr>
    </w:p>
    <w:p w:rsidR="00737DE6" w:rsidRPr="00315335" w:rsidRDefault="00737DE6" w:rsidP="00737DE6">
      <w:pPr>
        <w:shd w:val="clear" w:color="auto" w:fill="FFFFFF"/>
        <w:tabs>
          <w:tab w:val="left" w:leader="dot" w:pos="9356"/>
        </w:tabs>
        <w:spacing w:after="0" w:line="240" w:lineRule="auto"/>
        <w:jc w:val="both"/>
        <w:rPr>
          <w:rFonts w:ascii="Arial" w:hAnsi="Arial" w:cs="Arial"/>
          <w:i/>
          <w:sz w:val="24"/>
          <w:szCs w:val="24"/>
        </w:rPr>
      </w:pPr>
      <w:r w:rsidRPr="00315335">
        <w:rPr>
          <w:rFonts w:ascii="Arial" w:hAnsi="Arial" w:cs="Arial"/>
          <w:b/>
          <w:sz w:val="24"/>
          <w:szCs w:val="24"/>
        </w:rPr>
        <w:lastRenderedPageBreak/>
        <w:t>V.2.Protecţia naturii şi biodiversitatea: prognoze şi acţiuni întreprinse</w:t>
      </w:r>
      <w:r w:rsidRPr="00315335">
        <w:rPr>
          <w:rFonts w:ascii="Arial" w:hAnsi="Arial" w:cs="Arial"/>
          <w:sz w:val="24"/>
          <w:szCs w:val="24"/>
        </w:rPr>
        <w:t xml:space="preserve">       </w:t>
      </w:r>
    </w:p>
    <w:p w:rsidR="00737DE6" w:rsidRPr="00315335" w:rsidRDefault="00737DE6" w:rsidP="00737DE6">
      <w:pPr>
        <w:shd w:val="clear" w:color="auto" w:fill="FFFFFF"/>
        <w:tabs>
          <w:tab w:val="left" w:pos="1204"/>
          <w:tab w:val="left" w:leader="dot" w:pos="9356"/>
        </w:tabs>
        <w:spacing w:after="0" w:line="240" w:lineRule="auto"/>
        <w:ind w:left="426"/>
        <w:jc w:val="both"/>
        <w:rPr>
          <w:rFonts w:ascii="Arial" w:hAnsi="Arial" w:cs="Arial"/>
          <w:b/>
          <w:sz w:val="24"/>
          <w:szCs w:val="24"/>
        </w:rPr>
      </w:pPr>
    </w:p>
    <w:p w:rsidR="00737DE6" w:rsidRPr="00315335" w:rsidRDefault="00737DE6" w:rsidP="00737DE6">
      <w:pPr>
        <w:shd w:val="clear" w:color="auto" w:fill="FFFFFF"/>
        <w:tabs>
          <w:tab w:val="left" w:pos="1204"/>
          <w:tab w:val="left" w:leader="dot" w:pos="9356"/>
        </w:tabs>
        <w:spacing w:after="0" w:line="240" w:lineRule="auto"/>
        <w:ind w:left="426"/>
        <w:jc w:val="both"/>
        <w:rPr>
          <w:rFonts w:ascii="Arial" w:hAnsi="Arial" w:cs="Arial"/>
          <w:b/>
          <w:i/>
          <w:sz w:val="24"/>
          <w:szCs w:val="24"/>
        </w:rPr>
      </w:pPr>
      <w:r w:rsidRPr="00315335">
        <w:rPr>
          <w:rFonts w:ascii="Arial" w:hAnsi="Arial" w:cs="Arial"/>
          <w:b/>
          <w:sz w:val="24"/>
          <w:szCs w:val="24"/>
        </w:rPr>
        <w:t>V.2.1.</w:t>
      </w:r>
      <w:r w:rsidRPr="00315335">
        <w:rPr>
          <w:rFonts w:ascii="Arial" w:hAnsi="Arial" w:cs="Arial"/>
          <w:b/>
          <w:i/>
          <w:sz w:val="24"/>
          <w:szCs w:val="24"/>
        </w:rPr>
        <w:t xml:space="preserve">Reţeaua de arii protejate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În România au fost desemnate, în scopul asigurării măsurilor speciale de protecţie şi conservare in situ a bunurilor patrimoniului natural, următoarele categorii de arii naturale protejate, definite la art. 5, alin. (1) din O.U.G. nr. 57/2007 privind regimul ariilor naturale protejate, conservarea habitatelor naturale, a florei şi faunei sălbatice, aprobată cu modificări şi completări prin Legea nr. 49/2011, cu completările ulterioare:</w:t>
      </w:r>
    </w:p>
    <w:p w:rsidR="00737DE6" w:rsidRPr="00315335" w:rsidRDefault="00737DE6" w:rsidP="00737DE6">
      <w:pPr>
        <w:shd w:val="clear" w:color="auto" w:fill="FFFFFF"/>
        <w:spacing w:after="0" w:line="240" w:lineRule="auto"/>
        <w:ind w:firstLine="426"/>
        <w:jc w:val="both"/>
        <w:rPr>
          <w:rFonts w:ascii="Arial" w:hAnsi="Arial" w:cs="Arial"/>
          <w:sz w:val="24"/>
          <w:szCs w:val="24"/>
          <w:lang w:val="it-IT"/>
        </w:rPr>
      </w:pPr>
      <w:r w:rsidRPr="00315335">
        <w:rPr>
          <w:rStyle w:val="li1"/>
          <w:rFonts w:ascii="Arial" w:hAnsi="Arial" w:cs="Arial"/>
          <w:color w:val="auto"/>
          <w:sz w:val="24"/>
          <w:szCs w:val="24"/>
          <w:lang w:val="it-IT"/>
        </w:rPr>
        <w:t xml:space="preserve">a) </w:t>
      </w:r>
      <w:r w:rsidRPr="00315335">
        <w:rPr>
          <w:rStyle w:val="tli1"/>
          <w:rFonts w:ascii="Arial" w:hAnsi="Arial" w:cs="Arial"/>
          <w:sz w:val="24"/>
          <w:szCs w:val="24"/>
          <w:u w:val="single"/>
          <w:lang w:val="it-IT"/>
        </w:rPr>
        <w:t>de interes naţional</w:t>
      </w:r>
      <w:r w:rsidRPr="00315335">
        <w:rPr>
          <w:rStyle w:val="tli1"/>
          <w:rFonts w:ascii="Arial" w:hAnsi="Arial" w:cs="Arial"/>
          <w:sz w:val="24"/>
          <w:szCs w:val="24"/>
          <w:lang w:val="it-IT"/>
        </w:rPr>
        <w:t>: parcuri naţionale, monumente ale naturii, rezervaţii naturale, parcuri naturale;</w:t>
      </w:r>
    </w:p>
    <w:p w:rsidR="00737DE6" w:rsidRPr="00315335" w:rsidRDefault="00737DE6" w:rsidP="00737DE6">
      <w:pPr>
        <w:shd w:val="clear" w:color="auto" w:fill="FFFFFF"/>
        <w:spacing w:after="0" w:line="240" w:lineRule="auto"/>
        <w:ind w:firstLine="426"/>
        <w:jc w:val="both"/>
        <w:rPr>
          <w:rFonts w:ascii="Arial" w:hAnsi="Arial" w:cs="Arial"/>
          <w:sz w:val="24"/>
          <w:szCs w:val="24"/>
          <w:lang w:val="it-IT"/>
        </w:rPr>
      </w:pPr>
      <w:r w:rsidRPr="00315335">
        <w:rPr>
          <w:rStyle w:val="li1"/>
          <w:rFonts w:ascii="Arial" w:hAnsi="Arial" w:cs="Arial"/>
          <w:color w:val="auto"/>
          <w:sz w:val="24"/>
          <w:szCs w:val="24"/>
          <w:lang w:val="it-IT"/>
        </w:rPr>
        <w:t xml:space="preserve">b) </w:t>
      </w:r>
      <w:r w:rsidRPr="00315335">
        <w:rPr>
          <w:rStyle w:val="tli1"/>
          <w:rFonts w:ascii="Arial" w:hAnsi="Arial" w:cs="Arial"/>
          <w:sz w:val="24"/>
          <w:szCs w:val="24"/>
          <w:u w:val="single"/>
          <w:lang w:val="it-IT"/>
        </w:rPr>
        <w:t>de interes internaţional</w:t>
      </w:r>
      <w:r w:rsidRPr="00315335">
        <w:rPr>
          <w:rStyle w:val="tli1"/>
          <w:rFonts w:ascii="Arial" w:hAnsi="Arial" w:cs="Arial"/>
          <w:sz w:val="24"/>
          <w:szCs w:val="24"/>
          <w:lang w:val="it-IT"/>
        </w:rPr>
        <w:t>: zone umede de importanţă internaţională, rezervaţii ale biosferei;</w:t>
      </w:r>
    </w:p>
    <w:p w:rsidR="00737DE6" w:rsidRPr="00315335" w:rsidRDefault="00737DE6" w:rsidP="00737DE6">
      <w:pPr>
        <w:shd w:val="clear" w:color="auto" w:fill="FFFFFF"/>
        <w:spacing w:after="0" w:line="240" w:lineRule="auto"/>
        <w:ind w:firstLine="426"/>
        <w:jc w:val="both"/>
        <w:rPr>
          <w:rStyle w:val="tli1"/>
          <w:rFonts w:ascii="Arial" w:hAnsi="Arial" w:cs="Arial"/>
          <w:sz w:val="24"/>
          <w:szCs w:val="24"/>
          <w:lang w:val="it-IT"/>
        </w:rPr>
      </w:pPr>
      <w:r w:rsidRPr="00315335">
        <w:rPr>
          <w:rStyle w:val="li1"/>
          <w:rFonts w:ascii="Arial" w:hAnsi="Arial" w:cs="Arial"/>
          <w:color w:val="auto"/>
          <w:sz w:val="24"/>
          <w:szCs w:val="24"/>
          <w:lang w:val="it-IT"/>
        </w:rPr>
        <w:t xml:space="preserve">c) </w:t>
      </w:r>
      <w:r w:rsidRPr="00315335">
        <w:rPr>
          <w:rStyle w:val="tli1"/>
          <w:rFonts w:ascii="Arial" w:hAnsi="Arial" w:cs="Arial"/>
          <w:sz w:val="24"/>
          <w:szCs w:val="24"/>
          <w:u w:val="single"/>
          <w:lang w:val="it-IT"/>
        </w:rPr>
        <w:t>de interes comunitar sau situri "Natura 2000"</w:t>
      </w:r>
      <w:r w:rsidRPr="00315335">
        <w:rPr>
          <w:rStyle w:val="tli1"/>
          <w:rFonts w:ascii="Arial" w:hAnsi="Arial" w:cs="Arial"/>
          <w:sz w:val="24"/>
          <w:szCs w:val="24"/>
          <w:lang w:val="it-IT"/>
        </w:rPr>
        <w:t xml:space="preserve">, </w:t>
      </w:r>
      <w:r w:rsidRPr="00315335">
        <w:rPr>
          <w:rFonts w:ascii="Arial" w:hAnsi="Arial" w:cs="Arial"/>
          <w:bCs/>
          <w:sz w:val="24"/>
          <w:szCs w:val="24"/>
        </w:rPr>
        <w:t>parte integrantă a reţelei ecologice europene Natura 2000 în România</w:t>
      </w:r>
      <w:r w:rsidRPr="00315335">
        <w:rPr>
          <w:rStyle w:val="tli1"/>
          <w:rFonts w:ascii="Arial" w:hAnsi="Arial" w:cs="Arial"/>
          <w:sz w:val="24"/>
          <w:szCs w:val="24"/>
          <w:lang w:val="it-IT"/>
        </w:rPr>
        <w:t xml:space="preserve">: </w:t>
      </w:r>
    </w:p>
    <w:p w:rsidR="00737DE6" w:rsidRPr="00315335" w:rsidRDefault="00737DE6" w:rsidP="0010044C">
      <w:pPr>
        <w:pStyle w:val="Listparagraf"/>
        <w:numPr>
          <w:ilvl w:val="0"/>
          <w:numId w:val="68"/>
        </w:numPr>
        <w:shd w:val="clear" w:color="auto" w:fill="FFFFFF"/>
        <w:autoSpaceDE w:val="0"/>
        <w:autoSpaceDN w:val="0"/>
        <w:adjustRightInd w:val="0"/>
        <w:jc w:val="both"/>
        <w:rPr>
          <w:rFonts w:ascii="Arial" w:hAnsi="Arial" w:cs="Arial"/>
        </w:rPr>
      </w:pPr>
      <w:r w:rsidRPr="00315335">
        <w:rPr>
          <w:rStyle w:val="tli1"/>
          <w:rFonts w:ascii="Arial" w:eastAsia="Calibri" w:hAnsi="Arial" w:cs="Arial"/>
          <w:lang w:val="it-IT"/>
        </w:rPr>
        <w:t>arii de protecţie specială avifaunistică</w:t>
      </w:r>
      <w:r w:rsidRPr="00315335">
        <w:rPr>
          <w:rFonts w:ascii="Arial" w:hAnsi="Arial" w:cs="Arial"/>
        </w:rPr>
        <w:t xml:space="preserve"> -SPA (Special Protection Areas) desemnate pentru specii de păsări; </w:t>
      </w:r>
    </w:p>
    <w:p w:rsidR="00737DE6" w:rsidRPr="00315335" w:rsidRDefault="00737DE6" w:rsidP="0010044C">
      <w:pPr>
        <w:pStyle w:val="Listparagraf"/>
        <w:numPr>
          <w:ilvl w:val="0"/>
          <w:numId w:val="68"/>
        </w:numPr>
        <w:shd w:val="clear" w:color="auto" w:fill="FFFFFF"/>
        <w:autoSpaceDE w:val="0"/>
        <w:autoSpaceDN w:val="0"/>
        <w:adjustRightInd w:val="0"/>
        <w:jc w:val="both"/>
        <w:rPr>
          <w:rFonts w:ascii="Arial" w:hAnsi="Arial" w:cs="Arial"/>
          <w:lang w:val="it-IT"/>
        </w:rPr>
      </w:pPr>
      <w:r w:rsidRPr="00315335">
        <w:rPr>
          <w:rStyle w:val="tli1"/>
          <w:rFonts w:ascii="Arial" w:eastAsia="Calibri" w:hAnsi="Arial" w:cs="Arial"/>
          <w:lang w:val="it-IT"/>
        </w:rPr>
        <w:t>situri de importanţă comunitară -</w:t>
      </w:r>
      <w:r w:rsidRPr="00315335">
        <w:rPr>
          <w:rFonts w:ascii="Arial" w:hAnsi="Arial" w:cs="Arial"/>
        </w:rPr>
        <w:t xml:space="preserve">SCI (Sites of Community Importance) desemnate pentru habitate naturale şi specii de floră şi faună sălbatică, altele decât păsări </w:t>
      </w:r>
    </w:p>
    <w:p w:rsidR="00737DE6" w:rsidRPr="00315335" w:rsidRDefault="00737DE6" w:rsidP="00737DE6">
      <w:pPr>
        <w:shd w:val="clear" w:color="auto" w:fill="FFFFFF"/>
        <w:autoSpaceDE w:val="0"/>
        <w:autoSpaceDN w:val="0"/>
        <w:adjustRightInd w:val="0"/>
        <w:spacing w:after="0" w:line="240" w:lineRule="auto"/>
        <w:ind w:firstLine="360"/>
        <w:jc w:val="both"/>
        <w:rPr>
          <w:rFonts w:ascii="Arial" w:hAnsi="Arial" w:cs="Arial"/>
          <w:sz w:val="24"/>
          <w:szCs w:val="24"/>
          <w:lang w:val="it-IT"/>
        </w:rPr>
      </w:pPr>
      <w:r w:rsidRPr="00315335">
        <w:rPr>
          <w:rStyle w:val="li1"/>
          <w:rFonts w:ascii="Arial" w:hAnsi="Arial" w:cs="Arial"/>
          <w:color w:val="auto"/>
          <w:sz w:val="24"/>
          <w:szCs w:val="24"/>
          <w:lang w:val="it-IT"/>
        </w:rPr>
        <w:t xml:space="preserve">d) </w:t>
      </w:r>
      <w:r w:rsidRPr="00315335">
        <w:rPr>
          <w:rStyle w:val="tli1"/>
          <w:rFonts w:ascii="Arial" w:hAnsi="Arial" w:cs="Arial"/>
          <w:sz w:val="24"/>
          <w:szCs w:val="24"/>
          <w:u w:val="single"/>
          <w:lang w:val="it-IT"/>
        </w:rPr>
        <w:t>de interes judeţean sau local</w:t>
      </w:r>
      <w:r w:rsidRPr="00315335">
        <w:rPr>
          <w:rStyle w:val="tli1"/>
          <w:rFonts w:ascii="Arial" w:hAnsi="Arial" w:cs="Arial"/>
          <w:sz w:val="24"/>
          <w:szCs w:val="24"/>
          <w:lang w:val="it-IT"/>
        </w:rPr>
        <w:t>: stabilite numai pe domeniul public/privat al unităţilor administrativ-teritoriale.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Desemnarea ariilor naturale protejate a inceput în județul Brăila în anul 1994 cănd prin HCJ Brăila nr. 20/1994 privind zonele naturale protejate și monumentele naturii de pe raza județului Brăila au fost desemnate 5 arii naturale protejate, cu o suprafață totală de aproape 17691,1ha.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Prin Legea 5/2000 privind aprobarea Planului de amenajare a teritoriului naţional, secţiunea III-Arii protejate, o parte din ariile desemnate pe plan local în 1994 au fost încadrate la categoria arii protejate de interes național (Tabelul nr. V.2.1-1.).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În alte două etape, 2007 și 2011 au fost desemnate ariile protejate de interes comunitar, 7SPA și 4 SCI în 2007 la care s-au mai adăugat 2 SPA și 5 SCI în 2011,  prin HG 1284/2007 privind declararea ariilor de protecţie specială avifaunistică ca parte integrantă a reţelei ecologice europene Natura 2000 în România, cu completările ulterioare și Ord. MMDD nr. 1964/2007 privind instituirea regimului de arie naturală protejată a siturilor de importanţă comunitară, ca parte integrantă a reţelei ecologice europene Natura 2000 în România, cu completările ulterioare.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În anul 2015 Ministerul Mediului, Apelor şi Pădurilor (MMAP), prin Institutul Naţional de Cercetare – Dezvoltare Delta Dunării (INCDDD) a avut în curs de implementare proiectul “Consolidarea Reţelei Natura 2000”. Acest proiect a avut ca scop îndeplinirea obligaţiilor ce revin Romaniei ca stat membru al Uniunii Europene în domeniul protecţiei naturii, cu privire la implementarea Directivelor Habitate şi Păsări prin asigurarea suficienţei siturilor Natura 2000 desemnate și în vederea rezolvării calificativelor de insuficiență primite în cadrul seminariilor biogeografice din anul 2011. În acest sens, pentru județul Brăila au fost propuse două noi arii de protecţie specială avifaunistică precum și extinderea altor 5 situri existente în cadrul rețelei de arii naturale Natura 2000 (un sit de importanță comunitară și 4 arii de protecţie specială avifaunistică). În anul 2016 ROSCI0103 Lunca Buzăului a fost extins iar ulterior a fost declarat și ROSPA0160 cu același nume.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Totodată, au fost desemnate și două situri Ramsar (zone umede de importanţă internaţională ca habitat al păsărilor acvatice migratoare), Insula Mică a Brăilei în anul 2001 și Dunărea Veche Brațul Măcin în anul 2013.</w:t>
      </w:r>
    </w:p>
    <w:p w:rsidR="00737DE6" w:rsidRPr="00315335" w:rsidRDefault="00737DE6" w:rsidP="00737DE6">
      <w:pPr>
        <w:shd w:val="clear" w:color="auto" w:fill="FFFFFF"/>
        <w:autoSpaceDE w:val="0"/>
        <w:autoSpaceDN w:val="0"/>
        <w:adjustRightInd w:val="0"/>
        <w:spacing w:after="0" w:line="240" w:lineRule="auto"/>
        <w:ind w:firstLine="360"/>
        <w:jc w:val="both"/>
        <w:rPr>
          <w:rFonts w:ascii="Arial" w:hAnsi="Arial" w:cs="Arial"/>
          <w:sz w:val="24"/>
          <w:szCs w:val="24"/>
        </w:rPr>
      </w:pPr>
      <w:r w:rsidRPr="00315335">
        <w:rPr>
          <w:rFonts w:ascii="Arial" w:hAnsi="Arial" w:cs="Arial"/>
          <w:sz w:val="24"/>
          <w:szCs w:val="24"/>
        </w:rPr>
        <w:t xml:space="preserve">Ca urmare, s-a ajuns la un total de </w:t>
      </w:r>
      <w:r w:rsidRPr="00315335">
        <w:rPr>
          <w:rFonts w:ascii="Arial" w:hAnsi="Arial" w:cs="Arial"/>
          <w:b/>
          <w:sz w:val="24"/>
          <w:szCs w:val="24"/>
          <w:u w:val="single"/>
        </w:rPr>
        <w:t>26 arii naturale protejate desemnate</w:t>
      </w:r>
      <w:r w:rsidRPr="00315335">
        <w:rPr>
          <w:rFonts w:ascii="Arial" w:hAnsi="Arial" w:cs="Arial"/>
          <w:sz w:val="24"/>
          <w:szCs w:val="24"/>
        </w:rPr>
        <w:t xml:space="preserve">: </w:t>
      </w:r>
    </w:p>
    <w:p w:rsidR="00737DE6" w:rsidRPr="00315335" w:rsidRDefault="00737DE6" w:rsidP="0010044C">
      <w:pPr>
        <w:pStyle w:val="Listparagraf"/>
        <w:numPr>
          <w:ilvl w:val="0"/>
          <w:numId w:val="65"/>
        </w:numPr>
        <w:shd w:val="clear" w:color="auto" w:fill="FFFFFF"/>
        <w:autoSpaceDE w:val="0"/>
        <w:autoSpaceDN w:val="0"/>
        <w:adjustRightInd w:val="0"/>
        <w:jc w:val="both"/>
        <w:rPr>
          <w:rFonts w:ascii="Arial" w:hAnsi="Arial" w:cs="Arial"/>
        </w:rPr>
      </w:pPr>
      <w:r w:rsidRPr="00315335">
        <w:rPr>
          <w:rFonts w:ascii="Arial" w:hAnsi="Arial" w:cs="Arial"/>
        </w:rPr>
        <w:t>3 de interes naţional: Parcul Natural Balta Mică a Brăilei și Rezervațiile Naturale Camnița și Jirlău-Trup vișani</w:t>
      </w:r>
    </w:p>
    <w:p w:rsidR="00737DE6" w:rsidRPr="00315335" w:rsidRDefault="00737DE6" w:rsidP="0010044C">
      <w:pPr>
        <w:pStyle w:val="Listparagraf"/>
        <w:numPr>
          <w:ilvl w:val="0"/>
          <w:numId w:val="65"/>
        </w:numPr>
        <w:shd w:val="clear" w:color="auto" w:fill="FFFFFF"/>
        <w:autoSpaceDE w:val="0"/>
        <w:autoSpaceDN w:val="0"/>
        <w:adjustRightInd w:val="0"/>
        <w:jc w:val="both"/>
        <w:rPr>
          <w:rFonts w:ascii="Arial" w:hAnsi="Arial" w:cs="Arial"/>
        </w:rPr>
      </w:pPr>
      <w:r w:rsidRPr="00315335">
        <w:rPr>
          <w:rFonts w:ascii="Arial" w:hAnsi="Arial" w:cs="Arial"/>
        </w:rPr>
        <w:t xml:space="preserve">2 de interes judeţean şi local: Rezervația Forestieră Pădurea Viișoara și Popina Blasova, monument al naturii, martor de eroziune hercinică, </w:t>
      </w:r>
    </w:p>
    <w:p w:rsidR="00737DE6" w:rsidRPr="00315335" w:rsidRDefault="00737DE6" w:rsidP="0010044C">
      <w:pPr>
        <w:pStyle w:val="Listparagraf"/>
        <w:numPr>
          <w:ilvl w:val="0"/>
          <w:numId w:val="65"/>
        </w:numPr>
        <w:shd w:val="clear" w:color="auto" w:fill="FFFFFF"/>
        <w:autoSpaceDE w:val="0"/>
        <w:autoSpaceDN w:val="0"/>
        <w:adjustRightInd w:val="0"/>
        <w:jc w:val="both"/>
        <w:rPr>
          <w:rFonts w:ascii="Arial" w:hAnsi="Arial" w:cs="Arial"/>
        </w:rPr>
      </w:pPr>
      <w:r w:rsidRPr="00315335">
        <w:rPr>
          <w:rFonts w:ascii="Arial" w:hAnsi="Arial" w:cs="Arial"/>
        </w:rPr>
        <w:t xml:space="preserve">2 de interes internaţional: cele două situri Ramsar </w:t>
      </w:r>
    </w:p>
    <w:p w:rsidR="00737DE6" w:rsidRPr="00315335" w:rsidRDefault="00737DE6" w:rsidP="0010044C">
      <w:pPr>
        <w:pStyle w:val="Listparagraf"/>
        <w:numPr>
          <w:ilvl w:val="0"/>
          <w:numId w:val="65"/>
        </w:numPr>
        <w:shd w:val="clear" w:color="auto" w:fill="FFFFFF"/>
        <w:autoSpaceDE w:val="0"/>
        <w:autoSpaceDN w:val="0"/>
        <w:adjustRightInd w:val="0"/>
        <w:jc w:val="both"/>
        <w:rPr>
          <w:rFonts w:ascii="Arial" w:hAnsi="Arial" w:cs="Arial"/>
        </w:rPr>
      </w:pPr>
      <w:r w:rsidRPr="00315335">
        <w:rPr>
          <w:rFonts w:ascii="Arial" w:hAnsi="Arial" w:cs="Arial"/>
        </w:rPr>
        <w:t>19 de interes comunitar (10 arii de protecție specială avifaunistică-SPA și 9 situri de importanță comunitară -SCI). (Tabelele nr. V.2.1- 2 și V.2.1-3).</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lastRenderedPageBreak/>
        <w:t>Aceste arii se suprapun parţial (Tabel V.2.1- 4</w:t>
      </w:r>
      <w:r w:rsidRPr="00315335">
        <w:rPr>
          <w:rFonts w:ascii="Arial" w:hAnsi="Arial" w:cs="Arial"/>
          <w:b/>
          <w:sz w:val="24"/>
          <w:szCs w:val="24"/>
        </w:rPr>
        <w:t xml:space="preserve">) </w:t>
      </w:r>
      <w:r w:rsidRPr="00315335">
        <w:rPr>
          <w:rFonts w:ascii="Arial" w:hAnsi="Arial" w:cs="Arial"/>
          <w:sz w:val="24"/>
          <w:szCs w:val="24"/>
        </w:rPr>
        <w:t>astfel încât acelaşi teritoriu poate avea statut dublu sau triplu de protecţie. Unele arii cum sunt Parcul natural Balta Mică a Brăilei, Situl Ramsar Dunărea Veche Brațul Măcin și o parte a ariilor de interes comunitar acoperă și suprafețe din județele învecinate. Cu un total de aproximativ 62000 ha, suprafața ocupată de ariile protejate  reprezinta aproximativ 13% din suprafaţa judeţului Brăila.</w:t>
      </w:r>
    </w:p>
    <w:p w:rsidR="00737DE6" w:rsidRPr="00315335" w:rsidRDefault="00737DE6" w:rsidP="00737DE6">
      <w:pPr>
        <w:shd w:val="clear" w:color="auto" w:fill="FFFFFF"/>
        <w:autoSpaceDE w:val="0"/>
        <w:autoSpaceDN w:val="0"/>
        <w:adjustRightInd w:val="0"/>
        <w:spacing w:after="0" w:line="240" w:lineRule="auto"/>
        <w:ind w:firstLine="737"/>
        <w:jc w:val="center"/>
        <w:rPr>
          <w:rFonts w:ascii="Arial" w:hAnsi="Arial" w:cs="Arial"/>
          <w:sz w:val="24"/>
          <w:szCs w:val="24"/>
        </w:rPr>
      </w:pPr>
      <w:r w:rsidRPr="00315335">
        <w:rPr>
          <w:rFonts w:ascii="Arial" w:hAnsi="Arial" w:cs="Arial"/>
          <w:noProof/>
          <w:sz w:val="24"/>
          <w:szCs w:val="24"/>
        </w:rPr>
        <w:drawing>
          <wp:inline distT="0" distB="0" distL="0" distR="0">
            <wp:extent cx="4600575" cy="2219325"/>
            <wp:effectExtent l="0" t="0" r="0" b="0"/>
            <wp:docPr id="60" name="Diagramă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737DE6" w:rsidRPr="00315335" w:rsidRDefault="00737DE6" w:rsidP="00737DE6">
      <w:pPr>
        <w:shd w:val="clear" w:color="auto" w:fill="FFFFFF"/>
        <w:autoSpaceDE w:val="0"/>
        <w:autoSpaceDN w:val="0"/>
        <w:adjustRightInd w:val="0"/>
        <w:spacing w:after="0" w:line="240" w:lineRule="auto"/>
        <w:ind w:firstLine="737"/>
        <w:jc w:val="center"/>
        <w:rPr>
          <w:rFonts w:ascii="Arial" w:hAnsi="Arial" w:cs="Arial"/>
          <w:sz w:val="24"/>
          <w:szCs w:val="24"/>
        </w:rPr>
      </w:pPr>
    </w:p>
    <w:p w:rsidR="00737DE6" w:rsidRPr="00315335" w:rsidRDefault="00737DE6" w:rsidP="00737DE6">
      <w:pPr>
        <w:shd w:val="clear" w:color="auto" w:fill="FFFFFF"/>
        <w:autoSpaceDE w:val="0"/>
        <w:autoSpaceDN w:val="0"/>
        <w:adjustRightInd w:val="0"/>
        <w:spacing w:after="0" w:line="240" w:lineRule="auto"/>
        <w:rPr>
          <w:rFonts w:ascii="Arial" w:hAnsi="Arial" w:cs="Arial"/>
          <w:sz w:val="24"/>
          <w:szCs w:val="24"/>
        </w:rPr>
      </w:pPr>
      <w:r w:rsidRPr="00315335">
        <w:rPr>
          <w:rFonts w:ascii="Arial" w:hAnsi="Arial" w:cs="Arial"/>
          <w:sz w:val="24"/>
          <w:szCs w:val="24"/>
        </w:rPr>
        <w:t xml:space="preserve">      </w:t>
      </w:r>
      <w:r w:rsidRPr="00315335">
        <w:rPr>
          <w:rFonts w:ascii="Arial" w:hAnsi="Arial" w:cs="Arial"/>
          <w:b/>
          <w:sz w:val="24"/>
          <w:szCs w:val="24"/>
        </w:rPr>
        <w:t>Figura nr. V.2.1.1.</w:t>
      </w:r>
      <w:r w:rsidRPr="00315335">
        <w:rPr>
          <w:rFonts w:ascii="Arial" w:hAnsi="Arial" w:cs="Arial"/>
          <w:sz w:val="24"/>
          <w:szCs w:val="24"/>
        </w:rPr>
        <w:t xml:space="preserve"> Numărul de arii naturale protejate desemnate în perioada 1994 - 2016 </w:t>
      </w:r>
    </w:p>
    <w:p w:rsidR="00737DE6" w:rsidRPr="00315335" w:rsidRDefault="00737DE6" w:rsidP="00737DE6">
      <w:pPr>
        <w:shd w:val="clear" w:color="auto" w:fill="FFFFFF"/>
        <w:autoSpaceDE w:val="0"/>
        <w:autoSpaceDN w:val="0"/>
        <w:adjustRightInd w:val="0"/>
        <w:spacing w:after="0" w:line="240" w:lineRule="auto"/>
        <w:ind w:firstLine="737"/>
        <w:rPr>
          <w:rFonts w:ascii="Arial" w:hAnsi="Arial" w:cs="Arial"/>
          <w:sz w:val="24"/>
          <w:szCs w:val="24"/>
        </w:rPr>
      </w:pPr>
    </w:p>
    <w:p w:rsidR="00737DE6" w:rsidRPr="00315335" w:rsidRDefault="00737DE6" w:rsidP="00737DE6">
      <w:pPr>
        <w:shd w:val="clear" w:color="auto" w:fill="FFFFFF"/>
        <w:autoSpaceDE w:val="0"/>
        <w:autoSpaceDN w:val="0"/>
        <w:adjustRightInd w:val="0"/>
        <w:spacing w:after="0" w:line="240" w:lineRule="auto"/>
        <w:ind w:firstLine="737"/>
        <w:jc w:val="center"/>
        <w:rPr>
          <w:rFonts w:ascii="Arial" w:hAnsi="Arial" w:cs="Arial"/>
          <w:sz w:val="24"/>
          <w:szCs w:val="24"/>
        </w:rPr>
      </w:pPr>
      <w:r w:rsidRPr="00315335">
        <w:rPr>
          <w:rFonts w:ascii="Arial" w:hAnsi="Arial" w:cs="Arial"/>
          <w:noProof/>
          <w:sz w:val="24"/>
          <w:szCs w:val="24"/>
        </w:rPr>
        <w:drawing>
          <wp:inline distT="0" distB="0" distL="0" distR="0">
            <wp:extent cx="4676775" cy="1724025"/>
            <wp:effectExtent l="0" t="0" r="0" b="0"/>
            <wp:docPr id="59" name="Diagramă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37DE6" w:rsidRPr="00315335" w:rsidRDefault="00737DE6" w:rsidP="00737DE6">
      <w:pPr>
        <w:shd w:val="clear" w:color="auto" w:fill="FFFFFF"/>
        <w:autoSpaceDE w:val="0"/>
        <w:autoSpaceDN w:val="0"/>
        <w:adjustRightInd w:val="0"/>
        <w:spacing w:after="0" w:line="240" w:lineRule="auto"/>
        <w:ind w:firstLine="737"/>
        <w:jc w:val="center"/>
        <w:rPr>
          <w:rFonts w:ascii="Arial" w:hAnsi="Arial" w:cs="Arial"/>
          <w:sz w:val="24"/>
          <w:szCs w:val="24"/>
        </w:rPr>
      </w:pPr>
    </w:p>
    <w:p w:rsidR="00737DE6" w:rsidRPr="00315335" w:rsidRDefault="00737DE6" w:rsidP="00737DE6">
      <w:pPr>
        <w:shd w:val="clear" w:color="auto" w:fill="FFFFFF"/>
        <w:autoSpaceDE w:val="0"/>
        <w:autoSpaceDN w:val="0"/>
        <w:adjustRightInd w:val="0"/>
        <w:spacing w:after="0" w:line="240" w:lineRule="auto"/>
        <w:rPr>
          <w:rFonts w:ascii="Arial" w:hAnsi="Arial" w:cs="Arial"/>
          <w:sz w:val="24"/>
          <w:szCs w:val="24"/>
        </w:rPr>
      </w:pPr>
      <w:r w:rsidRPr="00315335">
        <w:rPr>
          <w:rFonts w:ascii="Arial" w:hAnsi="Arial" w:cs="Arial"/>
          <w:b/>
          <w:sz w:val="24"/>
          <w:szCs w:val="24"/>
        </w:rPr>
        <w:t xml:space="preserve">Figura nr.V.2.1.- 2 </w:t>
      </w:r>
      <w:r w:rsidRPr="00315335">
        <w:rPr>
          <w:rFonts w:ascii="Arial" w:hAnsi="Arial" w:cs="Arial"/>
          <w:sz w:val="24"/>
          <w:szCs w:val="24"/>
        </w:rPr>
        <w:t xml:space="preserve">Evoluţia suprafeţei totale a ariilor naturale protejate în perioada 1994 - 2016 </w:t>
      </w:r>
    </w:p>
    <w:p w:rsidR="00737DE6" w:rsidRPr="00315335" w:rsidRDefault="00737DE6" w:rsidP="00737DE6">
      <w:pPr>
        <w:shd w:val="clear" w:color="auto" w:fill="FFFFFF"/>
        <w:spacing w:after="0" w:line="240" w:lineRule="auto"/>
        <w:jc w:val="both"/>
        <w:rPr>
          <w:rFonts w:ascii="Arial" w:hAnsi="Arial" w:cs="Arial"/>
          <w:b/>
          <w:sz w:val="24"/>
          <w:szCs w:val="24"/>
        </w:rPr>
      </w:pPr>
    </w:p>
    <w:p w:rsidR="00737DE6" w:rsidRPr="00315335" w:rsidRDefault="00737DE6" w:rsidP="00737DE6">
      <w:pPr>
        <w:shd w:val="clear" w:color="auto" w:fill="FFFFFF"/>
        <w:spacing w:after="0" w:line="240" w:lineRule="auto"/>
        <w:jc w:val="both"/>
        <w:rPr>
          <w:rFonts w:ascii="Arial" w:hAnsi="Arial" w:cs="Arial"/>
          <w:b/>
          <w:sz w:val="24"/>
          <w:szCs w:val="24"/>
        </w:rPr>
      </w:pPr>
      <w:r w:rsidRPr="00315335">
        <w:rPr>
          <w:rFonts w:ascii="Arial" w:hAnsi="Arial" w:cs="Arial"/>
          <w:b/>
          <w:sz w:val="24"/>
          <w:szCs w:val="24"/>
        </w:rPr>
        <w:t xml:space="preserve">Arii naturale protejate de interes naţional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În judeţul Brăila există 3 arii naturale protejate de interes naţional (un parc natural şi 2 rezervaţii naturale) declarate prin Legea 5/2000 privind aprobarea Planului de amenajare a teritoriului naţional, secţiunea III - Arii protejate, prezentate în tabelul următor:</w:t>
      </w:r>
    </w:p>
    <w:p w:rsidR="00737DE6" w:rsidRPr="00315335" w:rsidRDefault="00737DE6" w:rsidP="00737DE6">
      <w:pPr>
        <w:pStyle w:val="Titlu2"/>
        <w:shd w:val="clear" w:color="auto" w:fill="FFFFFF"/>
        <w:spacing w:before="0" w:after="0"/>
        <w:jc w:val="both"/>
        <w:rPr>
          <w:rFonts w:ascii="Arial" w:hAnsi="Arial" w:cs="Arial"/>
          <w:sz w:val="24"/>
          <w:szCs w:val="24"/>
        </w:rPr>
      </w:pPr>
      <w:r w:rsidRPr="00315335">
        <w:rPr>
          <w:rFonts w:ascii="Arial" w:hAnsi="Arial" w:cs="Arial"/>
          <w:i w:val="0"/>
          <w:sz w:val="24"/>
          <w:szCs w:val="24"/>
        </w:rPr>
        <w:t xml:space="preserve">Tabel nr. V.2.1-1. - </w:t>
      </w:r>
      <w:r w:rsidRPr="00315335">
        <w:rPr>
          <w:rFonts w:ascii="Arial" w:hAnsi="Arial" w:cs="Arial"/>
          <w:b w:val="0"/>
          <w:i w:val="0"/>
          <w:sz w:val="24"/>
          <w:szCs w:val="24"/>
        </w:rPr>
        <w:t>Ariile  naturale protejate de interes naţional din judeţul Brăila</w:t>
      </w:r>
    </w:p>
    <w:tbl>
      <w:tblPr>
        <w:tblW w:w="9851"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534"/>
        <w:gridCol w:w="1389"/>
        <w:gridCol w:w="1335"/>
        <w:gridCol w:w="1400"/>
        <w:gridCol w:w="997"/>
        <w:gridCol w:w="2334"/>
        <w:gridCol w:w="1862"/>
      </w:tblGrid>
      <w:tr w:rsidR="00737DE6" w:rsidRPr="00315335" w:rsidTr="00916B06">
        <w:trPr>
          <w:jc w:val="center"/>
        </w:trPr>
        <w:tc>
          <w:tcPr>
            <w:tcW w:w="534" w:type="dxa"/>
            <w:tcBorders>
              <w:top w:val="single" w:sz="4" w:space="0" w:color="auto"/>
              <w:left w:val="single" w:sz="4" w:space="0" w:color="auto"/>
              <w:bottom w:val="single" w:sz="4" w:space="0" w:color="auto"/>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Nr. crt.</w:t>
            </w:r>
          </w:p>
        </w:tc>
        <w:tc>
          <w:tcPr>
            <w:tcW w:w="1389"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Denumire</w:t>
            </w:r>
          </w:p>
        </w:tc>
        <w:tc>
          <w:tcPr>
            <w:tcW w:w="1335"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Actul de declarare</w:t>
            </w:r>
          </w:p>
        </w:tc>
        <w:tc>
          <w:tcPr>
            <w:tcW w:w="1400"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Categoria ariei protejate</w:t>
            </w:r>
          </w:p>
        </w:tc>
        <w:tc>
          <w:tcPr>
            <w:tcW w:w="997" w:type="dxa"/>
            <w:tcBorders>
              <w:top w:val="single" w:sz="4" w:space="0" w:color="auto"/>
              <w:left w:val="single" w:sz="6" w:space="0" w:color="000000"/>
              <w:bottom w:val="single" w:sz="4" w:space="0" w:color="auto"/>
              <w:right w:val="single" w:sz="4" w:space="0" w:color="auto"/>
            </w:tcBorders>
            <w:shd w:val="clear" w:color="auto" w:fill="auto"/>
            <w:vAlign w:val="center"/>
          </w:tcPr>
          <w:p w:rsidR="00737DE6" w:rsidRPr="00315335" w:rsidRDefault="00737DE6" w:rsidP="00916B06">
            <w:pPr>
              <w:shd w:val="clear" w:color="auto" w:fill="FFFFFF"/>
              <w:spacing w:after="0" w:line="240" w:lineRule="auto"/>
              <w:jc w:val="center"/>
              <w:rPr>
                <w:rFonts w:ascii="Arial" w:hAnsi="Arial" w:cs="Arial"/>
                <w:b/>
                <w:sz w:val="24"/>
                <w:szCs w:val="24"/>
                <w:lang w:val="es-ES"/>
              </w:rPr>
            </w:pPr>
            <w:r w:rsidRPr="00315335">
              <w:rPr>
                <w:rFonts w:ascii="Arial" w:hAnsi="Arial" w:cs="Arial"/>
                <w:b/>
                <w:sz w:val="24"/>
                <w:szCs w:val="24"/>
                <w:lang w:val="es-ES"/>
              </w:rPr>
              <w:t>Supra-faţa</w:t>
            </w:r>
          </w:p>
          <w:p w:rsidR="00737DE6" w:rsidRPr="00315335" w:rsidRDefault="00737DE6" w:rsidP="00916B06">
            <w:pPr>
              <w:shd w:val="clear" w:color="auto" w:fill="FFFFFF"/>
              <w:spacing w:after="0" w:line="240" w:lineRule="auto"/>
              <w:jc w:val="center"/>
              <w:rPr>
                <w:rFonts w:ascii="Arial" w:hAnsi="Arial" w:cs="Arial"/>
                <w:b/>
                <w:sz w:val="24"/>
                <w:szCs w:val="24"/>
                <w:lang w:val="es-ES"/>
              </w:rPr>
            </w:pPr>
            <w:r w:rsidRPr="00315335">
              <w:rPr>
                <w:rFonts w:ascii="Arial" w:hAnsi="Arial" w:cs="Arial"/>
                <w:b/>
                <w:sz w:val="24"/>
                <w:szCs w:val="24"/>
                <w:lang w:val="es-ES"/>
              </w:rPr>
              <w:t>(ha)</w:t>
            </w:r>
          </w:p>
          <w:p w:rsidR="00737DE6" w:rsidRPr="00315335" w:rsidRDefault="00737DE6" w:rsidP="00916B06">
            <w:pPr>
              <w:shd w:val="clear" w:color="auto" w:fill="FFFFFF"/>
              <w:spacing w:after="0" w:line="240" w:lineRule="auto"/>
              <w:jc w:val="center"/>
              <w:rPr>
                <w:rFonts w:ascii="Arial" w:hAnsi="Arial" w:cs="Arial"/>
                <w:b/>
                <w:sz w:val="24"/>
                <w:szCs w:val="24"/>
                <w:lang w:val="es-ES"/>
              </w:rPr>
            </w:pPr>
          </w:p>
        </w:tc>
        <w:tc>
          <w:tcPr>
            <w:tcW w:w="2334"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Localizare</w:t>
            </w:r>
          </w:p>
        </w:tc>
        <w:tc>
          <w:tcPr>
            <w:tcW w:w="1862" w:type="dxa"/>
            <w:tcBorders>
              <w:top w:val="single" w:sz="4" w:space="0" w:color="auto"/>
              <w:left w:val="single" w:sz="6" w:space="0" w:color="000000"/>
              <w:bottom w:val="single" w:sz="4" w:space="0" w:color="auto"/>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Administrator</w:t>
            </w:r>
          </w:p>
        </w:tc>
      </w:tr>
      <w:tr w:rsidR="00737DE6" w:rsidRPr="00315335" w:rsidTr="00916B06">
        <w:trPr>
          <w:jc w:val="center"/>
        </w:trPr>
        <w:tc>
          <w:tcPr>
            <w:tcW w:w="534" w:type="dxa"/>
            <w:tcBorders>
              <w:top w:val="single" w:sz="4" w:space="0" w:color="auto"/>
              <w:left w:val="single" w:sz="4" w:space="0" w:color="auto"/>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1</w:t>
            </w:r>
          </w:p>
        </w:tc>
        <w:tc>
          <w:tcPr>
            <w:tcW w:w="1389" w:type="dxa"/>
            <w:tcBorders>
              <w:top w:val="single" w:sz="4" w:space="0" w:color="auto"/>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pStyle w:val="Antet"/>
              <w:shd w:val="clear" w:color="auto" w:fill="FFFFFF"/>
              <w:jc w:val="center"/>
              <w:rPr>
                <w:rFonts w:ascii="Arial" w:hAnsi="Arial" w:cs="Arial"/>
                <w:sz w:val="24"/>
                <w:szCs w:val="24"/>
              </w:rPr>
            </w:pPr>
            <w:r w:rsidRPr="00315335">
              <w:rPr>
                <w:rFonts w:ascii="Arial" w:hAnsi="Arial" w:cs="Arial"/>
                <w:sz w:val="24"/>
                <w:szCs w:val="24"/>
              </w:rPr>
              <w:t>Balta</w:t>
            </w:r>
          </w:p>
          <w:p w:rsidR="00737DE6" w:rsidRPr="00315335" w:rsidRDefault="00737DE6" w:rsidP="00916B06">
            <w:pPr>
              <w:pStyle w:val="Antet"/>
              <w:shd w:val="clear" w:color="auto" w:fill="FFFFFF"/>
              <w:jc w:val="center"/>
              <w:rPr>
                <w:rFonts w:ascii="Arial" w:hAnsi="Arial" w:cs="Arial"/>
                <w:sz w:val="24"/>
                <w:szCs w:val="24"/>
              </w:rPr>
            </w:pPr>
            <w:r w:rsidRPr="00315335">
              <w:rPr>
                <w:rFonts w:ascii="Arial" w:hAnsi="Arial" w:cs="Arial"/>
                <w:sz w:val="24"/>
                <w:szCs w:val="24"/>
              </w:rPr>
              <w:t>Mică a Brăilei</w:t>
            </w:r>
          </w:p>
        </w:tc>
        <w:tc>
          <w:tcPr>
            <w:tcW w:w="1335" w:type="dxa"/>
            <w:tcBorders>
              <w:top w:val="single" w:sz="4" w:space="0" w:color="auto"/>
              <w:left w:val="single" w:sz="6" w:space="0" w:color="000000"/>
              <w:bottom w:val="single" w:sz="6" w:space="0" w:color="000000"/>
              <w:right w:val="single" w:sz="6" w:space="0" w:color="000000"/>
            </w:tcBorders>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Legea 5/2000</w:t>
            </w:r>
          </w:p>
          <w:p w:rsidR="00737DE6" w:rsidRPr="00315335" w:rsidRDefault="00737DE6" w:rsidP="00916B06">
            <w:pPr>
              <w:shd w:val="clear" w:color="auto" w:fill="FFFFFF"/>
              <w:spacing w:after="0" w:line="240" w:lineRule="auto"/>
              <w:jc w:val="center"/>
              <w:rPr>
                <w:rFonts w:ascii="Arial" w:hAnsi="Arial" w:cs="Arial"/>
                <w:sz w:val="24"/>
                <w:szCs w:val="24"/>
              </w:rPr>
            </w:pPr>
          </w:p>
        </w:tc>
        <w:tc>
          <w:tcPr>
            <w:tcW w:w="1400" w:type="dxa"/>
            <w:tcBorders>
              <w:top w:val="single" w:sz="4" w:space="0" w:color="auto"/>
              <w:left w:val="single" w:sz="6" w:space="0" w:color="000000"/>
              <w:bottom w:val="single" w:sz="6" w:space="0" w:color="000000"/>
              <w:right w:val="single" w:sz="6" w:space="0" w:color="000000"/>
            </w:tcBorders>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Parc natural</w:t>
            </w:r>
          </w:p>
          <w:p w:rsidR="00737DE6" w:rsidRPr="00315335" w:rsidRDefault="00737DE6" w:rsidP="00916B06">
            <w:pPr>
              <w:shd w:val="clear" w:color="auto" w:fill="FFFFFF"/>
              <w:spacing w:after="0" w:line="240" w:lineRule="auto"/>
              <w:jc w:val="center"/>
              <w:rPr>
                <w:rFonts w:ascii="Arial" w:hAnsi="Arial" w:cs="Arial"/>
                <w:sz w:val="24"/>
                <w:szCs w:val="24"/>
              </w:rPr>
            </w:pPr>
          </w:p>
          <w:p w:rsidR="00737DE6" w:rsidRPr="00315335" w:rsidRDefault="00737DE6" w:rsidP="00916B06">
            <w:pPr>
              <w:pStyle w:val="Antet"/>
              <w:shd w:val="clear" w:color="auto" w:fill="FFFFFF"/>
              <w:jc w:val="center"/>
              <w:rPr>
                <w:rFonts w:ascii="Arial" w:hAnsi="Arial" w:cs="Arial"/>
                <w:sz w:val="24"/>
                <w:szCs w:val="24"/>
              </w:rPr>
            </w:pPr>
          </w:p>
        </w:tc>
        <w:tc>
          <w:tcPr>
            <w:tcW w:w="997" w:type="dxa"/>
            <w:tcBorders>
              <w:top w:val="single" w:sz="4" w:space="0" w:color="auto"/>
              <w:left w:val="single" w:sz="6" w:space="0" w:color="000000"/>
              <w:bottom w:val="single" w:sz="6" w:space="0" w:color="000000"/>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24.123</w:t>
            </w:r>
          </w:p>
        </w:tc>
        <w:tc>
          <w:tcPr>
            <w:tcW w:w="2334" w:type="dxa"/>
            <w:tcBorders>
              <w:top w:val="single" w:sz="4" w:space="0" w:color="auto"/>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lang w:val="pt-BR"/>
              </w:rPr>
              <w:t xml:space="preserve">În lunca cu regim natural de inundaţie a fluviului Dunărea, UAT </w:t>
            </w:r>
            <w:r w:rsidRPr="00315335">
              <w:rPr>
                <w:rFonts w:ascii="Arial" w:hAnsi="Arial" w:cs="Arial"/>
                <w:sz w:val="24"/>
                <w:szCs w:val="24"/>
              </w:rPr>
              <w:t>Chiscani, Gropeni, Stăncuţa, Tichilești, Berteştii de Jos, Măraşu</w:t>
            </w:r>
          </w:p>
        </w:tc>
        <w:tc>
          <w:tcPr>
            <w:tcW w:w="1862" w:type="dxa"/>
            <w:tcBorders>
              <w:top w:val="single" w:sz="4" w:space="0" w:color="auto"/>
              <w:left w:val="single" w:sz="6" w:space="0" w:color="000000"/>
              <w:bottom w:val="single" w:sz="6" w:space="0" w:color="000000"/>
              <w:right w:val="single" w:sz="4" w:space="0" w:color="auto"/>
            </w:tcBorders>
            <w:shd w:val="clear" w:color="auto" w:fill="auto"/>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RNP Romsilva prin structură de administrare special constituită</w:t>
            </w:r>
          </w:p>
          <w:p w:rsidR="00737DE6" w:rsidRPr="00315335" w:rsidRDefault="00737DE6" w:rsidP="00916B06">
            <w:pPr>
              <w:shd w:val="clear" w:color="auto" w:fill="FFFFFF"/>
              <w:spacing w:after="0" w:line="240" w:lineRule="auto"/>
              <w:jc w:val="center"/>
              <w:rPr>
                <w:rFonts w:ascii="Arial" w:hAnsi="Arial" w:cs="Arial"/>
                <w:sz w:val="24"/>
                <w:szCs w:val="24"/>
              </w:rPr>
            </w:pPr>
          </w:p>
        </w:tc>
      </w:tr>
      <w:tr w:rsidR="00737DE6" w:rsidRPr="00315335" w:rsidTr="00916B06">
        <w:trPr>
          <w:jc w:val="center"/>
        </w:trPr>
        <w:tc>
          <w:tcPr>
            <w:tcW w:w="534" w:type="dxa"/>
            <w:tcBorders>
              <w:top w:val="single" w:sz="6" w:space="0" w:color="000000"/>
              <w:left w:val="single" w:sz="4" w:space="0" w:color="auto"/>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2</w:t>
            </w:r>
          </w:p>
        </w:tc>
        <w:tc>
          <w:tcPr>
            <w:tcW w:w="13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Lacul</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Jirlău –Trup Vișani</w:t>
            </w:r>
          </w:p>
        </w:tc>
        <w:tc>
          <w:tcPr>
            <w:tcW w:w="1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Legea 5/2000</w:t>
            </w:r>
          </w:p>
        </w:tc>
        <w:tc>
          <w:tcPr>
            <w:tcW w:w="14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Rezervaţie naturală</w:t>
            </w:r>
          </w:p>
        </w:tc>
        <w:tc>
          <w:tcPr>
            <w:tcW w:w="997"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838,66</w:t>
            </w:r>
          </w:p>
        </w:tc>
        <w:tc>
          <w:tcPr>
            <w:tcW w:w="2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UAT Jirlău, Vişani şi Galbenu</w:t>
            </w:r>
          </w:p>
        </w:tc>
        <w:tc>
          <w:tcPr>
            <w:tcW w:w="1862"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r w:rsidR="00737DE6" w:rsidRPr="00315335" w:rsidTr="00916B06">
        <w:trPr>
          <w:jc w:val="center"/>
        </w:trPr>
        <w:tc>
          <w:tcPr>
            <w:tcW w:w="534" w:type="dxa"/>
            <w:tcBorders>
              <w:top w:val="single" w:sz="6" w:space="0" w:color="000000"/>
              <w:left w:val="single" w:sz="4" w:space="0" w:color="auto"/>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3</w:t>
            </w:r>
          </w:p>
        </w:tc>
        <w:tc>
          <w:tcPr>
            <w:tcW w:w="13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Pădurea Camniţa</w:t>
            </w:r>
          </w:p>
        </w:tc>
        <w:tc>
          <w:tcPr>
            <w:tcW w:w="1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Legea 5/2000</w:t>
            </w:r>
          </w:p>
        </w:tc>
        <w:tc>
          <w:tcPr>
            <w:tcW w:w="14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Rezervaţie naturală</w:t>
            </w:r>
          </w:p>
        </w:tc>
        <w:tc>
          <w:tcPr>
            <w:tcW w:w="997"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1,2</w:t>
            </w:r>
          </w:p>
        </w:tc>
        <w:tc>
          <w:tcPr>
            <w:tcW w:w="2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UAT Râmnicelu</w:t>
            </w:r>
          </w:p>
        </w:tc>
        <w:tc>
          <w:tcPr>
            <w:tcW w:w="1862"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r>
    </w:tbl>
    <w:p w:rsidR="00737DE6" w:rsidRPr="00315335" w:rsidRDefault="00737DE6" w:rsidP="00737DE6">
      <w:pPr>
        <w:pStyle w:val="Subsol"/>
        <w:shd w:val="clear" w:color="auto" w:fill="FFFFFF"/>
        <w:jc w:val="both"/>
        <w:rPr>
          <w:rFonts w:ascii="Arial" w:hAnsi="Arial" w:cs="Arial"/>
          <w:b/>
          <w:sz w:val="24"/>
          <w:szCs w:val="24"/>
          <w:u w:val="single"/>
        </w:rPr>
      </w:pPr>
    </w:p>
    <w:p w:rsidR="00737DE6" w:rsidRPr="00315335" w:rsidRDefault="00737DE6" w:rsidP="00737DE6">
      <w:pPr>
        <w:pStyle w:val="Subsol"/>
        <w:shd w:val="clear" w:color="auto" w:fill="FFFFFF"/>
        <w:jc w:val="both"/>
        <w:rPr>
          <w:rFonts w:ascii="Arial" w:hAnsi="Arial" w:cs="Arial"/>
          <w:b/>
          <w:sz w:val="24"/>
          <w:szCs w:val="24"/>
          <w:u w:val="single"/>
        </w:rPr>
      </w:pPr>
      <w:r w:rsidRPr="00315335">
        <w:rPr>
          <w:rFonts w:ascii="Arial" w:hAnsi="Arial" w:cs="Arial"/>
          <w:b/>
          <w:sz w:val="24"/>
          <w:szCs w:val="24"/>
          <w:u w:val="single"/>
        </w:rPr>
        <w:lastRenderedPageBreak/>
        <w:t>Parcul Natural Balta Mică a Brăilei</w:t>
      </w:r>
    </w:p>
    <w:p w:rsidR="00737DE6" w:rsidRPr="00315335" w:rsidRDefault="00737DE6" w:rsidP="00737DE6">
      <w:pPr>
        <w:pStyle w:val="Indentcorptext2"/>
        <w:shd w:val="clear" w:color="auto" w:fill="FFFFFF"/>
        <w:tabs>
          <w:tab w:val="left" w:pos="180"/>
        </w:tabs>
        <w:spacing w:after="0" w:line="240" w:lineRule="auto"/>
        <w:ind w:left="0"/>
        <w:jc w:val="both"/>
        <w:rPr>
          <w:rFonts w:ascii="Arial" w:hAnsi="Arial" w:cs="Arial"/>
          <w:i/>
          <w:u w:val="single"/>
          <w:lang w:val="pt-BR"/>
        </w:rPr>
      </w:pPr>
      <w:r w:rsidRPr="00315335">
        <w:rPr>
          <w:rFonts w:ascii="Arial" w:hAnsi="Arial" w:cs="Arial"/>
          <w:i/>
          <w:u w:val="single"/>
          <w:lang w:val="pt-BR"/>
        </w:rPr>
        <w:t>Amplasament</w:t>
      </w:r>
    </w:p>
    <w:p w:rsidR="00737DE6" w:rsidRPr="00315335" w:rsidRDefault="00737DE6" w:rsidP="00737DE6">
      <w:pPr>
        <w:shd w:val="clear" w:color="auto" w:fill="FFFFFF"/>
        <w:autoSpaceDE w:val="0"/>
        <w:autoSpaceDN w:val="0"/>
        <w:adjustRightInd w:val="0"/>
        <w:spacing w:after="0" w:line="240" w:lineRule="auto"/>
        <w:jc w:val="both"/>
        <w:rPr>
          <w:rFonts w:ascii="Arial" w:hAnsi="Arial" w:cs="Arial"/>
          <w:sz w:val="24"/>
          <w:szCs w:val="24"/>
          <w:lang w:val="pt-BR"/>
        </w:rPr>
      </w:pPr>
      <w:r w:rsidRPr="00315335">
        <w:rPr>
          <w:rFonts w:ascii="Arial" w:hAnsi="Arial" w:cs="Arial"/>
          <w:sz w:val="24"/>
          <w:szCs w:val="24"/>
          <w:lang w:val="pt-BR"/>
        </w:rPr>
        <w:t xml:space="preserve">Parcul Natural Balta Mică a Brăilei este situat în lunca cu regim natural de inundaţie a fluviului Dunărea, între Vadu Oii şi municipiul Brăila, fiind delimitat de </w:t>
      </w:r>
      <w:r w:rsidRPr="00315335">
        <w:rPr>
          <w:rStyle w:val="tpa1"/>
          <w:rFonts w:ascii="Arial" w:hAnsi="Arial" w:cs="Arial"/>
          <w:sz w:val="24"/>
          <w:szCs w:val="24"/>
          <w:lang w:val="pt-BR"/>
        </w:rPr>
        <w:t xml:space="preserve">fluviul şi braţele Dunării la cotele maxime de inundaţie. </w:t>
      </w:r>
      <w:r w:rsidRPr="00315335">
        <w:rPr>
          <w:rFonts w:ascii="Arial" w:hAnsi="Arial" w:cs="Arial"/>
          <w:sz w:val="24"/>
          <w:szCs w:val="24"/>
          <w:lang w:val="pt-BR"/>
        </w:rPr>
        <w:t>Parcul  integrează toate cele 10 ostroave (insule) situate între braţele Dunării: O. Vărsătura, O. Popa, O. Crăcănel (Chiciul), O.Orbul, O. Calia (Lupului), O. Fundu Mare, O. Arapu, precum şi braţele adiacente ale Dunării.Se poate spune că este o deltă interioară pe traseul inferior al Dunării de Jos.</w:t>
      </w:r>
    </w:p>
    <w:p w:rsidR="00737DE6" w:rsidRPr="00315335" w:rsidRDefault="00737DE6" w:rsidP="00737DE6">
      <w:pPr>
        <w:shd w:val="clear" w:color="auto" w:fill="FFFFFF"/>
        <w:spacing w:after="0" w:line="240" w:lineRule="auto"/>
        <w:jc w:val="both"/>
        <w:rPr>
          <w:rFonts w:ascii="Arial" w:hAnsi="Arial" w:cs="Arial"/>
          <w:i/>
          <w:vanish/>
          <w:sz w:val="24"/>
          <w:szCs w:val="24"/>
          <w:u w:val="single"/>
          <w:lang w:val="pt-BR"/>
        </w:rPr>
      </w:pPr>
      <w:r w:rsidRPr="00315335">
        <w:rPr>
          <w:rFonts w:ascii="Arial" w:hAnsi="Arial" w:cs="Arial"/>
          <w:i/>
          <w:sz w:val="24"/>
          <w:szCs w:val="24"/>
          <w:u w:val="single"/>
          <w:lang w:val="pt-BR"/>
        </w:rPr>
        <w:t>Suprafaţa</w:t>
      </w:r>
    </w:p>
    <w:p w:rsidR="00737DE6" w:rsidRPr="00315335" w:rsidRDefault="00737DE6" w:rsidP="00737DE6">
      <w:pPr>
        <w:shd w:val="clear" w:color="auto" w:fill="FFFFFF"/>
        <w:autoSpaceDE w:val="0"/>
        <w:autoSpaceDN w:val="0"/>
        <w:adjustRightInd w:val="0"/>
        <w:spacing w:after="0" w:line="240" w:lineRule="auto"/>
        <w:jc w:val="both"/>
        <w:rPr>
          <w:rFonts w:ascii="Arial" w:hAnsi="Arial" w:cs="Arial"/>
          <w:sz w:val="24"/>
          <w:szCs w:val="24"/>
          <w:lang w:val="pt-BR"/>
        </w:rPr>
      </w:pPr>
    </w:p>
    <w:p w:rsidR="00737DE6" w:rsidRPr="00315335" w:rsidRDefault="00737DE6" w:rsidP="00737DE6">
      <w:pPr>
        <w:shd w:val="clear" w:color="auto" w:fill="FFFFFF"/>
        <w:autoSpaceDE w:val="0"/>
        <w:autoSpaceDN w:val="0"/>
        <w:adjustRightInd w:val="0"/>
        <w:spacing w:after="0" w:line="240" w:lineRule="auto"/>
        <w:jc w:val="both"/>
        <w:rPr>
          <w:rFonts w:ascii="Arial" w:hAnsi="Arial" w:cs="Arial"/>
          <w:sz w:val="24"/>
          <w:szCs w:val="24"/>
          <w:lang w:val="pt-BR"/>
        </w:rPr>
      </w:pPr>
      <w:r w:rsidRPr="00315335">
        <w:rPr>
          <w:rFonts w:ascii="Arial" w:hAnsi="Arial" w:cs="Arial"/>
          <w:sz w:val="24"/>
          <w:szCs w:val="24"/>
          <w:lang w:val="pt-BR"/>
        </w:rPr>
        <w:t xml:space="preserve">În Legea nr. 5/2000, această arie naturală protejată este menţionată cu o suprafaţă de </w:t>
      </w:r>
      <w:smartTag w:uri="urn:schemas-microsoft-com:office:smarttags" w:element="metricconverter">
        <w:smartTagPr>
          <w:attr w:name="ProductID" w:val="17529 ha"/>
        </w:smartTagPr>
        <w:r w:rsidRPr="00315335">
          <w:rPr>
            <w:rFonts w:ascii="Arial" w:hAnsi="Arial" w:cs="Arial"/>
            <w:sz w:val="24"/>
            <w:szCs w:val="24"/>
            <w:lang w:val="pt-BR"/>
          </w:rPr>
          <w:t>17529 ha</w:t>
        </w:r>
      </w:smartTag>
      <w:r w:rsidRPr="00315335">
        <w:rPr>
          <w:rFonts w:ascii="Arial" w:hAnsi="Arial" w:cs="Arial"/>
          <w:sz w:val="24"/>
          <w:szCs w:val="24"/>
          <w:lang w:val="pt-BR"/>
        </w:rPr>
        <w:t xml:space="preserve">. Având în vedere prevederile HG nr. 230/2003 </w:t>
      </w:r>
      <w:r w:rsidRPr="00315335">
        <w:rPr>
          <w:rFonts w:ascii="Arial" w:hAnsi="Arial" w:cs="Arial"/>
          <w:bCs/>
          <w:sz w:val="24"/>
          <w:szCs w:val="24"/>
        </w:rPr>
        <w:t>privind delimitarea rezervaţiilor biosferei, parcurilor naţionale şi parcurilor naturale şi constituirea administraţiilor acestora, conform căreia</w:t>
      </w:r>
      <w:r w:rsidRPr="00315335">
        <w:rPr>
          <w:rFonts w:ascii="Arial" w:hAnsi="Arial" w:cs="Arial"/>
          <w:sz w:val="24"/>
          <w:szCs w:val="24"/>
          <w:lang w:val="pt-BR"/>
        </w:rPr>
        <w:t xml:space="preserve"> limita „</w:t>
      </w:r>
      <w:r w:rsidRPr="00315335">
        <w:rPr>
          <w:rFonts w:ascii="Arial" w:hAnsi="Arial" w:cs="Arial"/>
          <w:sz w:val="24"/>
          <w:szCs w:val="24"/>
        </w:rPr>
        <w:t xml:space="preserve">este reprezentată de fluviul şi braţele Dunării la cotele maxime de inundaţie între podul de la Giurgeni - Vadul Oii şi până la sud de Brăila”, </w:t>
      </w:r>
      <w:r w:rsidRPr="00315335">
        <w:rPr>
          <w:rFonts w:ascii="Arial" w:hAnsi="Arial" w:cs="Arial"/>
          <w:sz w:val="24"/>
          <w:szCs w:val="24"/>
          <w:lang w:val="pt-BR"/>
        </w:rPr>
        <w:t>Oficiul de Cadastru şi Publicitate Imobiliară Brăila</w:t>
      </w:r>
      <w:r w:rsidRPr="00315335">
        <w:rPr>
          <w:rFonts w:ascii="Arial" w:hAnsi="Arial" w:cs="Arial"/>
          <w:sz w:val="24"/>
          <w:szCs w:val="24"/>
        </w:rPr>
        <w:t xml:space="preserve"> a</w:t>
      </w:r>
      <w:r w:rsidRPr="00315335">
        <w:rPr>
          <w:rFonts w:ascii="Arial" w:hAnsi="Arial" w:cs="Arial"/>
          <w:sz w:val="24"/>
          <w:szCs w:val="24"/>
          <w:lang w:val="pt-BR"/>
        </w:rPr>
        <w:t xml:space="preserve"> reevaluat suprafaţa la </w:t>
      </w:r>
      <w:smartTag w:uri="urn:schemas-microsoft-com:office:smarttags" w:element="metricconverter">
        <w:smartTagPr>
          <w:attr w:name="ProductID" w:val="24.123 ha"/>
        </w:smartTagPr>
        <w:r w:rsidRPr="00315335">
          <w:rPr>
            <w:rFonts w:ascii="Arial" w:hAnsi="Arial" w:cs="Arial"/>
            <w:sz w:val="24"/>
            <w:szCs w:val="24"/>
            <w:lang w:val="pt-BR"/>
          </w:rPr>
          <w:t>24.123 ha</w:t>
        </w:r>
      </w:smartTag>
      <w:r w:rsidRPr="00315335">
        <w:rPr>
          <w:rFonts w:ascii="Arial" w:hAnsi="Arial" w:cs="Arial"/>
          <w:sz w:val="24"/>
          <w:szCs w:val="24"/>
          <w:lang w:val="pt-BR"/>
        </w:rPr>
        <w:t>.</w:t>
      </w:r>
    </w:p>
    <w:p w:rsidR="00737DE6" w:rsidRPr="00315335" w:rsidRDefault="00737DE6" w:rsidP="00737DE6">
      <w:pPr>
        <w:shd w:val="clear" w:color="auto" w:fill="FFFFFF"/>
        <w:tabs>
          <w:tab w:val="left" w:pos="180"/>
        </w:tabs>
        <w:spacing w:after="0" w:line="240" w:lineRule="auto"/>
        <w:jc w:val="both"/>
        <w:rPr>
          <w:rFonts w:ascii="Arial" w:hAnsi="Arial" w:cs="Arial"/>
          <w:i/>
          <w:sz w:val="24"/>
          <w:szCs w:val="24"/>
          <w:u w:val="single"/>
          <w:lang w:val="pt-BR"/>
        </w:rPr>
      </w:pPr>
      <w:r w:rsidRPr="00315335">
        <w:rPr>
          <w:rFonts w:ascii="Arial" w:hAnsi="Arial" w:cs="Arial"/>
          <w:i/>
          <w:sz w:val="24"/>
          <w:szCs w:val="24"/>
          <w:u w:val="single"/>
          <w:lang w:val="pt-BR"/>
        </w:rPr>
        <w:t>Valori naturale protejate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lang w:val="pt-BR"/>
        </w:rPr>
      </w:pPr>
      <w:r w:rsidRPr="00315335">
        <w:rPr>
          <w:rFonts w:ascii="Arial" w:hAnsi="Arial" w:cs="Arial"/>
          <w:sz w:val="24"/>
          <w:szCs w:val="24"/>
          <w:lang w:val="pt-BR"/>
        </w:rPr>
        <w:t>În ciuda modificărilor survenite atât în structura sistemelor ecologice integratoare cât şi la nivelul ei, Balta Mică a Brăilei conservă importante valori ecologice, fiind o importantă componentă a Sistemului Dunării Inferioare, situată în amonte de Rezervaţia Biosferei Delta Dunării. Este singura zonă rămasă în regim hidrologic natural (zonă inundabilă), după îndiguirea, în proporţie de cca. 75%, a fostei Bălţi a Brăilei şi crearea incintei agricole Insula Mare a Brăilei.</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lang w:val="pt-BR"/>
        </w:rPr>
      </w:pPr>
      <w:r w:rsidRPr="00315335">
        <w:rPr>
          <w:rFonts w:ascii="Arial" w:hAnsi="Arial" w:cs="Arial"/>
          <w:sz w:val="24"/>
          <w:szCs w:val="24"/>
          <w:lang w:val="pt-BR"/>
        </w:rPr>
        <w:t>Datorită atributelor sale – zonă umedă în regim hidrologic natural, complex de ecosisteme în diferite stadii succesionale şi zonă tampon, Balta Mică a Brăilei reprezintă un sistem de referinţă al fostei delte interioare şi baza pentru reconstrucţia ecologică în Sistemul Dunării Inferioare.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lang w:val="pt-BR"/>
        </w:rPr>
      </w:pPr>
      <w:r w:rsidRPr="00315335">
        <w:rPr>
          <w:rFonts w:ascii="Arial" w:hAnsi="Arial" w:cs="Arial"/>
          <w:sz w:val="24"/>
          <w:szCs w:val="24"/>
          <w:lang w:val="pt-BR"/>
        </w:rPr>
        <w:t xml:space="preserve">Din suprafaţa totală, cca 56,5% o ocupă pădurile aluviale, 0,3% păşunile inundabile şi 43% zonele umede (25% braţele Dunării, 13,1% lacuri permanente şi 4,9% mlaştini). Habitatele terestre sunt reprezentate prin păduri, pajişti şi tufărişuri. Pădurile pot fi cultivate cu plop euroamerican sau sunt păduri de sălcii sau de amestec cu plop alb, plop negru şi salcie. Pajiştile sunt instalate pe şesurile depresionare mai înalte (pajişti de stepă) sau în apropierea pădurilor de amestec (pajişti de luncă). Tufărişurile sunt destul de slab reprezentate, în structura pajiştilor sau izolate pe suprafeţe restrânse în zona malurilor nisipoase.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lang w:val="pt-BR"/>
        </w:rPr>
      </w:pPr>
      <w:r w:rsidRPr="00315335">
        <w:rPr>
          <w:rFonts w:ascii="Arial" w:hAnsi="Arial" w:cs="Arial"/>
          <w:sz w:val="24"/>
          <w:szCs w:val="24"/>
          <w:lang w:val="pt-BR"/>
        </w:rPr>
        <w:t>Habitatele acvatice sunt reprezentate prin privaluri (canale naturale ce fac legătura dintre Dunăre şi bălţi), lacuri permanente şi bălţi temporare, mlaştini (care fac trecerea între bălţi şi ecosistemele terestre) şi zone mlăştinoase (la limita dintre uscat şi apă).</w:t>
      </w:r>
    </w:p>
    <w:p w:rsidR="00737DE6" w:rsidRPr="00315335" w:rsidRDefault="00737DE6" w:rsidP="00737DE6">
      <w:pPr>
        <w:shd w:val="clear" w:color="auto" w:fill="FFFFFF"/>
        <w:autoSpaceDE w:val="0"/>
        <w:autoSpaceDN w:val="0"/>
        <w:adjustRightInd w:val="0"/>
        <w:spacing w:after="0" w:line="240" w:lineRule="auto"/>
        <w:jc w:val="both"/>
        <w:rPr>
          <w:rFonts w:ascii="Arial" w:hAnsi="Arial" w:cs="Arial"/>
          <w:sz w:val="24"/>
          <w:szCs w:val="24"/>
          <w:lang w:val="pt-BR"/>
        </w:rPr>
      </w:pPr>
      <w:r w:rsidRPr="00315335">
        <w:rPr>
          <w:rFonts w:ascii="Arial" w:hAnsi="Arial" w:cs="Arial"/>
          <w:sz w:val="24"/>
          <w:szCs w:val="24"/>
          <w:lang w:val="pt-BR"/>
        </w:rPr>
        <w:t>Jumătate din ecosistemele identificate – bălţi şi păduri specifice de luncă inundabilă- sunt naturale, această zonă conservând în cea mai mare parte structura şi funcţiile vechii Bălţi a Brăilei din anii ’50. Acestea sunt totodată habitate naturale de interes comunitar faţă de care s-au stabilit priorităţi de conservare.</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lang w:val="pt-BR"/>
        </w:rPr>
      </w:pPr>
      <w:r w:rsidRPr="00315335">
        <w:rPr>
          <w:rFonts w:ascii="Arial" w:hAnsi="Arial" w:cs="Arial"/>
          <w:sz w:val="24"/>
          <w:szCs w:val="24"/>
          <w:lang w:val="pt-BR"/>
        </w:rPr>
        <w:t xml:space="preserve">Balta Mică a Brăilei este bine cunoscută pentru importanţa ei ornitologică, deoarece se situează pe cel mai important culoar de migraţie al păsărilor din bazinul inferior al Dunării de Jos, la jumătatea rutelor de migraţie între locurile de cuibărit din nordul Europei şi refugiile de iernat din Africa. Au fost inventariate 207 specii de păsări, acestea reprezentând jumătate din speciile de păsări caracteristice României. Dintre speciile observate, 61 sunt conservate la nivel european. </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lang w:val="pt-BR"/>
        </w:rPr>
      </w:pPr>
      <w:r w:rsidRPr="00315335">
        <w:rPr>
          <w:rFonts w:ascii="Arial" w:hAnsi="Arial" w:cs="Arial"/>
          <w:sz w:val="24"/>
          <w:szCs w:val="24"/>
          <w:lang w:val="pt-BR"/>
        </w:rPr>
        <w:t>Pentru că o mare parte dintre acestea sunt păsări acvatice, în anul 2001 Balta Mică a Brăilei a fost declarată sit RAMSAR (poziţia 1074 pe lista Ramsar), al doilea după Delta Dunării, conform Convenţiei Ramsar prin care se protejează zonele umede de importanţă internaţională ca habitat al păsărilor acvatice, convenţie la care România este parte semnatară.</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lang w:val="pt-BR"/>
        </w:rPr>
      </w:pPr>
      <w:r w:rsidRPr="00315335">
        <w:rPr>
          <w:rFonts w:ascii="Arial" w:hAnsi="Arial" w:cs="Arial"/>
          <w:sz w:val="24"/>
          <w:szCs w:val="24"/>
          <w:lang w:val="pt-BR"/>
        </w:rPr>
        <w:t xml:space="preserve">Din anul 2007 Parcul Natural Balta Mică a Brăilei a fost inclus în Rețeaua europeană de arii naturale protejate Natura 2000 fiind declarată atât ca arie de protecţie specială avifaunistică (cod </w:t>
      </w:r>
      <w:r w:rsidRPr="00315335">
        <w:rPr>
          <w:rFonts w:ascii="Arial" w:hAnsi="Arial" w:cs="Arial"/>
          <w:sz w:val="24"/>
          <w:szCs w:val="24"/>
          <w:lang w:val="it-IT"/>
        </w:rPr>
        <w:t xml:space="preserve">ROSPA0005), </w:t>
      </w:r>
      <w:r w:rsidRPr="00315335">
        <w:rPr>
          <w:rFonts w:ascii="Arial" w:hAnsi="Arial" w:cs="Arial"/>
          <w:sz w:val="24"/>
          <w:szCs w:val="24"/>
          <w:lang w:val="pt-BR"/>
        </w:rPr>
        <w:t xml:space="preserve">cu o suprafaţă totală extinsă în anul 2011 la </w:t>
      </w:r>
      <w:smartTag w:uri="urn:schemas-microsoft-com:office:smarttags" w:element="metricconverter">
        <w:smartTagPr>
          <w:attr w:name="ProductID" w:val="25856 ha"/>
        </w:smartTagPr>
        <w:r w:rsidRPr="00315335">
          <w:rPr>
            <w:rFonts w:ascii="Arial" w:hAnsi="Arial" w:cs="Arial"/>
            <w:sz w:val="24"/>
            <w:szCs w:val="24"/>
            <w:lang w:val="pt-BR"/>
          </w:rPr>
          <w:t>25856 ha</w:t>
        </w:r>
      </w:smartTag>
      <w:r w:rsidRPr="00315335">
        <w:rPr>
          <w:rFonts w:ascii="Arial" w:hAnsi="Arial" w:cs="Arial"/>
          <w:sz w:val="24"/>
          <w:szCs w:val="24"/>
          <w:lang w:val="pt-BR"/>
        </w:rPr>
        <w:t xml:space="preserve">, din care 24821 în judeţul Brăila, cât şi ca sit de importanţă comunitară (cod </w:t>
      </w:r>
      <w:r w:rsidRPr="00315335">
        <w:rPr>
          <w:rFonts w:ascii="Arial" w:hAnsi="Arial" w:cs="Arial"/>
          <w:sz w:val="24"/>
          <w:szCs w:val="24"/>
          <w:lang w:val="it-IT"/>
        </w:rPr>
        <w:t>ROSCI0006)</w:t>
      </w:r>
      <w:r w:rsidRPr="00315335">
        <w:rPr>
          <w:rFonts w:ascii="Arial" w:hAnsi="Arial" w:cs="Arial"/>
          <w:sz w:val="24"/>
          <w:szCs w:val="24"/>
          <w:lang w:val="pt-BR"/>
        </w:rPr>
        <w:t>, cu o suprafaţă de 20872 ha (integral în judeţul Brăila), ambele cu denumirea Balta Mică a Brăilei.</w:t>
      </w:r>
    </w:p>
    <w:p w:rsidR="00737DE6" w:rsidRPr="00315335" w:rsidRDefault="00737DE6" w:rsidP="00737DE6">
      <w:pPr>
        <w:shd w:val="clear" w:color="auto" w:fill="FFFFFF"/>
        <w:autoSpaceDE w:val="0"/>
        <w:autoSpaceDN w:val="0"/>
        <w:adjustRightInd w:val="0"/>
        <w:spacing w:after="0" w:line="240" w:lineRule="auto"/>
        <w:ind w:firstLine="708"/>
        <w:jc w:val="both"/>
        <w:rPr>
          <w:rFonts w:ascii="Arial" w:hAnsi="Arial" w:cs="Arial"/>
          <w:sz w:val="24"/>
          <w:szCs w:val="24"/>
          <w:lang w:val="pt-BR"/>
        </w:rPr>
      </w:pPr>
      <w:r w:rsidRPr="00315335">
        <w:rPr>
          <w:rFonts w:ascii="Arial" w:hAnsi="Arial" w:cs="Arial"/>
          <w:sz w:val="24"/>
          <w:szCs w:val="24"/>
          <w:lang w:val="pt-BR"/>
        </w:rPr>
        <w:lastRenderedPageBreak/>
        <w:t xml:space="preserve">Zonarea funcţională, detaliată în planul de management aprobat prin HG nr. 538/2011, împarte suprafaţa parcului natural în cele 4 categorii de zone definite prin </w:t>
      </w:r>
      <w:r w:rsidRPr="00315335">
        <w:rPr>
          <w:rFonts w:ascii="Arial" w:hAnsi="Arial" w:cs="Arial"/>
          <w:bCs/>
          <w:sz w:val="24"/>
          <w:szCs w:val="24"/>
        </w:rPr>
        <w:t>OUG nr. 57/2007 privind regimul ariilor naturale protejate, conservarea habitatelor naturale, a florei şi faunei sălbatice, aprobată cu modificări şi completări prin Legea nr. 49/2011</w:t>
      </w:r>
      <w:r w:rsidRPr="00315335">
        <w:rPr>
          <w:rFonts w:ascii="Arial" w:hAnsi="Arial" w:cs="Arial"/>
          <w:sz w:val="24"/>
          <w:szCs w:val="24"/>
        </w:rPr>
        <w:t xml:space="preserve"> cu completările ulterioare</w:t>
      </w:r>
      <w:r w:rsidRPr="00315335">
        <w:rPr>
          <w:rFonts w:ascii="Arial" w:hAnsi="Arial" w:cs="Arial"/>
          <w:bCs/>
          <w:sz w:val="24"/>
          <w:szCs w:val="24"/>
        </w:rPr>
        <w:t>: zone cu protecţie strictă, de protecţie integrală, de management durabil şi de dezvoltare durabilă a activităţilor umane</w:t>
      </w:r>
      <w:r w:rsidRPr="00315335">
        <w:rPr>
          <w:rFonts w:ascii="Arial" w:hAnsi="Arial" w:cs="Arial"/>
          <w:sz w:val="24"/>
          <w:szCs w:val="24"/>
          <w:lang w:val="pt-BR"/>
        </w:rPr>
        <w:t xml:space="preserve">. Cea mai mare suprafaţă este ocupată de cele 8 zone </w:t>
      </w:r>
      <w:r w:rsidRPr="00315335">
        <w:rPr>
          <w:rFonts w:ascii="Arial" w:hAnsi="Arial" w:cs="Arial"/>
          <w:bCs/>
          <w:sz w:val="24"/>
          <w:szCs w:val="24"/>
        </w:rPr>
        <w:t xml:space="preserve">de management durabil (zone tampon), însumând </w:t>
      </w:r>
      <w:smartTag w:uri="urn:schemas-microsoft-com:office:smarttags" w:element="metricconverter">
        <w:smartTagPr>
          <w:attr w:name="ProductID" w:val="9027,8 ha"/>
        </w:smartTagPr>
        <w:r w:rsidRPr="00315335">
          <w:rPr>
            <w:rFonts w:ascii="Arial" w:hAnsi="Arial" w:cs="Arial"/>
            <w:bCs/>
            <w:sz w:val="24"/>
            <w:szCs w:val="24"/>
          </w:rPr>
          <w:t>9027,8 ha</w:t>
        </w:r>
      </w:smartTag>
      <w:r w:rsidRPr="00315335">
        <w:rPr>
          <w:rFonts w:ascii="Arial" w:hAnsi="Arial" w:cs="Arial"/>
          <w:bCs/>
          <w:sz w:val="24"/>
          <w:szCs w:val="24"/>
        </w:rPr>
        <w:t xml:space="preserve">, care cuprind toate păşunile din arie şi terenuri forestiere pe </w:t>
      </w:r>
      <w:smartTag w:uri="urn:schemas-microsoft-com:office:smarttags" w:element="metricconverter">
        <w:smartTagPr>
          <w:attr w:name="ProductID" w:val="7.289,9 ha"/>
        </w:smartTagPr>
        <w:r w:rsidRPr="00315335">
          <w:rPr>
            <w:rFonts w:ascii="Arial" w:hAnsi="Arial" w:cs="Arial"/>
            <w:sz w:val="24"/>
            <w:szCs w:val="24"/>
            <w:lang w:val="pt-BR"/>
          </w:rPr>
          <w:t>7.289,9</w:t>
        </w:r>
        <w:r w:rsidRPr="00315335">
          <w:rPr>
            <w:rFonts w:ascii="Arial" w:hAnsi="Arial" w:cs="Arial"/>
            <w:bCs/>
            <w:sz w:val="24"/>
            <w:szCs w:val="24"/>
          </w:rPr>
          <w:t xml:space="preserve"> ha</w:t>
        </w:r>
      </w:smartTag>
      <w:r w:rsidRPr="00315335">
        <w:rPr>
          <w:rFonts w:ascii="Arial" w:hAnsi="Arial" w:cs="Arial"/>
          <w:bCs/>
          <w:sz w:val="24"/>
          <w:szCs w:val="24"/>
        </w:rPr>
        <w:t>. Cele mai multe lacuri din parc au statut de zone de protecţie integrală, iar braţele Dunării sunt cuprinse integral în zona de dezvoltare durabilă a activităţilor umane</w:t>
      </w:r>
      <w:r w:rsidRPr="00315335">
        <w:rPr>
          <w:rFonts w:ascii="Arial" w:hAnsi="Arial" w:cs="Arial"/>
          <w:sz w:val="24"/>
          <w:szCs w:val="24"/>
          <w:lang w:val="pt-BR"/>
        </w:rPr>
        <w:t>.</w:t>
      </w:r>
      <w:r w:rsidRPr="00315335">
        <w:rPr>
          <w:rFonts w:ascii="Arial" w:hAnsi="Arial" w:cs="Arial"/>
          <w:noProof/>
          <w:sz w:val="24"/>
          <w:szCs w:val="24"/>
          <w:lang w:val="pt-BR"/>
        </w:rPr>
        <w:t xml:space="preserve">     </w:t>
      </w:r>
    </w:p>
    <w:p w:rsidR="00737DE6" w:rsidRPr="00315335" w:rsidRDefault="00737DE6" w:rsidP="00737DE6">
      <w:pPr>
        <w:shd w:val="clear" w:color="auto" w:fill="FFFFFF"/>
        <w:spacing w:after="0" w:line="240" w:lineRule="auto"/>
        <w:jc w:val="both"/>
        <w:rPr>
          <w:rFonts w:ascii="Arial" w:hAnsi="Arial" w:cs="Arial"/>
          <w:noProof/>
          <w:sz w:val="24"/>
          <w:szCs w:val="24"/>
        </w:rPr>
      </w:pPr>
      <w:r w:rsidRPr="00315335">
        <w:rPr>
          <w:rFonts w:ascii="Arial" w:hAnsi="Arial" w:cs="Arial"/>
          <w:noProof/>
          <w:sz w:val="24"/>
          <w:szCs w:val="24"/>
        </w:rPr>
        <w:t xml:space="preserve">Asupra complexelor de ecosisteme din Parcul Natural Balta Mică a Brăilei trebuie luate în considerare următoarele </w:t>
      </w:r>
      <w:r w:rsidRPr="00315335">
        <w:rPr>
          <w:rFonts w:ascii="Arial" w:hAnsi="Arial" w:cs="Arial"/>
          <w:noProof/>
          <w:sz w:val="24"/>
          <w:szCs w:val="24"/>
          <w:u w:val="single"/>
        </w:rPr>
        <w:t>presiuni antropice</w:t>
      </w:r>
      <w:r w:rsidRPr="00315335">
        <w:rPr>
          <w:rFonts w:ascii="Arial" w:hAnsi="Arial" w:cs="Arial"/>
          <w:noProof/>
          <w:sz w:val="24"/>
          <w:szCs w:val="24"/>
        </w:rPr>
        <w:t xml:space="preserve"> :</w:t>
      </w:r>
    </w:p>
    <w:p w:rsidR="00737DE6" w:rsidRPr="00315335" w:rsidRDefault="00737DE6" w:rsidP="0010044C">
      <w:pPr>
        <w:numPr>
          <w:ilvl w:val="0"/>
          <w:numId w:val="56"/>
        </w:numPr>
        <w:shd w:val="clear" w:color="auto" w:fill="FFFFFF"/>
        <w:spacing w:after="0" w:line="240" w:lineRule="auto"/>
        <w:jc w:val="both"/>
        <w:rPr>
          <w:rFonts w:ascii="Arial" w:hAnsi="Arial" w:cs="Arial"/>
          <w:noProof/>
          <w:sz w:val="24"/>
          <w:szCs w:val="24"/>
        </w:rPr>
      </w:pPr>
      <w:r w:rsidRPr="00315335">
        <w:rPr>
          <w:rFonts w:ascii="Arial" w:hAnsi="Arial" w:cs="Arial"/>
          <w:i/>
          <w:noProof/>
          <w:sz w:val="24"/>
          <w:szCs w:val="24"/>
        </w:rPr>
        <w:t xml:space="preserve">braconajul piscicol şi supraexploatarea piscicolă fără o fundamentare a efortului de pescuit </w:t>
      </w:r>
      <w:r w:rsidRPr="00315335">
        <w:rPr>
          <w:rFonts w:ascii="Arial" w:hAnsi="Arial" w:cs="Arial"/>
          <w:noProof/>
          <w:sz w:val="24"/>
          <w:szCs w:val="24"/>
        </w:rPr>
        <w:t>– una dintre cele mai mari ameninţări asupra biodiversităţii, având drept consecinţe: diminuarea necontrolată a populaţiilor de peşti în sensul depăşirii capacităţii de suport, recoltarea neselectivă a ihtiofaunei (mai ales braconajul cu curent electric), dezechilibrarea lanţurilor trofice;</w:t>
      </w:r>
    </w:p>
    <w:p w:rsidR="00737DE6" w:rsidRPr="00315335" w:rsidRDefault="00737DE6" w:rsidP="0010044C">
      <w:pPr>
        <w:numPr>
          <w:ilvl w:val="0"/>
          <w:numId w:val="56"/>
        </w:numPr>
        <w:shd w:val="clear" w:color="auto" w:fill="FFFFFF"/>
        <w:spacing w:after="0" w:line="240" w:lineRule="auto"/>
        <w:jc w:val="both"/>
        <w:rPr>
          <w:rFonts w:ascii="Arial" w:hAnsi="Arial" w:cs="Arial"/>
          <w:bCs/>
          <w:noProof/>
          <w:sz w:val="24"/>
          <w:szCs w:val="24"/>
        </w:rPr>
      </w:pPr>
      <w:r w:rsidRPr="00315335">
        <w:rPr>
          <w:rFonts w:ascii="Arial" w:hAnsi="Arial" w:cs="Arial"/>
          <w:i/>
          <w:noProof/>
          <w:sz w:val="24"/>
          <w:szCs w:val="24"/>
        </w:rPr>
        <w:t>păşunatul abuziv în regim semisălbatic</w:t>
      </w:r>
      <w:r w:rsidRPr="00315335">
        <w:rPr>
          <w:rFonts w:ascii="Arial" w:hAnsi="Arial" w:cs="Arial"/>
          <w:noProof/>
          <w:sz w:val="24"/>
          <w:szCs w:val="24"/>
        </w:rPr>
        <w:t xml:space="preserve">, are ca efect deteriorarea unor habitate de interes comunitar prin distrugerea vegetaţiei, în special a celei lemnoase prin roaderea scoarţei şi a vârfului lăstarilor de plop şi salcie; </w:t>
      </w:r>
    </w:p>
    <w:p w:rsidR="00737DE6" w:rsidRPr="00315335" w:rsidRDefault="00737DE6" w:rsidP="0010044C">
      <w:pPr>
        <w:numPr>
          <w:ilvl w:val="0"/>
          <w:numId w:val="56"/>
        </w:numPr>
        <w:shd w:val="clear" w:color="auto" w:fill="FFFFFF"/>
        <w:spacing w:after="0" w:line="240" w:lineRule="auto"/>
        <w:jc w:val="both"/>
        <w:rPr>
          <w:rFonts w:ascii="Arial" w:hAnsi="Arial" w:cs="Arial"/>
          <w:noProof/>
          <w:sz w:val="24"/>
          <w:szCs w:val="24"/>
        </w:rPr>
      </w:pPr>
      <w:r w:rsidRPr="00315335">
        <w:rPr>
          <w:rFonts w:ascii="Arial" w:hAnsi="Arial" w:cs="Arial"/>
          <w:i/>
          <w:noProof/>
          <w:sz w:val="24"/>
          <w:szCs w:val="24"/>
        </w:rPr>
        <w:t>delictele silvice</w:t>
      </w:r>
      <w:r w:rsidRPr="00315335">
        <w:rPr>
          <w:rFonts w:ascii="Arial" w:hAnsi="Arial" w:cs="Arial"/>
          <w:noProof/>
          <w:sz w:val="24"/>
          <w:szCs w:val="24"/>
        </w:rPr>
        <w:t xml:space="preserve"> (pot avea implicaţii în echilibrul trofic al ecosistemului): </w:t>
      </w:r>
      <w:r w:rsidRPr="00315335">
        <w:rPr>
          <w:rFonts w:ascii="Arial" w:hAnsi="Arial" w:cs="Arial"/>
          <w:i/>
          <w:noProof/>
          <w:sz w:val="24"/>
          <w:szCs w:val="24"/>
        </w:rPr>
        <w:t xml:space="preserve">recoltarea ilegală a unor elemente din flora şi fauna parcului </w:t>
      </w:r>
      <w:r w:rsidRPr="00315335">
        <w:rPr>
          <w:rFonts w:ascii="Arial" w:hAnsi="Arial" w:cs="Arial"/>
          <w:noProof/>
          <w:sz w:val="24"/>
          <w:szCs w:val="24"/>
        </w:rPr>
        <w:t>care poate conduce la afectarea efectivelor unor specii .</w:t>
      </w:r>
    </w:p>
    <w:p w:rsidR="00737DE6" w:rsidRPr="00315335" w:rsidRDefault="00737DE6" w:rsidP="0010044C">
      <w:pPr>
        <w:numPr>
          <w:ilvl w:val="0"/>
          <w:numId w:val="56"/>
        </w:numPr>
        <w:shd w:val="clear" w:color="auto" w:fill="FFFFFF"/>
        <w:spacing w:after="0" w:line="240" w:lineRule="auto"/>
        <w:jc w:val="both"/>
        <w:rPr>
          <w:rFonts w:ascii="Arial" w:hAnsi="Arial" w:cs="Arial"/>
          <w:noProof/>
          <w:sz w:val="24"/>
          <w:szCs w:val="24"/>
        </w:rPr>
      </w:pPr>
      <w:r w:rsidRPr="00315335">
        <w:rPr>
          <w:rFonts w:ascii="Arial" w:hAnsi="Arial" w:cs="Arial"/>
          <w:i/>
          <w:noProof/>
          <w:sz w:val="24"/>
          <w:szCs w:val="24"/>
        </w:rPr>
        <w:t>turismul necontrolat</w:t>
      </w:r>
      <w:r w:rsidRPr="00315335">
        <w:rPr>
          <w:rFonts w:ascii="Arial" w:hAnsi="Arial" w:cs="Arial"/>
          <w:noProof/>
          <w:sz w:val="24"/>
          <w:szCs w:val="24"/>
        </w:rPr>
        <w:t xml:space="preserve"> practicat în special în week-end are ca efect acumularea de deşeuri de tip menajer (în special ambalaje tip PET) mai ales în zonele dig-mal. În zonele de protecţie integrală turismul poate deranja unele specii de păsări în special în perioada clocitului când poate determina părăsirea locurilor de cuibărit şi poate reprezenta un factor de stres în timpul pasajului.</w:t>
      </w:r>
    </w:p>
    <w:p w:rsidR="00737DE6" w:rsidRPr="00315335" w:rsidRDefault="00737DE6" w:rsidP="00737DE6">
      <w:pPr>
        <w:pStyle w:val="Subsol"/>
        <w:shd w:val="clear" w:color="auto" w:fill="FFFFFF"/>
        <w:tabs>
          <w:tab w:val="left" w:pos="180"/>
        </w:tabs>
        <w:jc w:val="both"/>
        <w:rPr>
          <w:rFonts w:ascii="Arial" w:hAnsi="Arial" w:cs="Arial"/>
          <w:b/>
          <w:sz w:val="24"/>
          <w:szCs w:val="24"/>
          <w:u w:val="single"/>
        </w:rPr>
      </w:pPr>
    </w:p>
    <w:p w:rsidR="00737DE6" w:rsidRPr="00315335" w:rsidRDefault="00737DE6" w:rsidP="00737DE6">
      <w:pPr>
        <w:pStyle w:val="Subsol"/>
        <w:shd w:val="clear" w:color="auto" w:fill="FFFFFF"/>
        <w:tabs>
          <w:tab w:val="left" w:pos="180"/>
        </w:tabs>
        <w:jc w:val="both"/>
        <w:rPr>
          <w:rFonts w:ascii="Arial" w:hAnsi="Arial" w:cs="Arial"/>
          <w:b/>
          <w:sz w:val="24"/>
          <w:szCs w:val="24"/>
          <w:u w:val="single"/>
        </w:rPr>
      </w:pPr>
      <w:r w:rsidRPr="00315335">
        <w:rPr>
          <w:rFonts w:ascii="Arial" w:hAnsi="Arial" w:cs="Arial"/>
          <w:b/>
          <w:sz w:val="24"/>
          <w:szCs w:val="24"/>
          <w:u w:val="single"/>
        </w:rPr>
        <w:t>Rezervaţia Naturală Pădurea Camniţa</w:t>
      </w:r>
    </w:p>
    <w:p w:rsidR="00737DE6" w:rsidRPr="00315335" w:rsidRDefault="00737DE6" w:rsidP="00737DE6">
      <w:pPr>
        <w:shd w:val="clear" w:color="auto" w:fill="FFFFFF"/>
        <w:tabs>
          <w:tab w:val="left" w:pos="180"/>
        </w:tabs>
        <w:spacing w:after="0" w:line="240" w:lineRule="auto"/>
        <w:jc w:val="both"/>
        <w:rPr>
          <w:rFonts w:ascii="Arial" w:hAnsi="Arial" w:cs="Arial"/>
          <w:i/>
          <w:sz w:val="24"/>
          <w:szCs w:val="24"/>
          <w:u w:val="single"/>
        </w:rPr>
      </w:pPr>
      <w:r w:rsidRPr="00315335">
        <w:rPr>
          <w:rFonts w:ascii="Arial" w:hAnsi="Arial" w:cs="Arial"/>
          <w:i/>
          <w:sz w:val="24"/>
          <w:szCs w:val="24"/>
          <w:u w:val="single"/>
        </w:rPr>
        <w:t>Localizare</w:t>
      </w:r>
    </w:p>
    <w:p w:rsidR="00737DE6" w:rsidRPr="00315335" w:rsidRDefault="00737DE6" w:rsidP="00737DE6">
      <w:pPr>
        <w:shd w:val="clear" w:color="auto" w:fill="FFFFFF"/>
        <w:tabs>
          <w:tab w:val="left" w:pos="180"/>
        </w:tabs>
        <w:spacing w:after="0" w:line="240" w:lineRule="auto"/>
        <w:jc w:val="both"/>
        <w:rPr>
          <w:rFonts w:ascii="Arial" w:hAnsi="Arial" w:cs="Arial"/>
          <w:sz w:val="24"/>
          <w:szCs w:val="24"/>
        </w:rPr>
      </w:pPr>
      <w:r w:rsidRPr="00315335">
        <w:rPr>
          <w:rFonts w:ascii="Arial" w:hAnsi="Arial" w:cs="Arial"/>
          <w:sz w:val="24"/>
          <w:szCs w:val="24"/>
        </w:rPr>
        <w:t xml:space="preserve">Rezervaţia are o suprafaţă de </w:t>
      </w:r>
      <w:smartTag w:uri="urn:schemas-microsoft-com:office:smarttags" w:element="metricconverter">
        <w:smartTagPr>
          <w:attr w:name="ProductID" w:val="1,2 ha"/>
        </w:smartTagPr>
        <w:r w:rsidRPr="00315335">
          <w:rPr>
            <w:rFonts w:ascii="Arial" w:hAnsi="Arial" w:cs="Arial"/>
            <w:sz w:val="24"/>
            <w:szCs w:val="24"/>
          </w:rPr>
          <w:t>1,2 ha</w:t>
        </w:r>
      </w:smartTag>
      <w:r w:rsidRPr="00315335">
        <w:rPr>
          <w:rFonts w:ascii="Arial" w:hAnsi="Arial" w:cs="Arial"/>
          <w:sz w:val="24"/>
          <w:szCs w:val="24"/>
        </w:rPr>
        <w:t xml:space="preserve"> şi este amplasată în comuna Râmnicelu, în apropierea satului Constantineşti, între DJ 221 şi râul Buzău. Această rezervaţie este situată în cuprinsul pădurii Camniţa, pădure ce ocupă circa </w:t>
      </w:r>
      <w:smartTag w:uri="urn:schemas-microsoft-com:office:smarttags" w:element="metricconverter">
        <w:smartTagPr>
          <w:attr w:name="ProductID" w:val="550 ha"/>
        </w:smartTagPr>
        <w:r w:rsidRPr="00315335">
          <w:rPr>
            <w:rFonts w:ascii="Arial" w:hAnsi="Arial" w:cs="Arial"/>
            <w:sz w:val="24"/>
            <w:szCs w:val="24"/>
          </w:rPr>
          <w:t>550 ha</w:t>
        </w:r>
      </w:smartTag>
      <w:r w:rsidRPr="00315335">
        <w:rPr>
          <w:rFonts w:ascii="Arial" w:hAnsi="Arial" w:cs="Arial"/>
          <w:sz w:val="24"/>
          <w:szCs w:val="24"/>
        </w:rPr>
        <w:t xml:space="preserve">, formată preponderent din salcâm, plop alb,  plop negru şi salcie. </w:t>
      </w:r>
    </w:p>
    <w:p w:rsidR="00737DE6" w:rsidRPr="00315335" w:rsidRDefault="00737DE6" w:rsidP="00737DE6">
      <w:pPr>
        <w:shd w:val="clear" w:color="auto" w:fill="FFFFFF"/>
        <w:spacing w:after="0" w:line="240" w:lineRule="auto"/>
        <w:jc w:val="both"/>
        <w:rPr>
          <w:rFonts w:ascii="Arial" w:hAnsi="Arial" w:cs="Arial"/>
          <w:bCs/>
          <w:iCs/>
          <w:sz w:val="24"/>
          <w:szCs w:val="24"/>
          <w:lang w:val="it-IT"/>
        </w:rPr>
      </w:pPr>
      <w:r w:rsidRPr="00315335">
        <w:rPr>
          <w:rFonts w:ascii="Arial" w:hAnsi="Arial" w:cs="Arial"/>
          <w:sz w:val="24"/>
          <w:szCs w:val="24"/>
        </w:rPr>
        <w:t xml:space="preserve">Rezervația este situată în perimetrul ariilor de interes comunitar ROSPA0160 </w:t>
      </w:r>
      <w:r w:rsidRPr="00315335">
        <w:rPr>
          <w:rFonts w:ascii="Arial" w:hAnsi="Arial" w:cs="Arial"/>
          <w:bCs/>
          <w:iCs/>
          <w:sz w:val="24"/>
          <w:szCs w:val="24"/>
        </w:rPr>
        <w:t>și ROSCI0103 ambele cu denumirea Lunca Buzăului</w:t>
      </w:r>
      <w:r w:rsidRPr="00315335">
        <w:rPr>
          <w:rFonts w:ascii="Arial" w:hAnsi="Arial" w:cs="Arial"/>
          <w:bCs/>
          <w:iCs/>
          <w:sz w:val="24"/>
          <w:szCs w:val="24"/>
          <w:lang w:val="it-IT"/>
        </w:rPr>
        <w:t>.</w:t>
      </w:r>
    </w:p>
    <w:p w:rsidR="00737DE6" w:rsidRPr="00315335" w:rsidRDefault="00737DE6" w:rsidP="00737DE6">
      <w:pPr>
        <w:shd w:val="clear" w:color="auto" w:fill="FFFFFF"/>
        <w:tabs>
          <w:tab w:val="left" w:pos="180"/>
        </w:tabs>
        <w:spacing w:after="0" w:line="240" w:lineRule="auto"/>
        <w:jc w:val="both"/>
        <w:rPr>
          <w:rFonts w:ascii="Arial" w:hAnsi="Arial" w:cs="Arial"/>
          <w:i/>
          <w:sz w:val="24"/>
          <w:szCs w:val="24"/>
          <w:u w:val="single"/>
        </w:rPr>
      </w:pPr>
      <w:r w:rsidRPr="00315335">
        <w:rPr>
          <w:rFonts w:ascii="Arial" w:hAnsi="Arial" w:cs="Arial"/>
          <w:i/>
          <w:sz w:val="24"/>
          <w:szCs w:val="24"/>
          <w:u w:val="single"/>
        </w:rPr>
        <w:t>Valori naturale protejate</w:t>
      </w:r>
    </w:p>
    <w:p w:rsidR="00737DE6" w:rsidRPr="00315335" w:rsidRDefault="00737DE6" w:rsidP="00737DE6">
      <w:pPr>
        <w:shd w:val="clear" w:color="auto" w:fill="FFFFFF"/>
        <w:tabs>
          <w:tab w:val="left" w:pos="180"/>
        </w:tabs>
        <w:spacing w:after="0" w:line="240" w:lineRule="auto"/>
        <w:jc w:val="both"/>
        <w:rPr>
          <w:rFonts w:ascii="Arial" w:hAnsi="Arial" w:cs="Arial"/>
          <w:sz w:val="24"/>
          <w:szCs w:val="24"/>
        </w:rPr>
      </w:pPr>
      <w:r w:rsidRPr="00315335">
        <w:rPr>
          <w:rFonts w:ascii="Arial" w:hAnsi="Arial" w:cs="Arial"/>
          <w:sz w:val="24"/>
          <w:szCs w:val="24"/>
        </w:rPr>
        <w:t>Pădurea este un arboret natural de frasin - hibrizi de frasin de Pennsylvania (Fraxinus pennsylvanica şi Fraxinus angustifolia), în amestec cu salcâm, de origine necunoscută. A fost declarată rezervaţie pentru că frasinul constituie o raritate în peisajul judeţului Brăila.</w:t>
      </w:r>
    </w:p>
    <w:p w:rsidR="00737DE6" w:rsidRPr="00315335" w:rsidRDefault="00737DE6" w:rsidP="00737DE6">
      <w:pPr>
        <w:shd w:val="clear" w:color="auto" w:fill="FFFFFF"/>
        <w:tabs>
          <w:tab w:val="left" w:pos="180"/>
        </w:tabs>
        <w:spacing w:after="0" w:line="240" w:lineRule="auto"/>
        <w:jc w:val="both"/>
        <w:rPr>
          <w:rFonts w:ascii="Arial" w:hAnsi="Arial" w:cs="Arial"/>
          <w:i/>
          <w:sz w:val="24"/>
          <w:szCs w:val="24"/>
          <w:u w:val="single"/>
        </w:rPr>
      </w:pPr>
      <w:r w:rsidRPr="00315335">
        <w:rPr>
          <w:rFonts w:ascii="Arial" w:hAnsi="Arial" w:cs="Arial"/>
          <w:i/>
          <w:sz w:val="24"/>
          <w:szCs w:val="24"/>
          <w:u w:val="single"/>
        </w:rPr>
        <w:t>Anul declarării şi documentele prin care a fost declarată</w:t>
      </w:r>
    </w:p>
    <w:p w:rsidR="00737DE6" w:rsidRPr="00315335" w:rsidRDefault="00737DE6" w:rsidP="00737DE6">
      <w:pPr>
        <w:shd w:val="clear" w:color="auto" w:fill="FFFFFF"/>
        <w:tabs>
          <w:tab w:val="left" w:pos="180"/>
        </w:tabs>
        <w:spacing w:after="0" w:line="240" w:lineRule="auto"/>
        <w:jc w:val="both"/>
        <w:rPr>
          <w:rFonts w:ascii="Arial" w:hAnsi="Arial" w:cs="Arial"/>
          <w:sz w:val="24"/>
          <w:szCs w:val="24"/>
        </w:rPr>
      </w:pPr>
      <w:r w:rsidRPr="00315335">
        <w:rPr>
          <w:rFonts w:ascii="Arial" w:hAnsi="Arial" w:cs="Arial"/>
          <w:sz w:val="24"/>
          <w:szCs w:val="24"/>
        </w:rPr>
        <w:tab/>
      </w:r>
      <w:r w:rsidRPr="00315335">
        <w:rPr>
          <w:rFonts w:ascii="Arial" w:hAnsi="Arial" w:cs="Arial"/>
          <w:sz w:val="24"/>
          <w:szCs w:val="24"/>
        </w:rPr>
        <w:tab/>
        <w:t>1994 - H.C.J. Brăila nr. 20/1994 - rezervaţie forestieră</w:t>
      </w:r>
    </w:p>
    <w:p w:rsidR="00737DE6" w:rsidRPr="00315335" w:rsidRDefault="00737DE6" w:rsidP="00737DE6">
      <w:pPr>
        <w:shd w:val="clear" w:color="auto" w:fill="FFFFFF"/>
        <w:tabs>
          <w:tab w:val="left" w:pos="180"/>
        </w:tabs>
        <w:spacing w:after="0" w:line="240" w:lineRule="auto"/>
        <w:jc w:val="both"/>
        <w:rPr>
          <w:rFonts w:ascii="Arial" w:hAnsi="Arial" w:cs="Arial"/>
          <w:sz w:val="24"/>
          <w:szCs w:val="24"/>
        </w:rPr>
      </w:pPr>
      <w:r w:rsidRPr="00315335">
        <w:rPr>
          <w:rFonts w:ascii="Arial" w:hAnsi="Arial" w:cs="Arial"/>
          <w:sz w:val="24"/>
          <w:szCs w:val="24"/>
        </w:rPr>
        <w:tab/>
      </w:r>
      <w:r w:rsidRPr="00315335">
        <w:rPr>
          <w:rFonts w:ascii="Arial" w:hAnsi="Arial" w:cs="Arial"/>
          <w:sz w:val="24"/>
          <w:szCs w:val="24"/>
        </w:rPr>
        <w:tab/>
        <w:t xml:space="preserve">2000 - </w:t>
      </w:r>
      <w:r w:rsidRPr="00315335">
        <w:rPr>
          <w:rFonts w:ascii="Arial" w:hAnsi="Arial" w:cs="Arial"/>
          <w:i/>
          <w:sz w:val="24"/>
          <w:szCs w:val="24"/>
        </w:rPr>
        <w:t>Legea nr. 5/2000 pentru aprobarea Planului de amenajare a teritoriului naţional</w:t>
      </w:r>
      <w:r w:rsidRPr="00315335">
        <w:rPr>
          <w:rFonts w:ascii="Arial" w:hAnsi="Arial" w:cs="Arial"/>
          <w:sz w:val="24"/>
          <w:szCs w:val="24"/>
        </w:rPr>
        <w:t xml:space="preserve"> – secţiunea a III-a – zone protejate - rezervaţie naturală, cod 2259.</w:t>
      </w:r>
    </w:p>
    <w:p w:rsidR="00737DE6" w:rsidRPr="00315335" w:rsidRDefault="00737DE6" w:rsidP="00737DE6">
      <w:pPr>
        <w:shd w:val="clear" w:color="auto" w:fill="FFFFFF"/>
        <w:tabs>
          <w:tab w:val="left" w:pos="180"/>
        </w:tabs>
        <w:spacing w:after="0" w:line="240" w:lineRule="auto"/>
        <w:jc w:val="both"/>
        <w:rPr>
          <w:rFonts w:ascii="Arial" w:hAnsi="Arial" w:cs="Arial"/>
          <w:i/>
          <w:sz w:val="24"/>
          <w:szCs w:val="24"/>
          <w:u w:val="single"/>
        </w:rPr>
      </w:pPr>
      <w:r w:rsidRPr="00315335">
        <w:rPr>
          <w:rFonts w:ascii="Arial" w:hAnsi="Arial" w:cs="Arial"/>
          <w:i/>
          <w:sz w:val="24"/>
          <w:szCs w:val="24"/>
          <w:u w:val="single"/>
        </w:rPr>
        <w:t>Starea ecosistemelor</w:t>
      </w:r>
    </w:p>
    <w:p w:rsidR="00737DE6" w:rsidRPr="00315335" w:rsidRDefault="00737DE6" w:rsidP="00737DE6">
      <w:pPr>
        <w:shd w:val="clear" w:color="auto" w:fill="FFFFFF"/>
        <w:suppressAutoHyphens/>
        <w:spacing w:after="0" w:line="240" w:lineRule="auto"/>
        <w:jc w:val="both"/>
        <w:rPr>
          <w:rFonts w:ascii="Arial" w:hAnsi="Arial" w:cs="Arial"/>
          <w:sz w:val="24"/>
          <w:szCs w:val="24"/>
        </w:rPr>
      </w:pPr>
      <w:r w:rsidRPr="00315335">
        <w:rPr>
          <w:rFonts w:ascii="Arial" w:hAnsi="Arial" w:cs="Arial"/>
          <w:sz w:val="24"/>
          <w:szCs w:val="24"/>
        </w:rPr>
        <w:t xml:space="preserve">În general această arie protejată nu este supusă unor influenţe antropice semnificative, conservarea acestui trup de pădure fiind afectată doar de climatul secetos al ultimilor ani. Menţinerea stării de conservare este favorizată şi de lipsa practicării turismului pe teritoriul rezervaţiei. </w:t>
      </w:r>
      <w:r w:rsidRPr="00315335">
        <w:rPr>
          <w:rFonts w:ascii="Arial" w:hAnsi="Arial" w:cs="Arial"/>
          <w:sz w:val="24"/>
          <w:szCs w:val="24"/>
          <w:lang w:val="it-IT"/>
        </w:rPr>
        <w:t>la nivelul anului 2017 nu au fost semnalate evenimente deosebite care să afecteze negativ starea de conservare a ariei protejate</w:t>
      </w:r>
      <w:r w:rsidRPr="00315335">
        <w:rPr>
          <w:rFonts w:ascii="Arial" w:hAnsi="Arial" w:cs="Arial"/>
          <w:sz w:val="24"/>
          <w:szCs w:val="24"/>
        </w:rPr>
        <w:t>.</w:t>
      </w:r>
    </w:p>
    <w:p w:rsidR="00737DE6" w:rsidRPr="00315335" w:rsidRDefault="00737DE6" w:rsidP="00737DE6">
      <w:pPr>
        <w:shd w:val="clear" w:color="auto" w:fill="FFFFFF"/>
        <w:suppressAutoHyphens/>
        <w:spacing w:after="0" w:line="240" w:lineRule="auto"/>
        <w:jc w:val="both"/>
        <w:rPr>
          <w:rFonts w:ascii="Arial" w:hAnsi="Arial" w:cs="Arial"/>
          <w:sz w:val="24"/>
          <w:szCs w:val="24"/>
        </w:rPr>
      </w:pPr>
    </w:p>
    <w:p w:rsidR="00737DE6" w:rsidRPr="00315335" w:rsidRDefault="00737DE6" w:rsidP="00737DE6">
      <w:pPr>
        <w:pStyle w:val="Subsol"/>
        <w:shd w:val="clear" w:color="auto" w:fill="FFFFFF"/>
        <w:tabs>
          <w:tab w:val="left" w:pos="180"/>
        </w:tabs>
        <w:jc w:val="both"/>
        <w:rPr>
          <w:rFonts w:ascii="Arial" w:hAnsi="Arial" w:cs="Arial"/>
          <w:b/>
          <w:sz w:val="24"/>
          <w:szCs w:val="24"/>
          <w:u w:val="single"/>
        </w:rPr>
      </w:pPr>
      <w:r w:rsidRPr="00315335">
        <w:rPr>
          <w:rFonts w:ascii="Arial" w:hAnsi="Arial" w:cs="Arial"/>
          <w:b/>
          <w:sz w:val="24"/>
          <w:szCs w:val="24"/>
          <w:u w:val="single"/>
        </w:rPr>
        <w:t>Rezervaţia Naturală Lacul Jirlău Vişani</w:t>
      </w:r>
    </w:p>
    <w:p w:rsidR="00737DE6" w:rsidRPr="00315335" w:rsidRDefault="00737DE6" w:rsidP="00737DE6">
      <w:pPr>
        <w:shd w:val="clear" w:color="auto" w:fill="FFFFFF"/>
        <w:tabs>
          <w:tab w:val="left" w:pos="180"/>
        </w:tabs>
        <w:spacing w:after="0" w:line="240" w:lineRule="auto"/>
        <w:jc w:val="both"/>
        <w:rPr>
          <w:rFonts w:ascii="Arial" w:hAnsi="Arial" w:cs="Arial"/>
          <w:i/>
          <w:sz w:val="24"/>
          <w:szCs w:val="24"/>
          <w:u w:val="single"/>
        </w:rPr>
      </w:pPr>
      <w:r w:rsidRPr="00315335">
        <w:rPr>
          <w:rFonts w:ascii="Arial" w:hAnsi="Arial" w:cs="Arial"/>
          <w:i/>
          <w:sz w:val="24"/>
          <w:szCs w:val="24"/>
          <w:u w:val="single"/>
        </w:rPr>
        <w:t xml:space="preserve">Localizare </w:t>
      </w:r>
    </w:p>
    <w:p w:rsidR="00737DE6" w:rsidRPr="00315335" w:rsidRDefault="00737DE6" w:rsidP="00737DE6">
      <w:pPr>
        <w:shd w:val="clear" w:color="auto" w:fill="FFFFFF"/>
        <w:suppressAutoHyphens/>
        <w:spacing w:after="0" w:line="240" w:lineRule="auto"/>
        <w:jc w:val="both"/>
        <w:rPr>
          <w:rFonts w:ascii="Arial" w:hAnsi="Arial" w:cs="Arial"/>
          <w:sz w:val="24"/>
          <w:szCs w:val="24"/>
        </w:rPr>
      </w:pPr>
      <w:r w:rsidRPr="00315335">
        <w:rPr>
          <w:rFonts w:ascii="Arial" w:hAnsi="Arial" w:cs="Arial"/>
          <w:sz w:val="24"/>
          <w:szCs w:val="24"/>
        </w:rPr>
        <w:t xml:space="preserve">Rezervaţia este situată în vestul judeţului Brăila, pe malul stâng al râului Buzău, pe teritoriul comunelor Jirlău, Vişani şi Galbenu, având o  suprafaţă de </w:t>
      </w:r>
      <w:smartTag w:uri="urn:schemas-microsoft-com:office:smarttags" w:element="metricconverter">
        <w:smartTagPr>
          <w:attr w:name="ProductID" w:val="838,66 ha"/>
        </w:smartTagPr>
        <w:r w:rsidRPr="00315335">
          <w:rPr>
            <w:rFonts w:ascii="Arial" w:hAnsi="Arial" w:cs="Arial"/>
            <w:sz w:val="24"/>
            <w:szCs w:val="24"/>
          </w:rPr>
          <w:t>838,66 ha</w:t>
        </w:r>
      </w:smartTag>
      <w:r w:rsidRPr="00315335">
        <w:rPr>
          <w:rFonts w:ascii="Arial" w:hAnsi="Arial" w:cs="Arial"/>
          <w:sz w:val="24"/>
          <w:szCs w:val="24"/>
        </w:rPr>
        <w:t>.</w:t>
      </w:r>
    </w:p>
    <w:p w:rsidR="00737DE6" w:rsidRPr="00315335" w:rsidRDefault="00737DE6" w:rsidP="00737DE6">
      <w:pPr>
        <w:shd w:val="clear" w:color="auto" w:fill="FFFFFF"/>
        <w:suppressAutoHyphens/>
        <w:spacing w:after="0" w:line="240" w:lineRule="auto"/>
        <w:jc w:val="both"/>
        <w:rPr>
          <w:rFonts w:ascii="Arial" w:hAnsi="Arial" w:cs="Arial"/>
          <w:sz w:val="24"/>
          <w:szCs w:val="24"/>
        </w:rPr>
      </w:pPr>
      <w:r w:rsidRPr="00315335">
        <w:rPr>
          <w:rFonts w:ascii="Arial" w:hAnsi="Arial" w:cs="Arial"/>
          <w:sz w:val="24"/>
          <w:szCs w:val="24"/>
        </w:rPr>
        <w:lastRenderedPageBreak/>
        <w:t>Rezervația este situată în perimetrul ariilor de interes comunitar ROSPA0004 Balta Albă-Amara-Jirlău și ROSCI0005 Balta Albă-Amara-Jirlău-Lacul Sărat Câineni.</w:t>
      </w:r>
    </w:p>
    <w:p w:rsidR="00737DE6" w:rsidRPr="00315335" w:rsidRDefault="00737DE6" w:rsidP="00737DE6">
      <w:pPr>
        <w:shd w:val="clear" w:color="auto" w:fill="FFFFFF"/>
        <w:tabs>
          <w:tab w:val="left" w:pos="180"/>
        </w:tabs>
        <w:spacing w:after="0" w:line="240" w:lineRule="auto"/>
        <w:jc w:val="both"/>
        <w:rPr>
          <w:rFonts w:ascii="Arial" w:hAnsi="Arial" w:cs="Arial"/>
          <w:i/>
          <w:sz w:val="24"/>
          <w:szCs w:val="24"/>
          <w:u w:val="single"/>
        </w:rPr>
      </w:pPr>
      <w:r w:rsidRPr="00315335">
        <w:rPr>
          <w:rFonts w:ascii="Arial" w:hAnsi="Arial" w:cs="Arial"/>
          <w:i/>
          <w:sz w:val="24"/>
          <w:szCs w:val="24"/>
          <w:u w:val="single"/>
        </w:rPr>
        <w:t>Anul declarării şi actele prin care a fost declarată</w:t>
      </w:r>
    </w:p>
    <w:p w:rsidR="00737DE6" w:rsidRPr="00315335" w:rsidRDefault="00737DE6" w:rsidP="00737DE6">
      <w:pPr>
        <w:shd w:val="clear" w:color="auto" w:fill="FFFFFF"/>
        <w:tabs>
          <w:tab w:val="left" w:pos="180"/>
        </w:tabs>
        <w:spacing w:after="0" w:line="240" w:lineRule="auto"/>
        <w:jc w:val="both"/>
        <w:rPr>
          <w:rFonts w:ascii="Arial" w:hAnsi="Arial" w:cs="Arial"/>
          <w:sz w:val="24"/>
          <w:szCs w:val="24"/>
        </w:rPr>
      </w:pPr>
      <w:r w:rsidRPr="00315335">
        <w:rPr>
          <w:rFonts w:ascii="Arial" w:hAnsi="Arial" w:cs="Arial"/>
          <w:sz w:val="24"/>
          <w:szCs w:val="24"/>
        </w:rPr>
        <w:tab/>
      </w:r>
      <w:r w:rsidRPr="00315335">
        <w:rPr>
          <w:rFonts w:ascii="Arial" w:hAnsi="Arial" w:cs="Arial"/>
          <w:sz w:val="24"/>
          <w:szCs w:val="24"/>
        </w:rPr>
        <w:tab/>
        <w:t>1994 - H.C.J. Brăila nr. 20/1994 - refugiu ornitologic</w:t>
      </w:r>
    </w:p>
    <w:p w:rsidR="00737DE6" w:rsidRPr="00315335" w:rsidRDefault="00737DE6" w:rsidP="00737DE6">
      <w:pPr>
        <w:shd w:val="clear" w:color="auto" w:fill="FFFFFF"/>
        <w:tabs>
          <w:tab w:val="left" w:pos="180"/>
        </w:tabs>
        <w:spacing w:after="0" w:line="240" w:lineRule="auto"/>
        <w:jc w:val="both"/>
        <w:rPr>
          <w:rFonts w:ascii="Arial" w:hAnsi="Arial" w:cs="Arial"/>
          <w:sz w:val="24"/>
          <w:szCs w:val="24"/>
        </w:rPr>
      </w:pPr>
      <w:r w:rsidRPr="00315335">
        <w:rPr>
          <w:rFonts w:ascii="Arial" w:hAnsi="Arial" w:cs="Arial"/>
          <w:sz w:val="24"/>
          <w:szCs w:val="24"/>
        </w:rPr>
        <w:tab/>
      </w:r>
      <w:r w:rsidRPr="00315335">
        <w:rPr>
          <w:rFonts w:ascii="Arial" w:hAnsi="Arial" w:cs="Arial"/>
          <w:sz w:val="24"/>
          <w:szCs w:val="24"/>
        </w:rPr>
        <w:tab/>
        <w:t xml:space="preserve">2000 - </w:t>
      </w:r>
      <w:r w:rsidRPr="00315335">
        <w:rPr>
          <w:rFonts w:ascii="Arial" w:hAnsi="Arial" w:cs="Arial"/>
          <w:i/>
          <w:sz w:val="24"/>
          <w:szCs w:val="24"/>
        </w:rPr>
        <w:t>Legea nr. 5/2000 pentru aprobarea Planului de amenajare a teritoriului naţional</w:t>
      </w:r>
      <w:r w:rsidRPr="00315335">
        <w:rPr>
          <w:rFonts w:ascii="Arial" w:hAnsi="Arial" w:cs="Arial"/>
          <w:sz w:val="24"/>
          <w:szCs w:val="24"/>
        </w:rPr>
        <w:t xml:space="preserve"> – secţiunea a III-a – zone protejate - rezervaţie naturală, cod 2260.</w:t>
      </w:r>
    </w:p>
    <w:p w:rsidR="00737DE6" w:rsidRPr="00315335" w:rsidRDefault="00737DE6" w:rsidP="00737DE6">
      <w:pPr>
        <w:shd w:val="clear" w:color="auto" w:fill="FFFFFF"/>
        <w:tabs>
          <w:tab w:val="left" w:pos="180"/>
        </w:tabs>
        <w:spacing w:after="0" w:line="240" w:lineRule="auto"/>
        <w:jc w:val="both"/>
        <w:rPr>
          <w:rFonts w:ascii="Arial" w:hAnsi="Arial" w:cs="Arial"/>
          <w:i/>
          <w:sz w:val="24"/>
          <w:szCs w:val="24"/>
          <w:u w:val="single"/>
        </w:rPr>
      </w:pPr>
      <w:r w:rsidRPr="00315335">
        <w:rPr>
          <w:rFonts w:ascii="Arial" w:hAnsi="Arial" w:cs="Arial"/>
          <w:i/>
          <w:sz w:val="24"/>
          <w:szCs w:val="24"/>
          <w:u w:val="single"/>
        </w:rPr>
        <w:t>Valori naturale protejate</w:t>
      </w:r>
    </w:p>
    <w:p w:rsidR="00737DE6" w:rsidRPr="00315335" w:rsidRDefault="00737DE6" w:rsidP="00737DE6">
      <w:pPr>
        <w:shd w:val="clear" w:color="auto" w:fill="FFFFFF"/>
        <w:tabs>
          <w:tab w:val="left" w:pos="180"/>
        </w:tabs>
        <w:spacing w:after="0" w:line="240" w:lineRule="auto"/>
        <w:jc w:val="both"/>
        <w:rPr>
          <w:rFonts w:ascii="Arial" w:hAnsi="Arial" w:cs="Arial"/>
          <w:sz w:val="24"/>
          <w:szCs w:val="24"/>
        </w:rPr>
      </w:pPr>
      <w:r w:rsidRPr="00315335">
        <w:rPr>
          <w:rFonts w:ascii="Arial" w:hAnsi="Arial" w:cs="Arial"/>
          <w:sz w:val="24"/>
          <w:szCs w:val="24"/>
        </w:rPr>
        <w:t>Rezervaţia este un lac eutrof, puţin adânc, cu vegetaţie tipică de baltă permanentă, cu asociaţii în care predomină stuful, papura şi pipirigul. Lacul asigură habitate de pasaj, hrănire, şi cuibărire pentru o serie de specii de păsări migratoare şi sedentare, de zonă umedă. Prezenţa unor habitate şi specii de interes comunitar a motivat includerea zonei în  aria de protecţie specială avifaunistică ROSPA0004 Balta Albă-Amara-Jirlău, precum şi în situl de importanţă comunitară ROSCI0005 Balta Albă-Amara-Jirlău-Lacul Sărat Câineni.</w:t>
      </w:r>
    </w:p>
    <w:p w:rsidR="00737DE6" w:rsidRPr="00315335" w:rsidRDefault="00737DE6" w:rsidP="00737DE6">
      <w:pPr>
        <w:pStyle w:val="Titlu3"/>
        <w:shd w:val="clear" w:color="auto" w:fill="FFFFFF"/>
        <w:tabs>
          <w:tab w:val="left" w:pos="180"/>
        </w:tabs>
        <w:spacing w:before="0" w:after="0"/>
        <w:jc w:val="both"/>
        <w:rPr>
          <w:rFonts w:ascii="Arial" w:hAnsi="Arial" w:cs="Arial"/>
          <w:sz w:val="24"/>
          <w:szCs w:val="24"/>
          <w:u w:val="single"/>
        </w:rPr>
      </w:pPr>
      <w:r w:rsidRPr="00315335">
        <w:rPr>
          <w:rFonts w:ascii="Arial" w:hAnsi="Arial" w:cs="Arial"/>
          <w:sz w:val="24"/>
          <w:szCs w:val="24"/>
          <w:u w:val="single"/>
        </w:rPr>
        <w:t>Starea ecosistemelor</w:t>
      </w:r>
    </w:p>
    <w:p w:rsidR="00737DE6" w:rsidRPr="00315335" w:rsidRDefault="00737DE6" w:rsidP="00737DE6">
      <w:pPr>
        <w:shd w:val="clear" w:color="auto" w:fill="FFFFFF"/>
        <w:spacing w:after="0" w:line="240" w:lineRule="auto"/>
        <w:jc w:val="both"/>
        <w:rPr>
          <w:rFonts w:ascii="Arial" w:hAnsi="Arial" w:cs="Arial"/>
          <w:sz w:val="24"/>
          <w:szCs w:val="24"/>
        </w:rPr>
      </w:pPr>
      <w:r w:rsidRPr="00315335">
        <w:rPr>
          <w:rFonts w:ascii="Arial" w:hAnsi="Arial" w:cs="Arial"/>
          <w:sz w:val="24"/>
          <w:szCs w:val="24"/>
        </w:rPr>
        <w:t xml:space="preserve">Ecosistemele din aria protejată nu au fost afectate de eroziunea antropică (depozitări de deşeuri pe malul lacului, păşunat sau vânătoare) în schimb seceta reduce coonsiderabil luciul de apă mai ales în perioadele calde ale anului. </w:t>
      </w:r>
    </w:p>
    <w:p w:rsidR="00737DE6" w:rsidRPr="00315335" w:rsidRDefault="00737DE6" w:rsidP="00737DE6">
      <w:pPr>
        <w:shd w:val="clear" w:color="auto" w:fill="FFFFFF"/>
        <w:spacing w:after="0" w:line="240" w:lineRule="auto"/>
        <w:jc w:val="both"/>
        <w:rPr>
          <w:rFonts w:ascii="Arial" w:hAnsi="Arial" w:cs="Arial"/>
          <w:b/>
          <w:bCs/>
          <w:sz w:val="24"/>
          <w:szCs w:val="24"/>
        </w:rPr>
      </w:pPr>
    </w:p>
    <w:p w:rsidR="00737DE6" w:rsidRPr="00315335" w:rsidRDefault="00737DE6" w:rsidP="00737DE6">
      <w:pPr>
        <w:shd w:val="clear" w:color="auto" w:fill="FFFFFF"/>
        <w:tabs>
          <w:tab w:val="left" w:leader="dot" w:pos="8640"/>
        </w:tabs>
        <w:spacing w:after="0" w:line="240" w:lineRule="auto"/>
        <w:jc w:val="both"/>
        <w:rPr>
          <w:rFonts w:ascii="Arial" w:hAnsi="Arial" w:cs="Arial"/>
          <w:b/>
          <w:bCs/>
          <w:sz w:val="24"/>
          <w:szCs w:val="24"/>
        </w:rPr>
      </w:pPr>
      <w:r w:rsidRPr="00315335">
        <w:rPr>
          <w:rFonts w:ascii="Arial" w:hAnsi="Arial" w:cs="Arial"/>
          <w:b/>
          <w:bCs/>
          <w:sz w:val="24"/>
          <w:szCs w:val="24"/>
        </w:rPr>
        <w:t xml:space="preserve">Arii naturale protejate de interes internaţional </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Potrivit OUG nr. 57/2007 privind regimul ariilor naturale protejate, conservarea habitatelor naturale, a florei şi faunei sălbatice, aprobată cu modificări şi completări prin Legea nr. 49/2011, cu completările ulterioare, ariile naturale protejate </w:t>
      </w:r>
      <w:r w:rsidRPr="00315335">
        <w:rPr>
          <w:rStyle w:val="tli1"/>
          <w:rFonts w:ascii="Arial" w:hAnsi="Arial" w:cs="Arial"/>
          <w:sz w:val="24"/>
          <w:szCs w:val="24"/>
        </w:rPr>
        <w:t>de interes internaţional sunt reprezentate prin situri naturale ale patrimoniului natural universal, geoparcuri, zone umede de importanţă internaţională, rezervaţii ale biosferei.</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Conform Convenţiei Ramsar prin care se protejează zonele umede de importanţă internaţională ca habitat al păsărilor  acvatice, convenţie la care România este parte semnatară, în anul 2001 teritoriul declarat Parcul Natural Balta Mică a Brăilei a fost declarată sit RAMSAR (poziţia 1074 pe lista Ramsar) sub denumirea de Insula Mică a Brăilei.</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Această zonă este bine cunoscută pentru importanţa ei ornitologică, deoarece se situează pe cel mai important culoar de migraţie al păsărilor din bazinul inferior al Dunării de Jos, la jumătatea rutelor de migraţie între locurile de cuibărit din nordul Europei şi refugiile de iernat din Africa. Au fost inventariate 207 specii de păsări, reprezentând jumătate din speciile de păsări migratoare caracteristice României, dintre care 169 de specii protejate pe plan internaţional, prin Convenţiile de la Berna, Bonn şi Ramsar. </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Măsurile de protecţie ce derivă din legislaţia referitoare la siturile RAMSAR sunt integrate planului de management pe care îl implementează Administraţia Parcului Natural Balta Mică a Brăilei.  </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În anul 2013 a fost declarat și situl Ramsar Dunărea Veche Brațul Măcin, (poziţia 2116 pe lista Ramsar) astfel încât județul Brăila contribuie semnificativ la conservarea păsărilor migratoare acvatice, pe teritoriul acestuia existând două din cele 12 situri desemnate în România. Acest sit  Ramsar are o suprafață totală de 26792ha  cuprinzând terenuri situate și în județele Tulcea și Constanța. Cu ecosisteme de râuri, lacuri, mlaștini, turbării, stepe, pajiști naturale, terenuri arabile cultivate, păduri de foioase situl asigură condiții de hrană, cuibărit și viețuire pentru mai multe specii de </w:t>
      </w:r>
      <w:hyperlink r:id="rId112" w:tooltip="Păsări migratoare" w:history="1">
        <w:r w:rsidRPr="00315335">
          <w:rPr>
            <w:rFonts w:ascii="Arial" w:hAnsi="Arial" w:cs="Arial"/>
            <w:sz w:val="24"/>
            <w:szCs w:val="24"/>
          </w:rPr>
          <w:t>păsări migratoare</w:t>
        </w:r>
      </w:hyperlink>
      <w:r w:rsidRPr="00315335">
        <w:rPr>
          <w:rFonts w:ascii="Arial" w:hAnsi="Arial" w:cs="Arial"/>
          <w:sz w:val="24"/>
          <w:szCs w:val="24"/>
        </w:rPr>
        <w:t>, de pasaj sau sedentare.</w:t>
      </w:r>
    </w:p>
    <w:p w:rsidR="00737DE6" w:rsidRPr="00315335" w:rsidRDefault="00737DE6" w:rsidP="00737DE6">
      <w:pPr>
        <w:shd w:val="clear" w:color="auto" w:fill="FFFFFF"/>
        <w:tabs>
          <w:tab w:val="left" w:leader="dot" w:pos="8640"/>
        </w:tabs>
        <w:spacing w:after="0" w:line="240" w:lineRule="auto"/>
        <w:jc w:val="both"/>
        <w:rPr>
          <w:rFonts w:ascii="Arial" w:hAnsi="Arial" w:cs="Arial"/>
          <w:b/>
          <w:bCs/>
          <w:sz w:val="24"/>
          <w:szCs w:val="24"/>
        </w:rPr>
      </w:pPr>
    </w:p>
    <w:p w:rsidR="00737DE6" w:rsidRPr="00315335" w:rsidRDefault="00737DE6" w:rsidP="00737DE6">
      <w:pPr>
        <w:shd w:val="clear" w:color="auto" w:fill="FFFFFF"/>
        <w:tabs>
          <w:tab w:val="left" w:leader="dot" w:pos="8640"/>
        </w:tabs>
        <w:spacing w:after="0" w:line="240" w:lineRule="auto"/>
        <w:jc w:val="both"/>
        <w:rPr>
          <w:rFonts w:ascii="Arial" w:hAnsi="Arial" w:cs="Arial"/>
          <w:b/>
          <w:bCs/>
          <w:sz w:val="24"/>
          <w:szCs w:val="24"/>
        </w:rPr>
      </w:pPr>
      <w:r w:rsidRPr="00315335">
        <w:rPr>
          <w:rFonts w:ascii="Arial" w:hAnsi="Arial" w:cs="Arial"/>
          <w:b/>
          <w:bCs/>
          <w:sz w:val="24"/>
          <w:szCs w:val="24"/>
        </w:rPr>
        <w:t xml:space="preserve">Arii naturale protejate, de interes comunitar </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Conform OUG nr. 57/2007 privind regimul ariilor naturale protejate, conservarea habitatelor naturale, a florei şi faunei sălbatice, aprobată cu modificări şi completări prin Legea nr. 49/2011, cu completările ulterioare, ariile naturale protejate de interes comunitar (siturile Natura 2000) sunt reprezentate prin ariile de protecţie specială avifaunistică, siturile de importanţă comunitară şi ariile speciale de conservare. Acestea formează reţeaua Natura 2000 creată la nivelul Uniunii Europene in vederea implementării Directivelor Habitate (Directiva CE 92/43 privind conservarea habitatelor naturale, a florei şi faunei sălbatice) şi Păsări (Directiva CE 2009/147 privind conservarea păsărilor sălbatice). Astfel, această reţea protejează habitatele naturale şi speciile de plante şi animale sălbatice vulnerabile, periclitate, rare sau endemice la nivel european.</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lastRenderedPageBreak/>
        <w:t>Ariile de protecţie specială avifaunistică (SPA) au drept scop conservarea, mentinerea şi, acolo unde este cazul, readucea într-o stare de conservare favorabilă a tuturor speciilor de păsări şi a habitatelor specifice. Desemnarea acestora în România s-a realizat prin H.G. nr. 1284/2007 cu modificările şi completările ulterioare și HG 663/2016 privind instituirea regimului de arie naturală protejată și declararea ariilor de protecţie specială avifaunistică ca parte integrantă a reţelei ecologice europene Natura 2000 în România.</w:t>
      </w:r>
    </w:p>
    <w:p w:rsidR="00737DE6" w:rsidRPr="00315335" w:rsidRDefault="00737DE6" w:rsidP="00737DE6">
      <w:pPr>
        <w:pStyle w:val="Indentcorptext2"/>
        <w:shd w:val="clear" w:color="auto" w:fill="FFFFFF"/>
        <w:spacing w:after="0" w:line="240" w:lineRule="auto"/>
        <w:ind w:left="0"/>
        <w:jc w:val="both"/>
        <w:rPr>
          <w:rFonts w:ascii="Arial" w:hAnsi="Arial" w:cs="Arial"/>
          <w:lang w:val="ro-RO" w:eastAsia="ro-RO"/>
        </w:rPr>
      </w:pPr>
    </w:p>
    <w:p w:rsidR="00737DE6" w:rsidRPr="00315335" w:rsidRDefault="00737DE6" w:rsidP="00737DE6">
      <w:pPr>
        <w:shd w:val="clear" w:color="auto" w:fill="FFFFFF"/>
        <w:spacing w:after="0" w:line="240" w:lineRule="auto"/>
        <w:ind w:firstLine="426"/>
        <w:jc w:val="both"/>
        <w:rPr>
          <w:rFonts w:ascii="Arial" w:hAnsi="Arial" w:cs="Arial"/>
          <w:sz w:val="24"/>
          <w:szCs w:val="24"/>
        </w:rPr>
      </w:pPr>
      <w:r w:rsidRPr="00315335">
        <w:rPr>
          <w:rFonts w:ascii="Arial" w:hAnsi="Arial" w:cs="Arial"/>
          <w:sz w:val="24"/>
          <w:szCs w:val="24"/>
        </w:rPr>
        <w:t xml:space="preserve">Astfel, pe teritoriul judeţului Brăila sunt desemnate 10 arii de protecţie specială avifaunistică, totalizând o suprafaţă de </w:t>
      </w:r>
      <w:smartTag w:uri="urn:schemas-microsoft-com:office:smarttags" w:element="metricconverter">
        <w:smartTagPr>
          <w:attr w:name="ProductID" w:val="59788,37 ha"/>
        </w:smartTagPr>
        <w:r w:rsidRPr="00315335">
          <w:rPr>
            <w:rFonts w:ascii="Arial" w:hAnsi="Arial" w:cs="Arial"/>
            <w:sz w:val="24"/>
            <w:szCs w:val="24"/>
          </w:rPr>
          <w:t>59788,37 ha</w:t>
        </w:r>
      </w:smartTag>
      <w:r w:rsidRPr="00315335">
        <w:rPr>
          <w:rFonts w:ascii="Arial" w:hAnsi="Arial" w:cs="Arial"/>
          <w:sz w:val="24"/>
          <w:szCs w:val="24"/>
        </w:rPr>
        <w:t xml:space="preserve"> şi reprezentând 12,54% din suprafaţa judeţului, aşa cum se poate observa în tabelul nr. V.2.1-2:</w:t>
      </w:r>
    </w:p>
    <w:p w:rsidR="00737DE6" w:rsidRPr="00315335" w:rsidRDefault="00737DE6" w:rsidP="00737DE6">
      <w:pPr>
        <w:pStyle w:val="Indentcorptext2"/>
        <w:spacing w:after="0" w:line="240" w:lineRule="auto"/>
        <w:ind w:left="0"/>
        <w:jc w:val="both"/>
        <w:rPr>
          <w:rFonts w:ascii="Arial" w:hAnsi="Arial" w:cs="Arial"/>
          <w:b/>
          <w:lang w:val="ro-RO" w:eastAsia="ro-RO"/>
        </w:rPr>
      </w:pPr>
      <w:r w:rsidRPr="00315335">
        <w:rPr>
          <w:rFonts w:ascii="Arial" w:hAnsi="Arial" w:cs="Arial"/>
          <w:b/>
        </w:rPr>
        <w:t>Tabel nr. V.2.1- 2</w:t>
      </w:r>
      <w:r w:rsidRPr="00315335">
        <w:rPr>
          <w:rFonts w:ascii="Arial" w:hAnsi="Arial" w:cs="Arial"/>
          <w:b/>
          <w:lang w:val="ro-RO" w:eastAsia="ro-RO"/>
        </w:rPr>
        <w:t>. - Arii de protecţie specială avifaunistică din judeţul Brăila</w:t>
      </w:r>
    </w:p>
    <w:p w:rsidR="00737DE6" w:rsidRPr="00315335" w:rsidRDefault="00737DE6" w:rsidP="00737DE6">
      <w:pPr>
        <w:pStyle w:val="Indentcorptext2"/>
        <w:spacing w:after="0" w:line="240" w:lineRule="auto"/>
        <w:ind w:left="0"/>
        <w:jc w:val="both"/>
        <w:rPr>
          <w:rStyle w:val="tpa1"/>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1E0" w:firstRow="1" w:lastRow="1" w:firstColumn="1" w:lastColumn="1" w:noHBand="0" w:noVBand="0"/>
      </w:tblPr>
      <w:tblGrid>
        <w:gridCol w:w="567"/>
        <w:gridCol w:w="1990"/>
        <w:gridCol w:w="1620"/>
        <w:gridCol w:w="1323"/>
        <w:gridCol w:w="1329"/>
        <w:gridCol w:w="3094"/>
      </w:tblGrid>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Nr. crt.</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Denumire</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Cod</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Suprafaţă totală a ariei</w:t>
            </w:r>
          </w:p>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(ha)</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b/>
                <w:lang w:val="es-ES"/>
              </w:rPr>
            </w:pPr>
            <w:r w:rsidRPr="00315335">
              <w:rPr>
                <w:rFonts w:ascii="Arial" w:hAnsi="Arial" w:cs="Arial"/>
                <w:b/>
                <w:lang w:val="es-ES"/>
              </w:rPr>
              <w:t>Suprafaţa (ha)</w:t>
            </w:r>
          </w:p>
          <w:p w:rsidR="00737DE6" w:rsidRPr="00315335" w:rsidRDefault="00737DE6" w:rsidP="00916B06">
            <w:pPr>
              <w:pStyle w:val="Indentcorptext2"/>
              <w:spacing w:after="0" w:line="240" w:lineRule="auto"/>
              <w:ind w:left="0"/>
              <w:rPr>
                <w:rFonts w:ascii="Arial" w:hAnsi="Arial" w:cs="Arial"/>
                <w:b/>
                <w:lang w:val="es-ES"/>
              </w:rPr>
            </w:pPr>
            <w:r w:rsidRPr="00315335">
              <w:rPr>
                <w:rFonts w:ascii="Arial" w:hAnsi="Arial" w:cs="Arial"/>
                <w:b/>
                <w:lang w:val="es-ES"/>
              </w:rPr>
              <w:t>la nivelul judeţului</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Unităţi administrativ teritoriale din judeţul Brăila în care este localizată aria</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lang w:val="it-IT" w:eastAsia="ro-RO"/>
              </w:rPr>
              <w:t>Balta Albă-Amara-Jirlău</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lang w:val="it-IT" w:eastAsia="ro-RO"/>
              </w:rPr>
              <w:t>ROSPA0004</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2023</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1213,8</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Galbenu, Gradiştea, Jirlău, Vişani</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2.</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Balta Mică a Brăilei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ROSPA0005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25856</w:t>
            </w:r>
          </w:p>
          <w:p w:rsidR="00737DE6" w:rsidRPr="00315335" w:rsidRDefault="00737DE6" w:rsidP="00916B06">
            <w:pPr>
              <w:pStyle w:val="Indentcorptext2"/>
              <w:spacing w:after="0" w:line="240" w:lineRule="auto"/>
              <w:ind w:left="0"/>
              <w:rPr>
                <w:rFonts w:ascii="Arial" w:hAnsi="Arial" w:cs="Arial"/>
              </w:rPr>
            </w:pP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24821,76</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Berteştii de Jos, Brăila, Chiscani, Gropeni, Măraşu, Stăncuţa</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3.</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Balta Tătaru</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ROSPA0006</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9981</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8583,66</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Bărăganul, Ciocile, Cireşu, Dudeşti, Roşiori, Ulmu, Însurăţei</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4.</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Dunărea Veche-Braţul Măcin</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ROSPA0040</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18759</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6228,05</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Frecăţei, Măraşu</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5.</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Ianca-Plopu-Sărat</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ROSPA0048</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1982</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1982</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lang w:val="pt-BR"/>
              </w:rPr>
            </w:pPr>
            <w:r w:rsidRPr="00315335">
              <w:rPr>
                <w:rFonts w:ascii="Arial" w:hAnsi="Arial" w:cs="Arial"/>
                <w:lang w:val="pt-BR"/>
              </w:rPr>
              <w:t>Ianca, Movila Miresii, Traian, Gemenele, Tudor Vladimirescu</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6.</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Lunca Siretului Inferior</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ROSPA0071</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36492</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1824,6</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Măxineni, Siliştea, Vădeni</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7.</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Măxineni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ROSPA0077</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1504</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1504</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Măxineni</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8.</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Berteştii de Sus - Gura Ialomiţei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ROSPA0111</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6890</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2962,7</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Berteştii de Jos, Victoria, Însurăţei</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9.</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Valea Călmăţuiului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ROSPA0145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20515</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10667,8</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Bordei Verde, Cireşu, Însurăţei, Surdila-Greci, Ulmu, Zăvoaia, Dudeşti</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10.</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Lunca Buzăului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ROSPA0160</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9575</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Făurei, Grădiştea, Jirlău, Racoviţa, Râmnicelu, Surdila-Greci, Şuţeşti, Vişani</w:t>
            </w:r>
          </w:p>
        </w:tc>
      </w:tr>
      <w:tr w:rsidR="00737DE6" w:rsidRPr="00315335" w:rsidTr="00916B0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p>
        </w:tc>
      </w:tr>
    </w:tbl>
    <w:p w:rsidR="00737DE6" w:rsidRPr="00315335" w:rsidRDefault="00737DE6" w:rsidP="00737DE6">
      <w:pPr>
        <w:pStyle w:val="Indentcorptext2"/>
        <w:spacing w:after="0" w:line="240" w:lineRule="auto"/>
        <w:ind w:left="0"/>
        <w:jc w:val="both"/>
        <w:rPr>
          <w:rFonts w:ascii="Arial" w:hAnsi="Arial" w:cs="Arial"/>
        </w:rPr>
      </w:pPr>
    </w:p>
    <w:p w:rsidR="00737DE6" w:rsidRPr="00315335" w:rsidRDefault="00737DE6" w:rsidP="00737DE6">
      <w:pPr>
        <w:spacing w:after="0" w:line="240" w:lineRule="auto"/>
        <w:jc w:val="both"/>
        <w:rPr>
          <w:rFonts w:ascii="Arial" w:hAnsi="Arial" w:cs="Arial"/>
          <w:i/>
          <w:sz w:val="24"/>
          <w:szCs w:val="24"/>
          <w:u w:val="single"/>
        </w:rPr>
      </w:pPr>
    </w:p>
    <w:p w:rsidR="00737DE6" w:rsidRPr="00315335" w:rsidRDefault="00737DE6" w:rsidP="00737DE6">
      <w:pPr>
        <w:shd w:val="clear" w:color="auto" w:fill="FFFFFF"/>
        <w:spacing w:after="0" w:line="240" w:lineRule="auto"/>
        <w:jc w:val="both"/>
        <w:rPr>
          <w:rFonts w:ascii="Arial" w:hAnsi="Arial" w:cs="Arial"/>
          <w:i/>
          <w:sz w:val="24"/>
          <w:szCs w:val="24"/>
          <w:u w:val="single"/>
        </w:rPr>
      </w:pP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Siturile de importanţă comunitară (SCI) reprezintă acele arii care, în regiunea sau în regiunile biogeografice în care există, contribuie semnificativ la menţinerea sau restaurarea la o stare de conservare favorabilă a habitatelor naturale sau a speciilor de interes comunitar şi care pot contribui astfel semnificativ la coerenţa reţelei "NATURA 2000" şi/sau contribuie semnificativ la menţinerea diversităţii biologice în regiunea ori regiunile biogeografice respective. Pentru speciile de animale cu areal larg de raspândire, siturile de importanţă comunitară ar trebui să corespundă zonelor din areal în care sunt prezenţi factori abiotici şi biotici esenţiali pentru existenţa şi reproducerea acestor specii.</w:t>
      </w:r>
    </w:p>
    <w:p w:rsidR="00737DE6" w:rsidRPr="00315335" w:rsidRDefault="00737DE6" w:rsidP="00737DE6">
      <w:pPr>
        <w:shd w:val="clear" w:color="auto" w:fill="FFFFFF"/>
        <w:spacing w:after="0" w:line="240" w:lineRule="auto"/>
        <w:ind w:firstLine="708"/>
        <w:jc w:val="both"/>
        <w:rPr>
          <w:rFonts w:ascii="Arial" w:hAnsi="Arial" w:cs="Arial"/>
          <w:sz w:val="24"/>
          <w:szCs w:val="24"/>
        </w:rPr>
      </w:pPr>
      <w:r w:rsidRPr="00315335">
        <w:rPr>
          <w:rFonts w:ascii="Arial" w:hAnsi="Arial" w:cs="Arial"/>
          <w:sz w:val="24"/>
          <w:szCs w:val="24"/>
        </w:rPr>
        <w:t xml:space="preserve">În România au fost desemnate prin Ord. M.M.D.D. nr. 1964/2007 privind instituirea regimului de arie naturală protejată a siturilor de importanţă comunitară, ca parte integrantă a reţelei ecologice europene Natura 2000 în România, cu modificările şi completările ulterioare - </w:t>
      </w:r>
      <w:r w:rsidRPr="00315335">
        <w:rPr>
          <w:rFonts w:ascii="Arial" w:hAnsi="Arial" w:cs="Arial"/>
          <w:sz w:val="24"/>
          <w:szCs w:val="24"/>
        </w:rPr>
        <w:lastRenderedPageBreak/>
        <w:t>Ord. MMP 2387/2011 și Ord. MMAP nr. 46/2016 privind instituirea regimului de arie naturală protejată şi declararea siturilor de importanţă comunitară ca parte integrantă a reţelei ecologice europene Natura 2000 în România, În baza recunoaşterii lor de către Comisia Europeană, siturile de importanţă comunitară vor fi declarate arii speciale de conservare prin hotărâre de guvern. Acestea au scopul de a conserva, menţine şi, acolo unde este cazul, de a readuce într-o stare de conservare favorabilă habitatele şi speciile de interes comunitar pentru care au fost desemnate.</w:t>
      </w:r>
    </w:p>
    <w:p w:rsidR="00737DE6" w:rsidRPr="00315335" w:rsidRDefault="00737DE6" w:rsidP="00737DE6">
      <w:pPr>
        <w:shd w:val="clear" w:color="auto" w:fill="FFFFFF"/>
        <w:spacing w:after="0" w:line="240" w:lineRule="auto"/>
        <w:ind w:firstLine="426"/>
        <w:jc w:val="both"/>
        <w:rPr>
          <w:rFonts w:ascii="Arial" w:hAnsi="Arial" w:cs="Arial"/>
          <w:sz w:val="24"/>
          <w:szCs w:val="24"/>
        </w:rPr>
      </w:pPr>
      <w:r w:rsidRPr="00315335">
        <w:rPr>
          <w:rFonts w:ascii="Arial" w:hAnsi="Arial" w:cs="Arial"/>
          <w:sz w:val="24"/>
          <w:szCs w:val="24"/>
        </w:rPr>
        <w:t xml:space="preserve">Pe teritoriul judeţului Brăila au fost declarate 9 situri de importanţă comunitară, totalizând o suprafaţă de </w:t>
      </w:r>
      <w:smartTag w:uri="urn:schemas-microsoft-com:office:smarttags" w:element="metricconverter">
        <w:smartTagPr>
          <w:attr w:name="ProductID" w:val="43318,74 ha"/>
        </w:smartTagPr>
        <w:r w:rsidRPr="00315335">
          <w:rPr>
            <w:rFonts w:ascii="Arial" w:hAnsi="Arial" w:cs="Arial"/>
            <w:sz w:val="24"/>
            <w:szCs w:val="24"/>
          </w:rPr>
          <w:t>43318,74 ha</w:t>
        </w:r>
      </w:smartTag>
      <w:r w:rsidRPr="00315335">
        <w:rPr>
          <w:rFonts w:ascii="Arial" w:hAnsi="Arial" w:cs="Arial"/>
          <w:sz w:val="24"/>
          <w:szCs w:val="24"/>
        </w:rPr>
        <w:t xml:space="preserve"> şi reprezentând 9,08% din suprafaţa judeţului, aşa cum se poate observa în tabelul nr. tabelul nr. V.2.1-3.:</w:t>
      </w:r>
    </w:p>
    <w:p w:rsidR="00737DE6" w:rsidRPr="00315335" w:rsidRDefault="00737DE6" w:rsidP="00737DE6">
      <w:pPr>
        <w:shd w:val="clear" w:color="auto" w:fill="FFFFFF"/>
        <w:spacing w:after="0" w:line="240" w:lineRule="auto"/>
        <w:jc w:val="both"/>
        <w:rPr>
          <w:rFonts w:ascii="Arial" w:hAnsi="Arial" w:cs="Arial"/>
          <w:sz w:val="24"/>
          <w:szCs w:val="24"/>
        </w:rPr>
      </w:pPr>
    </w:p>
    <w:p w:rsidR="00737DE6" w:rsidRPr="00315335" w:rsidRDefault="00737DE6" w:rsidP="00737DE6">
      <w:pPr>
        <w:pStyle w:val="Indentcorptext2"/>
        <w:spacing w:after="0" w:line="240" w:lineRule="auto"/>
        <w:ind w:left="0"/>
        <w:jc w:val="both"/>
        <w:rPr>
          <w:rStyle w:val="tpa1"/>
          <w:rFonts w:ascii="Arial" w:hAnsi="Arial" w:cs="Arial"/>
          <w:b/>
        </w:rPr>
      </w:pPr>
      <w:r w:rsidRPr="00315335">
        <w:rPr>
          <w:rFonts w:ascii="Arial" w:hAnsi="Arial" w:cs="Arial"/>
          <w:b/>
        </w:rPr>
        <w:t xml:space="preserve">Tabel nr. V.2.1- 3. - </w:t>
      </w:r>
      <w:r w:rsidRPr="00315335">
        <w:rPr>
          <w:rFonts w:ascii="Arial" w:hAnsi="Arial" w:cs="Arial"/>
          <w:b/>
          <w:lang w:eastAsia="ro-RO"/>
        </w:rPr>
        <w:t>Situri de importanţă comunitară din judeţul Brăila</w:t>
      </w:r>
    </w:p>
    <w:tbl>
      <w:tblPr>
        <w:tblW w:w="1005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1E0" w:firstRow="1" w:lastRow="1" w:firstColumn="1" w:lastColumn="1" w:noHBand="0" w:noVBand="0"/>
      </w:tblPr>
      <w:tblGrid>
        <w:gridCol w:w="658"/>
        <w:gridCol w:w="1610"/>
        <w:gridCol w:w="1512"/>
        <w:gridCol w:w="1281"/>
        <w:gridCol w:w="1313"/>
        <w:gridCol w:w="3677"/>
      </w:tblGrid>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Nr. crt.</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Denumire</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Cod</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Suprafaţă totală a sitului</w:t>
            </w:r>
          </w:p>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(ha)</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b/>
                <w:lang w:val="es-ES"/>
              </w:rPr>
            </w:pPr>
            <w:r w:rsidRPr="00315335">
              <w:rPr>
                <w:rFonts w:ascii="Arial" w:hAnsi="Arial" w:cs="Arial"/>
                <w:b/>
                <w:lang w:val="es-ES"/>
              </w:rPr>
              <w:t>Suprafaţa (ha)</w:t>
            </w:r>
          </w:p>
          <w:p w:rsidR="00737DE6" w:rsidRPr="00315335" w:rsidRDefault="00737DE6" w:rsidP="00916B06">
            <w:pPr>
              <w:pStyle w:val="Indentcorptext2"/>
              <w:spacing w:after="0" w:line="240" w:lineRule="auto"/>
              <w:ind w:left="0"/>
              <w:rPr>
                <w:rFonts w:ascii="Arial" w:hAnsi="Arial" w:cs="Arial"/>
                <w:b/>
                <w:lang w:val="es-ES"/>
              </w:rPr>
            </w:pPr>
            <w:r w:rsidRPr="00315335">
              <w:rPr>
                <w:rFonts w:ascii="Arial" w:hAnsi="Arial" w:cs="Arial"/>
                <w:b/>
                <w:lang w:val="es-ES"/>
              </w:rPr>
              <w:t xml:space="preserve">la nivelul judeţului </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b/>
              </w:rPr>
            </w:pPr>
            <w:r w:rsidRPr="00315335">
              <w:rPr>
                <w:rFonts w:ascii="Arial" w:hAnsi="Arial" w:cs="Arial"/>
                <w:b/>
              </w:rPr>
              <w:t>Unităţi administrativ teritoriale din judeţul Brăila în care este localizată aria</w:t>
            </w:r>
          </w:p>
        </w:tc>
      </w:tr>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lang w:eastAsia="ro-RO"/>
              </w:rPr>
              <w:t>Balta Albă-Amara-Jirlău</w:t>
            </w:r>
            <w:r w:rsidRPr="00315335">
              <w:rPr>
                <w:rStyle w:val="tpt1"/>
                <w:rFonts w:ascii="Arial" w:hAnsi="Arial" w:cs="Arial"/>
              </w:rPr>
              <w:t>-Lacul Sărat Câineni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lang w:val="it-IT" w:eastAsia="ro-RO"/>
              </w:rPr>
              <w:t>ROSCI0005</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6300</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2835</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Galbenu, Gradiştea, Jirlău, Vişani</w:t>
            </w:r>
          </w:p>
        </w:tc>
      </w:tr>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2.</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eastAsia="ro-RO"/>
              </w:rPr>
            </w:pPr>
            <w:r w:rsidRPr="00315335">
              <w:rPr>
                <w:rStyle w:val="tpt1"/>
                <w:rFonts w:ascii="Arial" w:hAnsi="Arial" w:cs="Arial"/>
                <w:lang w:val="it-IT"/>
              </w:rPr>
              <w:t>Balta Mică a Brăilei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ROSCI0006</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20872</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20872</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Berteştii de Jos, Brăila, Chiscani, Gropeni, Măraşu, Stăncuţa</w:t>
            </w:r>
          </w:p>
        </w:tc>
      </w:tr>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3.</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Style w:val="tpt1"/>
                <w:rFonts w:ascii="Arial" w:hAnsi="Arial" w:cs="Arial"/>
                <w:lang w:val="it-IT"/>
              </w:rPr>
            </w:pPr>
            <w:r w:rsidRPr="00315335">
              <w:rPr>
                <w:rFonts w:ascii="Arial" w:hAnsi="Arial" w:cs="Arial"/>
                <w:lang w:val="it-IT" w:eastAsia="ro-RO"/>
              </w:rPr>
              <w:t>Braţul Măcin</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ROSCI0012</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10235</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4503,4</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Frecăţei, Măraşu</w:t>
            </w:r>
          </w:p>
        </w:tc>
      </w:tr>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4.</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bCs/>
                <w:iCs/>
                <w:sz w:val="24"/>
                <w:szCs w:val="24"/>
              </w:rPr>
              <w:t>Lunca Buzăului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bCs/>
                <w:iCs/>
                <w:sz w:val="24"/>
                <w:szCs w:val="24"/>
              </w:rPr>
              <w:t>ROSCI0103</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9575</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978,18</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lang w:val="it-IT"/>
              </w:rPr>
            </w:pPr>
            <w:r w:rsidRPr="00315335">
              <w:rPr>
                <w:rFonts w:ascii="Arial" w:hAnsi="Arial" w:cs="Arial"/>
                <w:sz w:val="24"/>
                <w:szCs w:val="24"/>
                <w:lang w:val="it-IT"/>
              </w:rPr>
              <w:t>Făurei, Grădiştea, Jirlău, Racoviţa, Râmnicelu, Surdila-Greci, Şuţeşti,Vişani</w:t>
            </w:r>
          </w:p>
        </w:tc>
      </w:tr>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5.</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bCs/>
                <w:iCs/>
                <w:sz w:val="24"/>
                <w:szCs w:val="24"/>
              </w:rPr>
              <w:t>Lunca Siretului Inferior</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bCs/>
                <w:iCs/>
                <w:sz w:val="24"/>
                <w:szCs w:val="24"/>
              </w:rPr>
              <w:t>ROSCI0162</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25081</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1755,67</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Măxineni, Siliştea, Vădeni</w:t>
            </w:r>
          </w:p>
        </w:tc>
      </w:tr>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6.</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Valea Călmăţuiului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lang w:val="it-IT" w:eastAsia="ro-RO"/>
              </w:rPr>
            </w:pPr>
            <w:r w:rsidRPr="00315335">
              <w:rPr>
                <w:rFonts w:ascii="Arial" w:hAnsi="Arial" w:cs="Arial"/>
                <w:lang w:val="it-IT" w:eastAsia="ro-RO"/>
              </w:rPr>
              <w:t>ROSCI0259</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17923</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8603,04</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BordeiVerde, Cireşu, Însurăţei, Surdila-Greci, Ulmu, Zăvoaia</w:t>
            </w:r>
          </w:p>
        </w:tc>
      </w:tr>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7.</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bCs/>
                <w:iCs/>
                <w:sz w:val="24"/>
                <w:szCs w:val="24"/>
              </w:rPr>
              <w:t>Ianca - Plopu - Sărat - Comăneasca</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bCs/>
                <w:iCs/>
                <w:sz w:val="24"/>
                <w:szCs w:val="24"/>
              </w:rPr>
              <w:t>ROSCI0305</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3222</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3222</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lang w:val="pt-BR"/>
              </w:rPr>
            </w:pPr>
            <w:r w:rsidRPr="00315335">
              <w:rPr>
                <w:rFonts w:ascii="Arial" w:hAnsi="Arial" w:cs="Arial"/>
                <w:sz w:val="24"/>
                <w:szCs w:val="24"/>
                <w:lang w:val="pt-BR"/>
              </w:rPr>
              <w:t>Ianca, Movila Miresii, Romanu, Traian, Tudor Vladimirescu</w:t>
            </w:r>
          </w:p>
        </w:tc>
      </w:tr>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 xml:space="preserve"> 8.</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bCs/>
                <w:iCs/>
                <w:sz w:val="24"/>
                <w:szCs w:val="24"/>
              </w:rPr>
              <w:t>Lacul Sărat – Brăila</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bCs/>
                <w:iCs/>
                <w:sz w:val="24"/>
                <w:szCs w:val="24"/>
              </w:rPr>
              <w:t>ROSCI0307</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377</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377</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Brăila, Chiscani, Tichileşti</w:t>
            </w:r>
          </w:p>
        </w:tc>
      </w:tr>
      <w:tr w:rsidR="00737DE6" w:rsidRPr="00315335" w:rsidTr="00916B06">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9.</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lang w:val="it-IT"/>
              </w:rPr>
            </w:pPr>
            <w:r w:rsidRPr="00315335">
              <w:rPr>
                <w:rFonts w:ascii="Arial" w:hAnsi="Arial" w:cs="Arial"/>
                <w:bCs/>
                <w:iCs/>
                <w:sz w:val="24"/>
                <w:szCs w:val="24"/>
                <w:lang w:val="it-IT"/>
              </w:rPr>
              <w:t>Sărăturile de la Gura Ialomiţei - Mihai Bravu</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bCs/>
                <w:iCs/>
                <w:sz w:val="24"/>
                <w:szCs w:val="24"/>
              </w:rPr>
              <w:t>ROSCI0389</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3449</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pStyle w:val="Indentcorptext2"/>
              <w:spacing w:after="0" w:line="240" w:lineRule="auto"/>
              <w:ind w:left="0"/>
              <w:rPr>
                <w:rFonts w:ascii="Arial" w:hAnsi="Arial" w:cs="Arial"/>
              </w:rPr>
            </w:pPr>
            <w:r w:rsidRPr="00315335">
              <w:rPr>
                <w:rFonts w:ascii="Arial" w:hAnsi="Arial" w:cs="Arial"/>
              </w:rPr>
              <w:t>172,45</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7DE6" w:rsidRPr="00315335" w:rsidRDefault="00737DE6" w:rsidP="00916B06">
            <w:pPr>
              <w:rPr>
                <w:rFonts w:ascii="Arial" w:hAnsi="Arial" w:cs="Arial"/>
                <w:sz w:val="24"/>
                <w:szCs w:val="24"/>
              </w:rPr>
            </w:pPr>
            <w:r w:rsidRPr="00315335">
              <w:rPr>
                <w:rFonts w:ascii="Arial" w:hAnsi="Arial" w:cs="Arial"/>
                <w:sz w:val="24"/>
                <w:szCs w:val="24"/>
              </w:rPr>
              <w:t>Berteştii de Jos, Victoria</w:t>
            </w:r>
          </w:p>
        </w:tc>
      </w:tr>
    </w:tbl>
    <w:p w:rsidR="00737DE6" w:rsidRPr="00315335" w:rsidRDefault="00737DE6" w:rsidP="00737DE6">
      <w:pPr>
        <w:pStyle w:val="Indentcorptext2"/>
        <w:shd w:val="clear" w:color="auto" w:fill="FFFFFF"/>
        <w:tabs>
          <w:tab w:val="left" w:pos="1080"/>
        </w:tabs>
        <w:spacing w:after="0" w:line="240" w:lineRule="auto"/>
        <w:ind w:left="990"/>
        <w:jc w:val="both"/>
        <w:rPr>
          <w:rStyle w:val="tpt1"/>
          <w:rFonts w:ascii="Arial" w:hAnsi="Arial" w:cs="Arial"/>
        </w:rPr>
      </w:pPr>
    </w:p>
    <w:p w:rsidR="00737DE6" w:rsidRPr="00315335" w:rsidRDefault="00737DE6" w:rsidP="00737DE6">
      <w:pPr>
        <w:pStyle w:val="Indentcorptext2"/>
        <w:shd w:val="clear" w:color="auto" w:fill="FFFFFF"/>
        <w:spacing w:after="0" w:line="240" w:lineRule="auto"/>
        <w:ind w:left="0"/>
        <w:jc w:val="both"/>
        <w:rPr>
          <w:rFonts w:ascii="Arial" w:hAnsi="Arial" w:cs="Arial"/>
          <w:b/>
        </w:rPr>
      </w:pPr>
      <w:r w:rsidRPr="00315335">
        <w:rPr>
          <w:rFonts w:ascii="Arial" w:hAnsi="Arial" w:cs="Arial"/>
          <w:b/>
        </w:rPr>
        <w:t>Managementul ariilor naturale protejate</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 xml:space="preserve">Conform OUG 57/2007 cu modificările ulterioare, administrarea ariilor naturale protejate se asigură prin structuri de administrare special constituite sau persoane fizice și juridice care au calitatea de custode. </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lastRenderedPageBreak/>
        <w:t xml:space="preserve">Conform </w:t>
      </w:r>
      <w:r w:rsidRPr="00315335">
        <w:rPr>
          <w:rFonts w:ascii="Arial" w:hAnsi="Arial" w:cs="Arial"/>
          <w:i/>
          <w:sz w:val="24"/>
          <w:szCs w:val="24"/>
          <w:shd w:val="clear" w:color="auto" w:fill="FFFFFF"/>
        </w:rPr>
        <w:t xml:space="preserve">Ord. MMSC nr. 1447/2017 privind aprobarea </w:t>
      </w:r>
      <w:hyperlink r:id="rId113" w:history="1">
        <w:r w:rsidRPr="00315335">
          <w:rPr>
            <w:rFonts w:ascii="Arial" w:hAnsi="Arial" w:cs="Arial"/>
            <w:i/>
            <w:sz w:val="24"/>
            <w:szCs w:val="24"/>
            <w:shd w:val="clear" w:color="auto" w:fill="FFFFFF"/>
          </w:rPr>
          <w:t>Metodologiei de atribuire a administrării şi a custodiei ariilor naturale protejate</w:t>
        </w:r>
      </w:hyperlink>
      <w:r w:rsidRPr="00315335">
        <w:rPr>
          <w:rFonts w:ascii="Arial" w:hAnsi="Arial" w:cs="Arial"/>
          <w:bCs/>
          <w:sz w:val="24"/>
          <w:szCs w:val="24"/>
          <w:lang w:val="en-US"/>
        </w:rPr>
        <w:t xml:space="preserve">, </w:t>
      </w:r>
      <w:r w:rsidRPr="00315335">
        <w:rPr>
          <w:rFonts w:ascii="Arial" w:hAnsi="Arial" w:cs="Arial"/>
          <w:sz w:val="24"/>
          <w:szCs w:val="24"/>
          <w:shd w:val="clear" w:color="auto" w:fill="FFFFFF"/>
        </w:rPr>
        <w:t>autoritatea responsabilă pentru atribuirea în administrare/custodie este Agenţia Naţională pentru Arii Naturale Protejate care a devenit funcțională din semestrul al II lea al anului 2017.</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În județul Brăila, din 26 arii protejate, un număr de13 arii au fost atribuite în administrare (conform tabelului nr. V.2.1-4): două arii de interes naţional, 9 arii de interes comunitar, o arie de interes internaţional și o arie de interes județean, existând 5 administratori (o structură de administrare și 4 custozi).</w:t>
      </w:r>
    </w:p>
    <w:p w:rsidR="00737DE6" w:rsidRPr="00315335" w:rsidRDefault="00737DE6" w:rsidP="00737DE6">
      <w:pPr>
        <w:pStyle w:val="Subsol"/>
        <w:shd w:val="clear" w:color="auto" w:fill="FFFFFF"/>
        <w:jc w:val="both"/>
        <w:rPr>
          <w:rFonts w:ascii="Arial" w:hAnsi="Arial" w:cs="Arial"/>
          <w:b/>
          <w:sz w:val="24"/>
          <w:szCs w:val="24"/>
        </w:rPr>
      </w:pPr>
      <w:r w:rsidRPr="00315335">
        <w:rPr>
          <w:rFonts w:ascii="Arial" w:hAnsi="Arial" w:cs="Arial"/>
          <w:b/>
          <w:sz w:val="24"/>
          <w:szCs w:val="24"/>
        </w:rPr>
        <w:t>Tabel nr. V.2.1- 4- Asigurarea managementului ariilor naturale protejate din judeţul Brăila</w:t>
      </w:r>
    </w:p>
    <w:p w:rsidR="00737DE6" w:rsidRPr="00315335" w:rsidRDefault="00737DE6" w:rsidP="00737DE6">
      <w:pPr>
        <w:pStyle w:val="Subsol"/>
        <w:shd w:val="clear" w:color="auto" w:fill="FFFFFF"/>
        <w:jc w:val="both"/>
        <w:rPr>
          <w:rFonts w:ascii="Arial" w:hAnsi="Arial" w:cs="Arial"/>
          <w:b/>
          <w:sz w:val="24"/>
          <w:szCs w:val="24"/>
        </w:rPr>
      </w:pPr>
      <w:r w:rsidRPr="00315335">
        <w:rPr>
          <w:rFonts w:ascii="Arial" w:hAnsi="Arial" w:cs="Arial"/>
          <w:b/>
          <w:sz w:val="24"/>
          <w:szCs w:val="24"/>
        </w:rPr>
        <w:t>Legendă:</w:t>
      </w:r>
    </w:p>
    <w:p w:rsidR="00737DE6" w:rsidRPr="00315335" w:rsidRDefault="00737DE6" w:rsidP="00737DE6">
      <w:pPr>
        <w:shd w:val="clear" w:color="auto" w:fill="FFFFFF"/>
        <w:spacing w:after="0" w:line="240" w:lineRule="auto"/>
        <w:ind w:left="708"/>
        <w:rPr>
          <w:rFonts w:ascii="Arial" w:hAnsi="Arial" w:cs="Arial"/>
          <w:sz w:val="24"/>
          <w:szCs w:val="24"/>
        </w:rPr>
      </w:pPr>
      <w:r w:rsidRPr="00315335">
        <w:rPr>
          <w:rFonts w:ascii="Arial" w:hAnsi="Arial" w:cs="Arial"/>
          <w:b/>
          <w:sz w:val="24"/>
          <w:szCs w:val="24"/>
        </w:rPr>
        <w:t xml:space="preserve">ROSPA </w:t>
      </w:r>
      <w:r w:rsidRPr="00315335">
        <w:rPr>
          <w:rFonts w:ascii="Arial" w:hAnsi="Arial" w:cs="Arial"/>
          <w:sz w:val="24"/>
          <w:szCs w:val="24"/>
        </w:rPr>
        <w:t xml:space="preserve"> =  arie de protecție specială avifaunistică,  </w:t>
      </w:r>
      <w:r w:rsidRPr="00315335">
        <w:rPr>
          <w:rFonts w:ascii="Arial" w:hAnsi="Arial" w:cs="Arial"/>
          <w:bCs/>
          <w:sz w:val="24"/>
          <w:szCs w:val="24"/>
        </w:rPr>
        <w:t>parte integrantă a reţelei ecologice europene Natura 2000 în România</w:t>
      </w:r>
    </w:p>
    <w:p w:rsidR="00737DE6" w:rsidRPr="00315335" w:rsidRDefault="00737DE6" w:rsidP="00737DE6">
      <w:pPr>
        <w:shd w:val="clear" w:color="auto" w:fill="FFFFFF"/>
        <w:spacing w:after="0" w:line="240" w:lineRule="auto"/>
        <w:ind w:left="708"/>
        <w:rPr>
          <w:rFonts w:ascii="Arial" w:hAnsi="Arial" w:cs="Arial"/>
          <w:sz w:val="24"/>
          <w:szCs w:val="24"/>
        </w:rPr>
      </w:pPr>
      <w:r w:rsidRPr="00315335">
        <w:rPr>
          <w:rFonts w:ascii="Arial" w:hAnsi="Arial" w:cs="Arial"/>
          <w:b/>
          <w:sz w:val="24"/>
          <w:szCs w:val="24"/>
        </w:rPr>
        <w:t>ROSCI</w:t>
      </w:r>
      <w:r w:rsidRPr="00315335">
        <w:rPr>
          <w:rFonts w:ascii="Arial" w:hAnsi="Arial" w:cs="Arial"/>
          <w:sz w:val="24"/>
          <w:szCs w:val="24"/>
        </w:rPr>
        <w:t xml:space="preserve"> =  sit de importanță comunitară,  </w:t>
      </w:r>
      <w:r w:rsidRPr="00315335">
        <w:rPr>
          <w:rFonts w:ascii="Arial" w:hAnsi="Arial" w:cs="Arial"/>
          <w:bCs/>
          <w:sz w:val="24"/>
          <w:szCs w:val="24"/>
        </w:rPr>
        <w:t>parte integrantă a reţelei ecologice europene Natura 2000 în România</w:t>
      </w:r>
    </w:p>
    <w:tbl>
      <w:tblPr>
        <w:tblpPr w:leftFromText="180" w:rightFromText="180" w:vertAnchor="text" w:horzAnchor="margin" w:tblpXSpec="center" w:tblpY="60"/>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3206"/>
        <w:gridCol w:w="1941"/>
        <w:gridCol w:w="2216"/>
        <w:gridCol w:w="2006"/>
      </w:tblGrid>
      <w:tr w:rsidR="00737DE6" w:rsidRPr="00315335" w:rsidTr="00916B06">
        <w:tc>
          <w:tcPr>
            <w:tcW w:w="542" w:type="dxa"/>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Nr. crt.</w:t>
            </w:r>
          </w:p>
        </w:tc>
        <w:tc>
          <w:tcPr>
            <w:tcW w:w="3206" w:type="dxa"/>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Denumirea ariei naturale protejate și categoria</w:t>
            </w:r>
          </w:p>
        </w:tc>
        <w:tc>
          <w:tcPr>
            <w:tcW w:w="1941" w:type="dxa"/>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Stadiul elaborării regulamentului</w:t>
            </w:r>
          </w:p>
        </w:tc>
        <w:tc>
          <w:tcPr>
            <w:tcW w:w="2216" w:type="dxa"/>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Stadiul elaborării planului de management</w:t>
            </w:r>
          </w:p>
        </w:tc>
        <w:tc>
          <w:tcPr>
            <w:tcW w:w="2006" w:type="dxa"/>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Administrator / Custode</w:t>
            </w:r>
          </w:p>
        </w:tc>
      </w:tr>
      <w:tr w:rsidR="00737DE6" w:rsidRPr="00315335" w:rsidTr="00916B06">
        <w:tc>
          <w:tcPr>
            <w:tcW w:w="542" w:type="dxa"/>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w:t>
            </w:r>
          </w:p>
        </w:tc>
        <w:tc>
          <w:tcPr>
            <w:tcW w:w="3206" w:type="dxa"/>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 xml:space="preserve">ROSPA0005 </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 xml:space="preserve">Balta Mică a Brăilei </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rPr>
            </w:pPr>
          </w:p>
        </w:tc>
        <w:tc>
          <w:tcPr>
            <w:tcW w:w="1941"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HG 538/2011</w:t>
            </w:r>
          </w:p>
        </w:tc>
        <w:tc>
          <w:tcPr>
            <w:tcW w:w="2216"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HG 538/2011</w:t>
            </w:r>
          </w:p>
        </w:tc>
        <w:tc>
          <w:tcPr>
            <w:tcW w:w="2006" w:type="dxa"/>
            <w:vMerge w:val="restart"/>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p>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Administraţia  PNBMB</w:t>
            </w:r>
          </w:p>
          <w:p w:rsidR="00737DE6" w:rsidRPr="00315335" w:rsidRDefault="00737DE6" w:rsidP="00916B06">
            <w:pPr>
              <w:shd w:val="clear" w:color="auto" w:fill="FFFFFF"/>
              <w:spacing w:after="0" w:line="240" w:lineRule="auto"/>
              <w:jc w:val="center"/>
              <w:rPr>
                <w:rFonts w:ascii="Arial" w:hAnsi="Arial" w:cs="Arial"/>
                <w:b/>
                <w:sz w:val="24"/>
                <w:szCs w:val="24"/>
              </w:rPr>
            </w:pPr>
          </w:p>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Direcția Silvică Brăila</w:t>
            </w:r>
          </w:p>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Regia Națională a Pădurilor Romsilva</w:t>
            </w:r>
          </w:p>
          <w:p w:rsidR="00737DE6" w:rsidRPr="00315335" w:rsidRDefault="00737DE6" w:rsidP="00916B06">
            <w:pPr>
              <w:shd w:val="clear" w:color="auto" w:fill="FFFFFF"/>
              <w:spacing w:after="0" w:line="240" w:lineRule="auto"/>
              <w:jc w:val="center"/>
              <w:rPr>
                <w:rFonts w:ascii="Arial" w:hAnsi="Arial" w:cs="Arial"/>
                <w:b/>
                <w:sz w:val="24"/>
                <w:szCs w:val="24"/>
              </w:rPr>
            </w:pPr>
          </w:p>
          <w:p w:rsidR="00737DE6" w:rsidRPr="00315335" w:rsidRDefault="00737DE6" w:rsidP="00916B06">
            <w:pPr>
              <w:shd w:val="clear" w:color="auto" w:fill="FFFFFF"/>
              <w:spacing w:after="0" w:line="240" w:lineRule="auto"/>
              <w:jc w:val="center"/>
              <w:rPr>
                <w:rFonts w:ascii="Arial" w:hAnsi="Arial" w:cs="Arial"/>
                <w:b/>
                <w:sz w:val="24"/>
                <w:szCs w:val="24"/>
              </w:rPr>
            </w:pPr>
          </w:p>
          <w:p w:rsidR="00737DE6" w:rsidRPr="00315335" w:rsidRDefault="00737DE6" w:rsidP="00916B06">
            <w:pPr>
              <w:shd w:val="clear" w:color="auto" w:fill="FFFFFF"/>
              <w:spacing w:after="0" w:line="240" w:lineRule="auto"/>
              <w:jc w:val="center"/>
              <w:rPr>
                <w:rFonts w:ascii="Arial" w:hAnsi="Arial" w:cs="Arial"/>
                <w:b/>
                <w:sz w:val="24"/>
                <w:szCs w:val="24"/>
              </w:rPr>
            </w:pPr>
          </w:p>
        </w:tc>
      </w:tr>
      <w:tr w:rsidR="00737DE6" w:rsidRPr="00315335" w:rsidTr="00916B06">
        <w:tc>
          <w:tcPr>
            <w:tcW w:w="542" w:type="dxa"/>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2</w:t>
            </w:r>
          </w:p>
        </w:tc>
        <w:tc>
          <w:tcPr>
            <w:tcW w:w="3206" w:type="dxa"/>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b/>
                <w:sz w:val="24"/>
                <w:szCs w:val="24"/>
              </w:rPr>
              <w:t xml:space="preserve">Parcul Natural Balta Mică a Brăilei </w:t>
            </w:r>
            <w:r w:rsidRPr="00315335">
              <w:rPr>
                <w:rFonts w:ascii="Arial" w:hAnsi="Arial" w:cs="Arial"/>
                <w:sz w:val="24"/>
                <w:szCs w:val="24"/>
              </w:rPr>
              <w:t>(PNBMB)</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lang w:val="it-IT"/>
              </w:rPr>
              <w:t>inclus în ROSPA0005</w:t>
            </w:r>
          </w:p>
        </w:tc>
        <w:tc>
          <w:tcPr>
            <w:tcW w:w="1941"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HG 538/2011</w:t>
            </w:r>
          </w:p>
        </w:tc>
        <w:tc>
          <w:tcPr>
            <w:tcW w:w="2216"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HG 538/2011</w:t>
            </w:r>
          </w:p>
        </w:tc>
        <w:tc>
          <w:tcPr>
            <w:tcW w:w="2006" w:type="dxa"/>
            <w:vMerge/>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p>
        </w:tc>
      </w:tr>
      <w:tr w:rsidR="00737DE6" w:rsidRPr="00315335" w:rsidTr="00916B06">
        <w:tc>
          <w:tcPr>
            <w:tcW w:w="542" w:type="dxa"/>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3</w:t>
            </w:r>
          </w:p>
        </w:tc>
        <w:tc>
          <w:tcPr>
            <w:tcW w:w="3206" w:type="dxa"/>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Insula Mică a Brăilei</w:t>
            </w: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Zonă umedă de importanţă internaţională-</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Sit Ramsar 1074</w:t>
            </w:r>
          </w:p>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rPr>
              <w:t>Se suprapune cu PNBMB</w:t>
            </w:r>
          </w:p>
        </w:tc>
        <w:tc>
          <w:tcPr>
            <w:tcW w:w="1941"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HG 538/2011</w:t>
            </w:r>
          </w:p>
        </w:tc>
        <w:tc>
          <w:tcPr>
            <w:tcW w:w="2216"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HG 538/2011</w:t>
            </w:r>
          </w:p>
        </w:tc>
        <w:tc>
          <w:tcPr>
            <w:tcW w:w="2006" w:type="dxa"/>
            <w:vMerge/>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p>
        </w:tc>
      </w:tr>
      <w:tr w:rsidR="00737DE6" w:rsidRPr="00315335" w:rsidTr="00916B06">
        <w:tc>
          <w:tcPr>
            <w:tcW w:w="542"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4</w:t>
            </w:r>
          </w:p>
        </w:tc>
        <w:tc>
          <w:tcPr>
            <w:tcW w:w="3206"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ROSCI0006</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Balta Mică a Brăilei</w:t>
            </w:r>
          </w:p>
          <w:p w:rsidR="00737DE6" w:rsidRPr="00315335" w:rsidRDefault="00737DE6" w:rsidP="00916B06">
            <w:pPr>
              <w:shd w:val="clear" w:color="auto" w:fill="FFFFFF"/>
              <w:spacing w:after="0" w:line="240" w:lineRule="auto"/>
              <w:rPr>
                <w:rFonts w:ascii="Arial" w:hAnsi="Arial" w:cs="Arial"/>
                <w:sz w:val="24"/>
                <w:szCs w:val="24"/>
                <w:lang w:val="it-IT"/>
              </w:rPr>
            </w:pP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lang w:val="it-IT"/>
              </w:rPr>
              <w:t>inclusă în ROSPA0005</w:t>
            </w:r>
          </w:p>
        </w:tc>
        <w:tc>
          <w:tcPr>
            <w:tcW w:w="1941"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HG 538/2011</w:t>
            </w:r>
          </w:p>
        </w:tc>
        <w:tc>
          <w:tcPr>
            <w:tcW w:w="221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HG 538/2011</w:t>
            </w:r>
          </w:p>
        </w:tc>
        <w:tc>
          <w:tcPr>
            <w:tcW w:w="2006" w:type="dxa"/>
            <w:vMerge/>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p>
        </w:tc>
      </w:tr>
      <w:tr w:rsidR="00737DE6" w:rsidRPr="00315335" w:rsidTr="00916B06">
        <w:tc>
          <w:tcPr>
            <w:tcW w:w="542"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5</w:t>
            </w:r>
          </w:p>
        </w:tc>
        <w:tc>
          <w:tcPr>
            <w:tcW w:w="3206"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ROSPA0071</w:t>
            </w: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b/>
                <w:sz w:val="24"/>
                <w:szCs w:val="24"/>
              </w:rPr>
              <w:t>Lunca Siretului Inferior</w:t>
            </w:r>
          </w:p>
        </w:tc>
        <w:tc>
          <w:tcPr>
            <w:tcW w:w="1941"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lang w:val="fr-FR"/>
              </w:rPr>
              <w:t xml:space="preserve">Ord. MMAP </w:t>
            </w:r>
            <w:r w:rsidRPr="00315335">
              <w:rPr>
                <w:rFonts w:ascii="Arial" w:hAnsi="Arial" w:cs="Arial"/>
                <w:sz w:val="24"/>
                <w:szCs w:val="24"/>
              </w:rPr>
              <w:t>949/19.05.2016</w:t>
            </w:r>
          </w:p>
        </w:tc>
        <w:tc>
          <w:tcPr>
            <w:tcW w:w="2216"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lang w:val="fr-FR"/>
              </w:rPr>
              <w:t xml:space="preserve">Ord. MMAP </w:t>
            </w:r>
            <w:r w:rsidRPr="00315335">
              <w:rPr>
                <w:rFonts w:ascii="Arial" w:hAnsi="Arial" w:cs="Arial"/>
                <w:sz w:val="24"/>
                <w:szCs w:val="24"/>
              </w:rPr>
              <w:t>949/19.05.2016</w:t>
            </w:r>
          </w:p>
        </w:tc>
        <w:tc>
          <w:tcPr>
            <w:tcW w:w="2006" w:type="dxa"/>
            <w:vMerge w:val="restart"/>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Asociaţia pentru Conservarea Diversităţii Biologice</w:t>
            </w:r>
          </w:p>
          <w:p w:rsidR="00737DE6" w:rsidRPr="00315335" w:rsidRDefault="00737DE6" w:rsidP="00916B06">
            <w:pPr>
              <w:shd w:val="clear" w:color="auto" w:fill="FFFFFF"/>
              <w:spacing w:after="0" w:line="240" w:lineRule="auto"/>
              <w:jc w:val="center"/>
              <w:rPr>
                <w:rFonts w:ascii="Arial" w:hAnsi="Arial" w:cs="Arial"/>
                <w:b/>
                <w:sz w:val="24"/>
                <w:szCs w:val="24"/>
              </w:rPr>
            </w:pPr>
          </w:p>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Focșani</w:t>
            </w:r>
          </w:p>
        </w:tc>
      </w:tr>
      <w:tr w:rsidR="00737DE6" w:rsidRPr="00315335" w:rsidTr="00916B06">
        <w:trPr>
          <w:trHeight w:val="1386"/>
        </w:trPr>
        <w:tc>
          <w:tcPr>
            <w:tcW w:w="542"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6</w:t>
            </w:r>
          </w:p>
        </w:tc>
        <w:tc>
          <w:tcPr>
            <w:tcW w:w="3206"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b/>
                <w:bCs/>
                <w:iCs/>
                <w:sz w:val="24"/>
                <w:szCs w:val="24"/>
              </w:rPr>
            </w:pPr>
            <w:r w:rsidRPr="00315335">
              <w:rPr>
                <w:rFonts w:ascii="Arial" w:hAnsi="Arial" w:cs="Arial"/>
                <w:b/>
                <w:bCs/>
                <w:iCs/>
                <w:sz w:val="24"/>
                <w:szCs w:val="24"/>
              </w:rPr>
              <w:t>ROSCI0162</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Lunca Siretului Inferior</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Inclusă în ROSPA 0071</w:t>
            </w:r>
          </w:p>
          <w:p w:rsidR="00737DE6" w:rsidRPr="00315335" w:rsidRDefault="00737DE6" w:rsidP="00916B06">
            <w:pPr>
              <w:shd w:val="clear" w:color="auto" w:fill="FFFFFF"/>
              <w:spacing w:after="0" w:line="240" w:lineRule="auto"/>
              <w:rPr>
                <w:rFonts w:ascii="Arial" w:hAnsi="Arial" w:cs="Arial"/>
                <w:sz w:val="24"/>
                <w:szCs w:val="24"/>
              </w:rPr>
            </w:pPr>
          </w:p>
        </w:tc>
        <w:tc>
          <w:tcPr>
            <w:tcW w:w="1941"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elaborat,</w:t>
            </w:r>
          </w:p>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lang w:val="fr-FR"/>
              </w:rPr>
              <w:t xml:space="preserve">Ord. MMAP </w:t>
            </w:r>
            <w:r w:rsidRPr="00315335">
              <w:rPr>
                <w:rFonts w:ascii="Arial" w:hAnsi="Arial" w:cs="Arial"/>
                <w:sz w:val="24"/>
                <w:szCs w:val="24"/>
              </w:rPr>
              <w:t>949/19.05.2016</w:t>
            </w:r>
          </w:p>
        </w:tc>
        <w:tc>
          <w:tcPr>
            <w:tcW w:w="221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lang w:val="fr-FR"/>
              </w:rPr>
            </w:pPr>
            <w:r w:rsidRPr="00315335">
              <w:rPr>
                <w:rFonts w:ascii="Arial" w:hAnsi="Arial" w:cs="Arial"/>
                <w:sz w:val="24"/>
                <w:szCs w:val="24"/>
                <w:lang w:val="fr-FR"/>
              </w:rPr>
              <w:t>Ord. MMAP 949/19.05.2016</w:t>
            </w:r>
          </w:p>
        </w:tc>
        <w:tc>
          <w:tcPr>
            <w:tcW w:w="2006" w:type="dxa"/>
            <w:vMerge/>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p>
        </w:tc>
      </w:tr>
      <w:tr w:rsidR="00737DE6" w:rsidRPr="00315335" w:rsidTr="00916B06">
        <w:trPr>
          <w:trHeight w:val="727"/>
        </w:trPr>
        <w:tc>
          <w:tcPr>
            <w:tcW w:w="542" w:type="dxa"/>
            <w:tcBorders>
              <w:top w:val="single" w:sz="18" w:space="0" w:color="auto"/>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7</w:t>
            </w:r>
          </w:p>
        </w:tc>
        <w:tc>
          <w:tcPr>
            <w:tcW w:w="3206" w:type="dxa"/>
            <w:tcBorders>
              <w:top w:val="single" w:sz="18" w:space="0" w:color="auto"/>
              <w:bottom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ROSPA0077</w:t>
            </w: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b/>
                <w:sz w:val="24"/>
                <w:szCs w:val="24"/>
              </w:rPr>
              <w:t>Măxineni</w:t>
            </w:r>
          </w:p>
        </w:tc>
        <w:tc>
          <w:tcPr>
            <w:tcW w:w="1941" w:type="dxa"/>
            <w:tcBorders>
              <w:top w:val="single" w:sz="1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Ord. MMAP 1221/29.06.2016</w:t>
            </w:r>
          </w:p>
        </w:tc>
        <w:tc>
          <w:tcPr>
            <w:tcW w:w="2216" w:type="dxa"/>
            <w:tcBorders>
              <w:top w:val="single" w:sz="1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Ord. MMAP 1221/29.06.2016</w:t>
            </w:r>
          </w:p>
        </w:tc>
        <w:tc>
          <w:tcPr>
            <w:tcW w:w="2006" w:type="dxa"/>
            <w:tcBorders>
              <w:top w:val="single" w:sz="1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Societatea Ornitologică</w:t>
            </w:r>
          </w:p>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Română</w:t>
            </w:r>
          </w:p>
        </w:tc>
      </w:tr>
      <w:tr w:rsidR="00737DE6" w:rsidRPr="00315335" w:rsidTr="00916B06">
        <w:trPr>
          <w:trHeight w:val="799"/>
        </w:trPr>
        <w:tc>
          <w:tcPr>
            <w:tcW w:w="542"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8</w:t>
            </w:r>
          </w:p>
        </w:tc>
        <w:tc>
          <w:tcPr>
            <w:tcW w:w="3206"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ROSCI0005</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Balta Albă-Amara- Jirlău-Lacul Sărat Câineni</w:t>
            </w:r>
          </w:p>
        </w:tc>
        <w:tc>
          <w:tcPr>
            <w:tcW w:w="1941"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prin proiect cu finanțare POIM neaprobat</w:t>
            </w:r>
          </w:p>
        </w:tc>
        <w:tc>
          <w:tcPr>
            <w:tcW w:w="2216"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În curs de elaborare prin proiect cu finanțare POIM</w:t>
            </w:r>
          </w:p>
        </w:tc>
        <w:tc>
          <w:tcPr>
            <w:tcW w:w="2006" w:type="dxa"/>
            <w:vMerge w:val="restart"/>
            <w:tcBorders>
              <w:top w:val="single" w:sz="18" w:space="0" w:color="auto"/>
            </w:tcBorders>
            <w:vAlign w:val="center"/>
          </w:tcPr>
          <w:p w:rsidR="00737DE6" w:rsidRPr="00315335" w:rsidRDefault="00737DE6" w:rsidP="00916B06">
            <w:pPr>
              <w:shd w:val="clear" w:color="auto" w:fill="FFFFFF"/>
              <w:autoSpaceDE w:val="0"/>
              <w:autoSpaceDN w:val="0"/>
              <w:adjustRightInd w:val="0"/>
              <w:spacing w:after="0" w:line="240" w:lineRule="auto"/>
              <w:jc w:val="center"/>
              <w:rPr>
                <w:rFonts w:ascii="Arial" w:hAnsi="Arial" w:cs="Arial"/>
                <w:b/>
                <w:sz w:val="24"/>
                <w:szCs w:val="24"/>
              </w:rPr>
            </w:pPr>
            <w:r w:rsidRPr="00315335">
              <w:rPr>
                <w:rFonts w:ascii="Arial" w:hAnsi="Arial" w:cs="Arial"/>
                <w:b/>
                <w:sz w:val="24"/>
                <w:szCs w:val="24"/>
              </w:rPr>
              <w:t>Asociaţia</w:t>
            </w:r>
          </w:p>
          <w:p w:rsidR="00737DE6" w:rsidRPr="00315335" w:rsidRDefault="00737DE6" w:rsidP="00916B06">
            <w:pPr>
              <w:shd w:val="clear" w:color="auto" w:fill="FFFFFF"/>
              <w:autoSpaceDE w:val="0"/>
              <w:autoSpaceDN w:val="0"/>
              <w:adjustRightInd w:val="0"/>
              <w:spacing w:after="0" w:line="240" w:lineRule="auto"/>
              <w:jc w:val="center"/>
              <w:rPr>
                <w:rFonts w:ascii="Arial" w:hAnsi="Arial" w:cs="Arial"/>
                <w:b/>
                <w:sz w:val="24"/>
                <w:szCs w:val="24"/>
              </w:rPr>
            </w:pPr>
            <w:r w:rsidRPr="00315335">
              <w:rPr>
                <w:rFonts w:ascii="Arial" w:hAnsi="Arial" w:cs="Arial"/>
                <w:b/>
                <w:sz w:val="24"/>
                <w:szCs w:val="24"/>
              </w:rPr>
              <w:t>Maximilian</w:t>
            </w:r>
          </w:p>
          <w:p w:rsidR="00737DE6" w:rsidRPr="00315335" w:rsidRDefault="00737DE6" w:rsidP="00916B06">
            <w:pPr>
              <w:shd w:val="clear" w:color="auto" w:fill="FFFFFF"/>
              <w:autoSpaceDE w:val="0"/>
              <w:autoSpaceDN w:val="0"/>
              <w:adjustRightInd w:val="0"/>
              <w:spacing w:after="0" w:line="240" w:lineRule="auto"/>
              <w:jc w:val="center"/>
              <w:rPr>
                <w:rFonts w:ascii="Arial" w:hAnsi="Arial" w:cs="Arial"/>
                <w:b/>
                <w:sz w:val="24"/>
                <w:szCs w:val="24"/>
              </w:rPr>
            </w:pPr>
            <w:r w:rsidRPr="00315335">
              <w:rPr>
                <w:rFonts w:ascii="Arial" w:hAnsi="Arial" w:cs="Arial"/>
                <w:b/>
                <w:sz w:val="24"/>
                <w:szCs w:val="24"/>
              </w:rPr>
              <w:t>Buzău</w:t>
            </w:r>
          </w:p>
          <w:p w:rsidR="00737DE6" w:rsidRPr="00315335" w:rsidRDefault="00737DE6" w:rsidP="00916B06">
            <w:pPr>
              <w:shd w:val="clear" w:color="auto" w:fill="FFFFFF"/>
              <w:spacing w:after="0" w:line="240" w:lineRule="auto"/>
              <w:jc w:val="center"/>
              <w:rPr>
                <w:rFonts w:ascii="Arial" w:hAnsi="Arial" w:cs="Arial"/>
                <w:b/>
                <w:sz w:val="24"/>
                <w:szCs w:val="24"/>
              </w:rPr>
            </w:pPr>
          </w:p>
          <w:p w:rsidR="00737DE6" w:rsidRPr="00315335" w:rsidRDefault="00737DE6" w:rsidP="00916B06">
            <w:pPr>
              <w:shd w:val="clear" w:color="auto" w:fill="FFFFFF"/>
              <w:spacing w:after="0" w:line="240" w:lineRule="auto"/>
              <w:jc w:val="center"/>
              <w:rPr>
                <w:rFonts w:ascii="Arial" w:hAnsi="Arial" w:cs="Arial"/>
                <w:b/>
                <w:sz w:val="24"/>
                <w:szCs w:val="24"/>
              </w:rPr>
            </w:pPr>
          </w:p>
          <w:p w:rsidR="00737DE6" w:rsidRPr="00315335" w:rsidRDefault="00737DE6" w:rsidP="00916B06">
            <w:pPr>
              <w:shd w:val="clear" w:color="auto" w:fill="FFFFFF"/>
              <w:spacing w:after="0" w:line="240" w:lineRule="auto"/>
              <w:ind w:firstLine="180"/>
              <w:jc w:val="center"/>
              <w:rPr>
                <w:rFonts w:ascii="Arial" w:hAnsi="Arial" w:cs="Arial"/>
                <w:b/>
                <w:sz w:val="24"/>
                <w:szCs w:val="24"/>
              </w:rPr>
            </w:pPr>
          </w:p>
        </w:tc>
      </w:tr>
      <w:tr w:rsidR="00737DE6" w:rsidRPr="00315335" w:rsidTr="00916B06">
        <w:trPr>
          <w:trHeight w:val="488"/>
        </w:trPr>
        <w:tc>
          <w:tcPr>
            <w:tcW w:w="542" w:type="dxa"/>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9</w:t>
            </w:r>
          </w:p>
        </w:tc>
        <w:tc>
          <w:tcPr>
            <w:tcW w:w="3206" w:type="dxa"/>
          </w:tcPr>
          <w:p w:rsidR="00737DE6" w:rsidRPr="00315335" w:rsidRDefault="00737DE6" w:rsidP="00916B06">
            <w:pPr>
              <w:pStyle w:val="Indentcorptext2"/>
              <w:shd w:val="clear" w:color="auto" w:fill="FFFFFF"/>
              <w:spacing w:after="0" w:line="240" w:lineRule="auto"/>
              <w:ind w:left="0"/>
              <w:rPr>
                <w:rFonts w:ascii="Arial" w:hAnsi="Arial" w:cs="Arial"/>
                <w:b/>
                <w:lang w:val="it-IT" w:eastAsia="ro-RO"/>
              </w:rPr>
            </w:pPr>
            <w:r w:rsidRPr="00315335">
              <w:rPr>
                <w:rFonts w:ascii="Arial" w:hAnsi="Arial" w:cs="Arial"/>
                <w:b/>
                <w:lang w:val="it-IT" w:eastAsia="ro-RO"/>
              </w:rPr>
              <w:t>ROSPA0004</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Balta Albă-Amara-Jirlău</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 xml:space="preserve">Inclusă în ROSCI0005 </w:t>
            </w:r>
          </w:p>
        </w:tc>
        <w:tc>
          <w:tcPr>
            <w:tcW w:w="1941"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lastRenderedPageBreak/>
              <w:t>elaborat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prin proiect cu </w:t>
            </w:r>
            <w:r w:rsidRPr="00315335">
              <w:rPr>
                <w:rFonts w:ascii="Arial" w:hAnsi="Arial" w:cs="Arial"/>
                <w:sz w:val="24"/>
                <w:szCs w:val="24"/>
              </w:rPr>
              <w:lastRenderedPageBreak/>
              <w:t>finanțare POIM neaprobat</w:t>
            </w:r>
          </w:p>
        </w:tc>
        <w:tc>
          <w:tcPr>
            <w:tcW w:w="2216"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lastRenderedPageBreak/>
              <w:t xml:space="preserve">În curs de elaborare prin </w:t>
            </w:r>
            <w:r w:rsidRPr="00315335">
              <w:rPr>
                <w:rFonts w:ascii="Arial" w:hAnsi="Arial" w:cs="Arial"/>
                <w:sz w:val="24"/>
                <w:szCs w:val="24"/>
              </w:rPr>
              <w:lastRenderedPageBreak/>
              <w:t>proiect cu finanțare POIM</w:t>
            </w:r>
          </w:p>
        </w:tc>
        <w:tc>
          <w:tcPr>
            <w:tcW w:w="2006" w:type="dxa"/>
            <w:vMerge/>
            <w:vAlign w:val="center"/>
          </w:tcPr>
          <w:p w:rsidR="00737DE6" w:rsidRPr="00315335" w:rsidRDefault="00737DE6" w:rsidP="00916B06">
            <w:pPr>
              <w:shd w:val="clear" w:color="auto" w:fill="FFFFFF"/>
              <w:spacing w:after="0" w:line="240" w:lineRule="auto"/>
              <w:ind w:firstLine="180"/>
              <w:jc w:val="center"/>
              <w:rPr>
                <w:rFonts w:ascii="Arial" w:hAnsi="Arial" w:cs="Arial"/>
                <w:b/>
                <w:sz w:val="24"/>
                <w:szCs w:val="24"/>
              </w:rPr>
            </w:pPr>
          </w:p>
        </w:tc>
      </w:tr>
      <w:tr w:rsidR="00737DE6" w:rsidRPr="00315335" w:rsidTr="00916B06">
        <w:tc>
          <w:tcPr>
            <w:tcW w:w="542"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10</w:t>
            </w:r>
          </w:p>
        </w:tc>
        <w:tc>
          <w:tcPr>
            <w:tcW w:w="3206"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Rezervația naturală Lacul Jirlău Vişani2260</w:t>
            </w:r>
          </w:p>
          <w:p w:rsidR="00737DE6" w:rsidRPr="00315335" w:rsidRDefault="00737DE6" w:rsidP="00916B06">
            <w:pPr>
              <w:shd w:val="clear" w:color="auto" w:fill="FFFFFF"/>
              <w:spacing w:after="0" w:line="240" w:lineRule="auto"/>
              <w:rPr>
                <w:rFonts w:ascii="Arial" w:hAnsi="Arial" w:cs="Arial"/>
                <w:sz w:val="24"/>
                <w:szCs w:val="24"/>
                <w:lang w:val="it-IT"/>
              </w:rPr>
            </w:pP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lang w:val="it-IT"/>
              </w:rPr>
              <w:t xml:space="preserve">Inclusă în ROSCI0005 </w:t>
            </w:r>
          </w:p>
        </w:tc>
        <w:tc>
          <w:tcPr>
            <w:tcW w:w="1941"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prin proiect cu finanțare POIM neaprobat</w:t>
            </w:r>
          </w:p>
        </w:tc>
        <w:tc>
          <w:tcPr>
            <w:tcW w:w="221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În curs de elaborare prin proiect cu finanțare POIM</w:t>
            </w:r>
          </w:p>
        </w:tc>
        <w:tc>
          <w:tcPr>
            <w:tcW w:w="2006" w:type="dxa"/>
            <w:vMerge/>
            <w:tcBorders>
              <w:bottom w:val="single" w:sz="18" w:space="0" w:color="auto"/>
            </w:tcBorders>
            <w:vAlign w:val="center"/>
          </w:tcPr>
          <w:p w:rsidR="00737DE6" w:rsidRPr="00315335" w:rsidRDefault="00737DE6" w:rsidP="00916B06">
            <w:pPr>
              <w:shd w:val="clear" w:color="auto" w:fill="FFFFFF"/>
              <w:spacing w:after="0" w:line="240" w:lineRule="auto"/>
              <w:ind w:firstLine="180"/>
              <w:jc w:val="center"/>
              <w:rPr>
                <w:rFonts w:ascii="Arial" w:hAnsi="Arial" w:cs="Arial"/>
                <w:b/>
                <w:sz w:val="24"/>
                <w:szCs w:val="24"/>
              </w:rPr>
            </w:pPr>
          </w:p>
        </w:tc>
      </w:tr>
      <w:tr w:rsidR="00737DE6" w:rsidRPr="00315335" w:rsidTr="00916B06">
        <w:trPr>
          <w:trHeight w:val="628"/>
        </w:trPr>
        <w:tc>
          <w:tcPr>
            <w:tcW w:w="542"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11</w:t>
            </w:r>
          </w:p>
        </w:tc>
        <w:tc>
          <w:tcPr>
            <w:tcW w:w="3206"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ROSPA0111</w:t>
            </w: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b/>
                <w:sz w:val="24"/>
                <w:szCs w:val="24"/>
              </w:rPr>
              <w:t>Berteştii de Sus-Gura Ialomiţei</w:t>
            </w:r>
          </w:p>
        </w:tc>
        <w:tc>
          <w:tcPr>
            <w:tcW w:w="1941"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În curs de elaborare prin proiect cu finanțare POIM</w:t>
            </w:r>
          </w:p>
        </w:tc>
        <w:tc>
          <w:tcPr>
            <w:tcW w:w="2216"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În curs de elaborare prin proiect cu finanțare POIM</w:t>
            </w:r>
          </w:p>
        </w:tc>
        <w:tc>
          <w:tcPr>
            <w:tcW w:w="2006" w:type="dxa"/>
            <w:vMerge w:val="restart"/>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Societatea Ornitologică</w:t>
            </w:r>
          </w:p>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Română</w:t>
            </w:r>
          </w:p>
        </w:tc>
      </w:tr>
      <w:tr w:rsidR="00737DE6" w:rsidRPr="00315335" w:rsidTr="00916B06">
        <w:tc>
          <w:tcPr>
            <w:tcW w:w="542" w:type="dxa"/>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12</w:t>
            </w:r>
          </w:p>
        </w:tc>
        <w:tc>
          <w:tcPr>
            <w:tcW w:w="3206" w:type="dxa"/>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Rezervaţia Forestieră Pădurea Viişoara</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Inclusă în ROSPA0111</w:t>
            </w:r>
          </w:p>
        </w:tc>
        <w:tc>
          <w:tcPr>
            <w:tcW w:w="1941"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216"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006" w:type="dxa"/>
            <w:vMerge/>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p>
        </w:tc>
      </w:tr>
      <w:tr w:rsidR="00737DE6" w:rsidRPr="00315335" w:rsidTr="00916B06">
        <w:trPr>
          <w:trHeight w:val="1150"/>
        </w:trPr>
        <w:tc>
          <w:tcPr>
            <w:tcW w:w="542"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13</w:t>
            </w:r>
          </w:p>
        </w:tc>
        <w:tc>
          <w:tcPr>
            <w:tcW w:w="3206"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b/>
                <w:bCs/>
                <w:iCs/>
                <w:sz w:val="24"/>
                <w:szCs w:val="24"/>
              </w:rPr>
            </w:pPr>
            <w:r w:rsidRPr="00315335">
              <w:rPr>
                <w:rFonts w:ascii="Arial" w:hAnsi="Arial" w:cs="Arial"/>
                <w:b/>
                <w:bCs/>
                <w:iCs/>
                <w:sz w:val="24"/>
                <w:szCs w:val="24"/>
              </w:rPr>
              <w:t>ROSCI0389</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Sărăturile de la Gura Ialomiţei - Mihai Bravu</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Inclusă în ROSPA0111</w:t>
            </w:r>
          </w:p>
        </w:tc>
        <w:tc>
          <w:tcPr>
            <w:tcW w:w="1941"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În curs de elaborare prin proiect cu finanțare POIM</w:t>
            </w:r>
          </w:p>
        </w:tc>
        <w:tc>
          <w:tcPr>
            <w:tcW w:w="221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În curs de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elaborare prin proiect cu finanțare POIM</w:t>
            </w:r>
          </w:p>
        </w:tc>
        <w:tc>
          <w:tcPr>
            <w:tcW w:w="2006" w:type="dxa"/>
            <w:vMerge/>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p>
        </w:tc>
      </w:tr>
      <w:tr w:rsidR="00737DE6" w:rsidRPr="00315335" w:rsidTr="00916B06">
        <w:tc>
          <w:tcPr>
            <w:tcW w:w="542"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14</w:t>
            </w:r>
          </w:p>
        </w:tc>
        <w:tc>
          <w:tcPr>
            <w:tcW w:w="3206"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ROSPA0048</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Ianca-Plopu-Sărat</w:t>
            </w:r>
          </w:p>
          <w:p w:rsidR="00737DE6" w:rsidRPr="00315335" w:rsidRDefault="00737DE6" w:rsidP="00916B06">
            <w:pPr>
              <w:shd w:val="clear" w:color="auto" w:fill="FFFFFF"/>
              <w:spacing w:after="0" w:line="240" w:lineRule="auto"/>
              <w:rPr>
                <w:rFonts w:ascii="Arial" w:hAnsi="Arial" w:cs="Arial"/>
                <w:sz w:val="24"/>
                <w:szCs w:val="24"/>
                <w:lang w:val="it-IT"/>
              </w:rPr>
            </w:pPr>
          </w:p>
          <w:p w:rsidR="00737DE6" w:rsidRPr="00315335" w:rsidRDefault="00737DE6" w:rsidP="00916B06">
            <w:pPr>
              <w:shd w:val="clear" w:color="auto" w:fill="FFFFFF"/>
              <w:spacing w:after="0" w:line="240" w:lineRule="auto"/>
              <w:rPr>
                <w:rFonts w:ascii="Arial" w:hAnsi="Arial" w:cs="Arial"/>
                <w:sz w:val="24"/>
                <w:szCs w:val="24"/>
              </w:rPr>
            </w:pPr>
          </w:p>
        </w:tc>
        <w:tc>
          <w:tcPr>
            <w:tcW w:w="1941"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Ord. MMAP        1215/29.06.2016</w:t>
            </w:r>
          </w:p>
        </w:tc>
        <w:tc>
          <w:tcPr>
            <w:tcW w:w="2216"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Ord. MMAP 1215/29.06.2016</w:t>
            </w:r>
          </w:p>
          <w:p w:rsidR="00737DE6" w:rsidRPr="00315335" w:rsidRDefault="00737DE6" w:rsidP="00916B06">
            <w:pPr>
              <w:shd w:val="clear" w:color="auto" w:fill="FFFFFF"/>
              <w:spacing w:after="0" w:line="240" w:lineRule="auto"/>
              <w:jc w:val="center"/>
              <w:rPr>
                <w:rFonts w:ascii="Arial" w:hAnsi="Arial" w:cs="Arial"/>
                <w:sz w:val="24"/>
                <w:szCs w:val="24"/>
              </w:rPr>
            </w:pPr>
          </w:p>
        </w:tc>
        <w:tc>
          <w:tcPr>
            <w:tcW w:w="2006"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c>
          <w:tcPr>
            <w:tcW w:w="542"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15</w:t>
            </w:r>
          </w:p>
        </w:tc>
        <w:tc>
          <w:tcPr>
            <w:tcW w:w="3206"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bCs/>
                <w:iCs/>
                <w:sz w:val="24"/>
                <w:szCs w:val="24"/>
              </w:rPr>
              <w:t>ROSCI0305</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Ianca - Plopu - Sărat - Comăneasca</w:t>
            </w:r>
          </w:p>
          <w:p w:rsidR="00737DE6" w:rsidRPr="00315335" w:rsidRDefault="00737DE6" w:rsidP="00916B06">
            <w:pPr>
              <w:shd w:val="clear" w:color="auto" w:fill="FFFFFF"/>
              <w:spacing w:after="0" w:line="240" w:lineRule="auto"/>
              <w:rPr>
                <w:rFonts w:ascii="Arial" w:hAnsi="Arial" w:cs="Arial"/>
                <w:sz w:val="24"/>
                <w:szCs w:val="24"/>
                <w:lang w:val="it-IT"/>
              </w:rPr>
            </w:pPr>
            <w:r w:rsidRPr="00315335">
              <w:rPr>
                <w:rFonts w:ascii="Arial" w:hAnsi="Arial" w:cs="Arial"/>
                <w:sz w:val="24"/>
                <w:szCs w:val="24"/>
                <w:lang w:val="it-IT"/>
              </w:rPr>
              <w:t xml:space="preserve">Se suprapune parțial </w:t>
            </w: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lang w:val="it-IT"/>
              </w:rPr>
              <w:t>cu ROSPA0048</w:t>
            </w:r>
          </w:p>
        </w:tc>
        <w:tc>
          <w:tcPr>
            <w:tcW w:w="1941"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21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00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c>
          <w:tcPr>
            <w:tcW w:w="542" w:type="dxa"/>
            <w:tcBorders>
              <w:top w:val="single" w:sz="18" w:space="0" w:color="auto"/>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16</w:t>
            </w:r>
          </w:p>
        </w:tc>
        <w:tc>
          <w:tcPr>
            <w:tcW w:w="3206" w:type="dxa"/>
            <w:tcBorders>
              <w:top w:val="single" w:sz="18" w:space="0" w:color="auto"/>
              <w:bottom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ROSPA0006</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lang w:val="it-IT"/>
              </w:rPr>
              <w:t>B</w:t>
            </w:r>
            <w:r w:rsidRPr="00315335">
              <w:rPr>
                <w:rFonts w:ascii="Arial" w:hAnsi="Arial" w:cs="Arial"/>
                <w:b/>
                <w:sz w:val="24"/>
                <w:szCs w:val="24"/>
              </w:rPr>
              <w:t>alta Tătaru</w:t>
            </w:r>
          </w:p>
          <w:p w:rsidR="00737DE6" w:rsidRPr="00315335" w:rsidRDefault="00737DE6" w:rsidP="00916B06">
            <w:pPr>
              <w:shd w:val="clear" w:color="auto" w:fill="FFFFFF"/>
              <w:spacing w:after="0" w:line="240" w:lineRule="auto"/>
              <w:rPr>
                <w:rFonts w:ascii="Arial" w:hAnsi="Arial" w:cs="Arial"/>
                <w:sz w:val="24"/>
                <w:szCs w:val="24"/>
              </w:rPr>
            </w:pPr>
          </w:p>
        </w:tc>
        <w:tc>
          <w:tcPr>
            <w:tcW w:w="1941" w:type="dxa"/>
            <w:tcBorders>
              <w:top w:val="single" w:sz="1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Ord. MMAP 1217/29.06.2016</w:t>
            </w:r>
          </w:p>
        </w:tc>
        <w:tc>
          <w:tcPr>
            <w:tcW w:w="2216" w:type="dxa"/>
            <w:tcBorders>
              <w:top w:val="single" w:sz="1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Ord. MMAP 1217/29.06.2016</w:t>
            </w:r>
          </w:p>
          <w:p w:rsidR="00737DE6" w:rsidRPr="00315335" w:rsidRDefault="00737DE6" w:rsidP="00916B06">
            <w:pPr>
              <w:shd w:val="clear" w:color="auto" w:fill="FFFFFF"/>
              <w:spacing w:after="0" w:line="240" w:lineRule="auto"/>
              <w:jc w:val="center"/>
              <w:rPr>
                <w:rFonts w:ascii="Arial" w:hAnsi="Arial" w:cs="Arial"/>
                <w:sz w:val="24"/>
                <w:szCs w:val="24"/>
              </w:rPr>
            </w:pPr>
          </w:p>
        </w:tc>
        <w:tc>
          <w:tcPr>
            <w:tcW w:w="2006" w:type="dxa"/>
            <w:tcBorders>
              <w:top w:val="single" w:sz="1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c>
          <w:tcPr>
            <w:tcW w:w="542" w:type="dxa"/>
            <w:tcBorders>
              <w:bottom w:val="single" w:sz="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17</w:t>
            </w:r>
          </w:p>
        </w:tc>
        <w:tc>
          <w:tcPr>
            <w:tcW w:w="3206" w:type="dxa"/>
            <w:tcBorders>
              <w:bottom w:val="single" w:sz="8" w:space="0" w:color="auto"/>
            </w:tcBorders>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ROSPA0160</w:t>
            </w: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b/>
                <w:sz w:val="24"/>
                <w:szCs w:val="24"/>
              </w:rPr>
              <w:t>Lunca Buzăului</w:t>
            </w:r>
            <w:r w:rsidRPr="00315335">
              <w:rPr>
                <w:rFonts w:ascii="Arial" w:hAnsi="Arial" w:cs="Arial"/>
                <w:b/>
                <w:bCs/>
                <w:iCs/>
                <w:sz w:val="24"/>
                <w:szCs w:val="24"/>
              </w:rPr>
              <w:t xml:space="preserve"> </w:t>
            </w:r>
          </w:p>
        </w:tc>
        <w:tc>
          <w:tcPr>
            <w:tcW w:w="1941" w:type="dxa"/>
            <w:tcBorders>
              <w:bottom w:val="single" w:sz="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p w:rsidR="00737DE6" w:rsidRPr="00315335" w:rsidRDefault="00737DE6" w:rsidP="00916B06">
            <w:pPr>
              <w:shd w:val="clear" w:color="auto" w:fill="FFFFFF"/>
              <w:spacing w:after="0" w:line="240" w:lineRule="auto"/>
              <w:jc w:val="center"/>
              <w:rPr>
                <w:rFonts w:ascii="Arial" w:hAnsi="Arial" w:cs="Arial"/>
                <w:sz w:val="24"/>
                <w:szCs w:val="24"/>
              </w:rPr>
            </w:pPr>
          </w:p>
        </w:tc>
        <w:tc>
          <w:tcPr>
            <w:tcW w:w="2216" w:type="dxa"/>
            <w:tcBorders>
              <w:bottom w:val="single" w:sz="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p w:rsidR="00737DE6" w:rsidRPr="00315335" w:rsidRDefault="00737DE6" w:rsidP="00916B06">
            <w:pPr>
              <w:shd w:val="clear" w:color="auto" w:fill="FFFFFF"/>
              <w:spacing w:after="0" w:line="240" w:lineRule="auto"/>
              <w:jc w:val="center"/>
              <w:rPr>
                <w:rFonts w:ascii="Arial" w:hAnsi="Arial" w:cs="Arial"/>
                <w:sz w:val="24"/>
                <w:szCs w:val="24"/>
              </w:rPr>
            </w:pPr>
          </w:p>
        </w:tc>
        <w:tc>
          <w:tcPr>
            <w:tcW w:w="2006" w:type="dxa"/>
            <w:tcBorders>
              <w:bottom w:val="single" w:sz="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c>
          <w:tcPr>
            <w:tcW w:w="542" w:type="dxa"/>
            <w:tcBorders>
              <w:top w:val="single" w:sz="8" w:space="0" w:color="auto"/>
              <w:bottom w:val="single" w:sz="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18</w:t>
            </w:r>
          </w:p>
        </w:tc>
        <w:tc>
          <w:tcPr>
            <w:tcW w:w="3206" w:type="dxa"/>
            <w:tcBorders>
              <w:top w:val="single" w:sz="8" w:space="0" w:color="auto"/>
              <w:bottom w:val="single" w:sz="8" w:space="0" w:color="auto"/>
            </w:tcBorders>
          </w:tcPr>
          <w:p w:rsidR="00737DE6" w:rsidRPr="00315335" w:rsidRDefault="00737DE6" w:rsidP="00916B06">
            <w:pPr>
              <w:shd w:val="clear" w:color="auto" w:fill="FFFFFF"/>
              <w:spacing w:after="0" w:line="240" w:lineRule="auto"/>
              <w:rPr>
                <w:rFonts w:ascii="Arial" w:hAnsi="Arial" w:cs="Arial"/>
                <w:b/>
                <w:bCs/>
                <w:iCs/>
                <w:sz w:val="24"/>
                <w:szCs w:val="24"/>
              </w:rPr>
            </w:pPr>
            <w:r w:rsidRPr="00315335">
              <w:rPr>
                <w:rFonts w:ascii="Arial" w:hAnsi="Arial" w:cs="Arial"/>
                <w:b/>
                <w:bCs/>
                <w:iCs/>
                <w:sz w:val="24"/>
                <w:szCs w:val="24"/>
              </w:rPr>
              <w:t>ROSCI0103</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Lunca Buzăului</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vertAlign w:val="superscript"/>
              </w:rPr>
            </w:pPr>
            <w:r w:rsidRPr="00315335">
              <w:rPr>
                <w:rFonts w:ascii="Arial" w:hAnsi="Arial" w:cs="Arial"/>
                <w:sz w:val="24"/>
                <w:szCs w:val="24"/>
              </w:rPr>
              <w:t>Inclusă în ROSPA 0160</w:t>
            </w:r>
          </w:p>
          <w:p w:rsidR="00737DE6" w:rsidRPr="00315335" w:rsidRDefault="00737DE6" w:rsidP="00916B06">
            <w:pPr>
              <w:shd w:val="clear" w:color="auto" w:fill="FFFFFF"/>
              <w:spacing w:after="0" w:line="240" w:lineRule="auto"/>
              <w:rPr>
                <w:rFonts w:ascii="Arial" w:hAnsi="Arial" w:cs="Arial"/>
                <w:sz w:val="24"/>
                <w:szCs w:val="24"/>
              </w:rPr>
            </w:pPr>
          </w:p>
        </w:tc>
        <w:tc>
          <w:tcPr>
            <w:tcW w:w="1941" w:type="dxa"/>
            <w:tcBorders>
              <w:top w:val="single" w:sz="8" w:space="0" w:color="auto"/>
              <w:bottom w:val="single" w:sz="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elaborat</w:t>
            </w:r>
          </w:p>
          <w:p w:rsidR="00737DE6" w:rsidRPr="00315335" w:rsidRDefault="00737DE6" w:rsidP="00916B06">
            <w:pPr>
              <w:shd w:val="clear" w:color="auto" w:fill="FFFFFF"/>
              <w:spacing w:after="0" w:line="240" w:lineRule="auto"/>
              <w:jc w:val="center"/>
              <w:rPr>
                <w:rFonts w:ascii="Arial" w:hAnsi="Arial" w:cs="Arial"/>
                <w:bCs/>
                <w:sz w:val="24"/>
                <w:szCs w:val="24"/>
              </w:rPr>
            </w:pPr>
            <w:r w:rsidRPr="00315335">
              <w:rPr>
                <w:rFonts w:ascii="Arial" w:hAnsi="Arial" w:cs="Arial"/>
                <w:bCs/>
                <w:sz w:val="24"/>
                <w:szCs w:val="24"/>
              </w:rPr>
              <w:t>aprobat prin</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bCs/>
                <w:sz w:val="24"/>
                <w:szCs w:val="24"/>
              </w:rPr>
              <w:t>Ord. MMAP 1075/2016</w:t>
            </w:r>
          </w:p>
        </w:tc>
        <w:tc>
          <w:tcPr>
            <w:tcW w:w="2216" w:type="dxa"/>
            <w:tcBorders>
              <w:top w:val="single" w:sz="8" w:space="0" w:color="auto"/>
              <w:bottom w:val="single" w:sz="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elaborat</w:t>
            </w:r>
          </w:p>
          <w:p w:rsidR="00737DE6" w:rsidRPr="00315335" w:rsidRDefault="00737DE6" w:rsidP="00916B06">
            <w:pPr>
              <w:shd w:val="clear" w:color="auto" w:fill="FFFFFF"/>
              <w:spacing w:after="0" w:line="240" w:lineRule="auto"/>
              <w:jc w:val="center"/>
              <w:rPr>
                <w:rFonts w:ascii="Arial" w:hAnsi="Arial" w:cs="Arial"/>
                <w:bCs/>
                <w:sz w:val="24"/>
                <w:szCs w:val="24"/>
              </w:rPr>
            </w:pPr>
            <w:r w:rsidRPr="00315335">
              <w:rPr>
                <w:rFonts w:ascii="Arial" w:hAnsi="Arial" w:cs="Arial"/>
                <w:bCs/>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bCs/>
                <w:sz w:val="24"/>
                <w:szCs w:val="24"/>
              </w:rPr>
              <w:t>Ord. MMAP 1075/2016</w:t>
            </w:r>
          </w:p>
        </w:tc>
        <w:tc>
          <w:tcPr>
            <w:tcW w:w="2006" w:type="dxa"/>
            <w:tcBorders>
              <w:top w:val="single" w:sz="8" w:space="0" w:color="auto"/>
              <w:bottom w:val="single" w:sz="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c>
          <w:tcPr>
            <w:tcW w:w="542" w:type="dxa"/>
            <w:tcBorders>
              <w:top w:val="single" w:sz="8" w:space="0" w:color="auto"/>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19</w:t>
            </w:r>
          </w:p>
        </w:tc>
        <w:tc>
          <w:tcPr>
            <w:tcW w:w="3206" w:type="dxa"/>
            <w:tcBorders>
              <w:top w:val="single" w:sz="8" w:space="0" w:color="auto"/>
              <w:bottom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Rezervaţia  naturală Pădurea Camniţa 2259</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vertAlign w:val="superscript"/>
              </w:rPr>
            </w:pPr>
            <w:r w:rsidRPr="00315335">
              <w:rPr>
                <w:rFonts w:ascii="Arial" w:hAnsi="Arial" w:cs="Arial"/>
                <w:sz w:val="24"/>
                <w:szCs w:val="24"/>
              </w:rPr>
              <w:t>Inclusă în ROSCI 0103</w:t>
            </w:r>
          </w:p>
        </w:tc>
        <w:tc>
          <w:tcPr>
            <w:tcW w:w="1941" w:type="dxa"/>
            <w:tcBorders>
              <w:top w:val="single" w:sz="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elaborat,</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aprobat prin</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Ord. MMAP 211/8.02.2016</w:t>
            </w:r>
          </w:p>
          <w:p w:rsidR="00737DE6" w:rsidRPr="00315335" w:rsidRDefault="00737DE6" w:rsidP="00916B06">
            <w:pPr>
              <w:shd w:val="clear" w:color="auto" w:fill="FFFFFF"/>
              <w:spacing w:after="0" w:line="240" w:lineRule="auto"/>
              <w:jc w:val="center"/>
              <w:rPr>
                <w:rFonts w:ascii="Arial" w:hAnsi="Arial" w:cs="Arial"/>
                <w:sz w:val="24"/>
                <w:szCs w:val="24"/>
              </w:rPr>
            </w:pPr>
          </w:p>
        </w:tc>
        <w:tc>
          <w:tcPr>
            <w:tcW w:w="2216" w:type="dxa"/>
            <w:tcBorders>
              <w:top w:val="single" w:sz="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elaborat,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 xml:space="preserve">aprobat prin </w:t>
            </w:r>
          </w:p>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Ord. MMAP 211/8.02.2016</w:t>
            </w:r>
          </w:p>
          <w:p w:rsidR="00737DE6" w:rsidRPr="00315335" w:rsidRDefault="00737DE6" w:rsidP="00916B06">
            <w:pPr>
              <w:shd w:val="clear" w:color="auto" w:fill="FFFFFF"/>
              <w:spacing w:after="0" w:line="240" w:lineRule="auto"/>
              <w:jc w:val="center"/>
              <w:rPr>
                <w:rFonts w:ascii="Arial" w:hAnsi="Arial" w:cs="Arial"/>
                <w:sz w:val="24"/>
                <w:szCs w:val="24"/>
              </w:rPr>
            </w:pPr>
          </w:p>
        </w:tc>
        <w:tc>
          <w:tcPr>
            <w:tcW w:w="2006" w:type="dxa"/>
            <w:tcBorders>
              <w:top w:val="single" w:sz="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rPr>
          <w:trHeight w:val="1325"/>
        </w:trPr>
        <w:tc>
          <w:tcPr>
            <w:tcW w:w="542"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20</w:t>
            </w:r>
          </w:p>
        </w:tc>
        <w:tc>
          <w:tcPr>
            <w:tcW w:w="3206"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Dunărea Veche-Braţul Măcin</w:t>
            </w: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Zonă umedă de importanţă internaţională-</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Sit Ramsar 2116</w:t>
            </w:r>
          </w:p>
        </w:tc>
        <w:tc>
          <w:tcPr>
            <w:tcW w:w="1941"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216"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006"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rPr>
          <w:trHeight w:val="775"/>
        </w:trPr>
        <w:tc>
          <w:tcPr>
            <w:tcW w:w="542" w:type="dxa"/>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21</w:t>
            </w:r>
          </w:p>
        </w:tc>
        <w:tc>
          <w:tcPr>
            <w:tcW w:w="3206" w:type="dxa"/>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ROSPA0040</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Dunărea Veche-Braţul Măcin</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lastRenderedPageBreak/>
              <w:t>Inclusă în Situl Ramsar 2116</w:t>
            </w:r>
          </w:p>
        </w:tc>
        <w:tc>
          <w:tcPr>
            <w:tcW w:w="1941"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lastRenderedPageBreak/>
              <w:t>În curs de elaborare prin proiect cu finanțare POIM</w:t>
            </w:r>
          </w:p>
        </w:tc>
        <w:tc>
          <w:tcPr>
            <w:tcW w:w="2216"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În curs de elaborare prin proiect cu finanțare POIM</w:t>
            </w:r>
          </w:p>
        </w:tc>
        <w:tc>
          <w:tcPr>
            <w:tcW w:w="2006" w:type="dxa"/>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rPr>
          <w:trHeight w:val="844"/>
        </w:trPr>
        <w:tc>
          <w:tcPr>
            <w:tcW w:w="542"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22</w:t>
            </w:r>
          </w:p>
        </w:tc>
        <w:tc>
          <w:tcPr>
            <w:tcW w:w="3206"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ROSCI0012</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Braţul Măcin</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Inclusă în ROSPA 0040</w:t>
            </w:r>
          </w:p>
        </w:tc>
        <w:tc>
          <w:tcPr>
            <w:tcW w:w="1941"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În curs de elaborare prin proiect cu finanțare POIM</w:t>
            </w:r>
          </w:p>
        </w:tc>
        <w:tc>
          <w:tcPr>
            <w:tcW w:w="221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În curs de elaborare prin proiect cu finanțare POIM</w:t>
            </w:r>
          </w:p>
        </w:tc>
        <w:tc>
          <w:tcPr>
            <w:tcW w:w="200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c>
          <w:tcPr>
            <w:tcW w:w="542" w:type="dxa"/>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23</w:t>
            </w:r>
          </w:p>
        </w:tc>
        <w:tc>
          <w:tcPr>
            <w:tcW w:w="3206" w:type="dxa"/>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ROSPA0145</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Valea Călmăţuiului</w:t>
            </w:r>
          </w:p>
          <w:p w:rsidR="00737DE6" w:rsidRPr="00315335" w:rsidRDefault="00737DE6" w:rsidP="00916B06">
            <w:pPr>
              <w:shd w:val="clear" w:color="auto" w:fill="FFFFFF"/>
              <w:spacing w:after="0" w:line="240" w:lineRule="auto"/>
              <w:rPr>
                <w:rFonts w:ascii="Arial" w:hAnsi="Arial" w:cs="Arial"/>
                <w:sz w:val="24"/>
                <w:szCs w:val="24"/>
              </w:rPr>
            </w:pPr>
          </w:p>
        </w:tc>
        <w:tc>
          <w:tcPr>
            <w:tcW w:w="1941"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216" w:type="dxa"/>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006" w:type="dxa"/>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c>
          <w:tcPr>
            <w:tcW w:w="542"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24</w:t>
            </w:r>
          </w:p>
        </w:tc>
        <w:tc>
          <w:tcPr>
            <w:tcW w:w="3206" w:type="dxa"/>
            <w:tcBorders>
              <w:bottom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lang w:val="it-IT"/>
              </w:rPr>
            </w:pPr>
            <w:r w:rsidRPr="00315335">
              <w:rPr>
                <w:rFonts w:ascii="Arial" w:hAnsi="Arial" w:cs="Arial"/>
                <w:b/>
                <w:sz w:val="24"/>
                <w:szCs w:val="24"/>
                <w:lang w:val="it-IT"/>
              </w:rPr>
              <w:t>ROSCI0259</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Valea Călmăţuiului</w:t>
            </w:r>
          </w:p>
          <w:p w:rsidR="00737DE6" w:rsidRPr="00315335" w:rsidRDefault="00737DE6" w:rsidP="00916B06">
            <w:pPr>
              <w:shd w:val="clear" w:color="auto" w:fill="FFFFFF"/>
              <w:spacing w:after="0" w:line="240" w:lineRule="auto"/>
              <w:rPr>
                <w:rFonts w:ascii="Arial" w:hAnsi="Arial" w:cs="Arial"/>
                <w:sz w:val="24"/>
                <w:szCs w:val="24"/>
              </w:rPr>
            </w:pP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Inclusă în ROSPA 0145</w:t>
            </w:r>
          </w:p>
        </w:tc>
        <w:tc>
          <w:tcPr>
            <w:tcW w:w="1941"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21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006" w:type="dxa"/>
            <w:tcBorders>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c>
          <w:tcPr>
            <w:tcW w:w="542" w:type="dxa"/>
            <w:tcBorders>
              <w:top w:val="single" w:sz="18" w:space="0" w:color="auto"/>
              <w:bottom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25</w:t>
            </w:r>
          </w:p>
        </w:tc>
        <w:tc>
          <w:tcPr>
            <w:tcW w:w="3206" w:type="dxa"/>
            <w:tcBorders>
              <w:top w:val="single" w:sz="18" w:space="0" w:color="auto"/>
              <w:bottom w:val="single" w:sz="18" w:space="0" w:color="auto"/>
            </w:tcBorders>
          </w:tcPr>
          <w:p w:rsidR="00737DE6" w:rsidRPr="00315335" w:rsidRDefault="00737DE6" w:rsidP="00916B06">
            <w:pPr>
              <w:shd w:val="clear" w:color="auto" w:fill="FFFFFF"/>
              <w:spacing w:after="0" w:line="240" w:lineRule="auto"/>
              <w:rPr>
                <w:rFonts w:ascii="Arial" w:hAnsi="Arial" w:cs="Arial"/>
                <w:b/>
                <w:bCs/>
                <w:iCs/>
                <w:sz w:val="24"/>
                <w:szCs w:val="24"/>
              </w:rPr>
            </w:pPr>
            <w:r w:rsidRPr="00315335">
              <w:rPr>
                <w:rFonts w:ascii="Arial" w:hAnsi="Arial" w:cs="Arial"/>
                <w:b/>
                <w:bCs/>
                <w:iCs/>
                <w:sz w:val="24"/>
                <w:szCs w:val="24"/>
              </w:rPr>
              <w:t>ROSCI0307</w:t>
            </w:r>
          </w:p>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Lacul Sărat - Brăila</w:t>
            </w:r>
          </w:p>
          <w:p w:rsidR="00737DE6" w:rsidRPr="00315335" w:rsidRDefault="00737DE6" w:rsidP="00916B06">
            <w:pPr>
              <w:shd w:val="clear" w:color="auto" w:fill="FFFFFF"/>
              <w:spacing w:after="0" w:line="240" w:lineRule="auto"/>
              <w:rPr>
                <w:rFonts w:ascii="Arial" w:hAnsi="Arial" w:cs="Arial"/>
                <w:sz w:val="24"/>
                <w:szCs w:val="24"/>
              </w:rPr>
            </w:pPr>
          </w:p>
        </w:tc>
        <w:tc>
          <w:tcPr>
            <w:tcW w:w="1941" w:type="dxa"/>
            <w:tcBorders>
              <w:top w:val="single" w:sz="1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216" w:type="dxa"/>
            <w:tcBorders>
              <w:top w:val="single" w:sz="1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neelaborat</w:t>
            </w:r>
          </w:p>
        </w:tc>
        <w:tc>
          <w:tcPr>
            <w:tcW w:w="2006" w:type="dxa"/>
            <w:tcBorders>
              <w:top w:val="single" w:sz="18" w:space="0" w:color="auto"/>
              <w:bottom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r w:rsidR="00737DE6" w:rsidRPr="00315335" w:rsidTr="00916B06">
        <w:tc>
          <w:tcPr>
            <w:tcW w:w="542"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26</w:t>
            </w:r>
          </w:p>
        </w:tc>
        <w:tc>
          <w:tcPr>
            <w:tcW w:w="3206" w:type="dxa"/>
            <w:tcBorders>
              <w:top w:val="single" w:sz="18" w:space="0" w:color="auto"/>
            </w:tcBorders>
          </w:tcPr>
          <w:p w:rsidR="00737DE6" w:rsidRPr="00315335" w:rsidRDefault="00737DE6" w:rsidP="00916B06">
            <w:pPr>
              <w:shd w:val="clear" w:color="auto" w:fill="FFFFFF"/>
              <w:spacing w:after="0" w:line="240" w:lineRule="auto"/>
              <w:rPr>
                <w:rFonts w:ascii="Arial" w:hAnsi="Arial" w:cs="Arial"/>
                <w:b/>
                <w:sz w:val="24"/>
                <w:szCs w:val="24"/>
              </w:rPr>
            </w:pPr>
            <w:r w:rsidRPr="00315335">
              <w:rPr>
                <w:rFonts w:ascii="Arial" w:hAnsi="Arial" w:cs="Arial"/>
                <w:b/>
                <w:sz w:val="24"/>
                <w:szCs w:val="24"/>
              </w:rPr>
              <w:t>Popina Blasova</w:t>
            </w: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Monument al naturii -</w:t>
            </w:r>
          </w:p>
          <w:p w:rsidR="00737DE6" w:rsidRPr="00315335" w:rsidRDefault="00737DE6" w:rsidP="00916B06">
            <w:pPr>
              <w:shd w:val="clear" w:color="auto" w:fill="FFFFFF"/>
              <w:spacing w:after="0" w:line="240" w:lineRule="auto"/>
              <w:rPr>
                <w:rFonts w:ascii="Arial" w:hAnsi="Arial" w:cs="Arial"/>
                <w:sz w:val="24"/>
                <w:szCs w:val="24"/>
              </w:rPr>
            </w:pPr>
            <w:r w:rsidRPr="00315335">
              <w:rPr>
                <w:rFonts w:ascii="Arial" w:hAnsi="Arial" w:cs="Arial"/>
                <w:sz w:val="24"/>
                <w:szCs w:val="24"/>
              </w:rPr>
              <w:t>de interes judeţean</w:t>
            </w:r>
          </w:p>
        </w:tc>
        <w:tc>
          <w:tcPr>
            <w:tcW w:w="1941"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2216"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sz w:val="24"/>
                <w:szCs w:val="24"/>
              </w:rPr>
            </w:pPr>
            <w:r w:rsidRPr="00315335">
              <w:rPr>
                <w:rFonts w:ascii="Arial" w:hAnsi="Arial" w:cs="Arial"/>
                <w:sz w:val="24"/>
                <w:szCs w:val="24"/>
              </w:rPr>
              <w:t>-</w:t>
            </w:r>
          </w:p>
        </w:tc>
        <w:tc>
          <w:tcPr>
            <w:tcW w:w="2006" w:type="dxa"/>
            <w:tcBorders>
              <w:top w:val="single" w:sz="18" w:space="0" w:color="auto"/>
            </w:tcBorders>
            <w:vAlign w:val="center"/>
          </w:tcPr>
          <w:p w:rsidR="00737DE6" w:rsidRPr="00315335" w:rsidRDefault="00737DE6" w:rsidP="00916B06">
            <w:pPr>
              <w:shd w:val="clear" w:color="auto" w:fill="FFFFFF"/>
              <w:spacing w:after="0" w:line="240" w:lineRule="auto"/>
              <w:jc w:val="center"/>
              <w:rPr>
                <w:rFonts w:ascii="Arial" w:hAnsi="Arial" w:cs="Arial"/>
                <w:b/>
                <w:sz w:val="24"/>
                <w:szCs w:val="24"/>
              </w:rPr>
            </w:pPr>
            <w:r w:rsidRPr="00315335">
              <w:rPr>
                <w:rFonts w:ascii="Arial" w:hAnsi="Arial" w:cs="Arial"/>
                <w:b/>
                <w:sz w:val="24"/>
                <w:szCs w:val="24"/>
              </w:rPr>
              <w:t>-</w:t>
            </w:r>
          </w:p>
        </w:tc>
      </w:tr>
    </w:tbl>
    <w:p w:rsidR="00737DE6" w:rsidRPr="00315335" w:rsidRDefault="00737DE6" w:rsidP="00737DE6">
      <w:pPr>
        <w:shd w:val="clear" w:color="auto" w:fill="FFFFFF"/>
        <w:spacing w:after="0" w:line="240" w:lineRule="auto"/>
        <w:jc w:val="center"/>
        <w:rPr>
          <w:rFonts w:ascii="Arial" w:hAnsi="Arial" w:cs="Arial"/>
          <w:sz w:val="24"/>
          <w:szCs w:val="24"/>
        </w:rPr>
      </w:pPr>
    </w:p>
    <w:p w:rsidR="00737DE6" w:rsidRPr="00315335" w:rsidRDefault="00737DE6" w:rsidP="00737DE6">
      <w:pPr>
        <w:pStyle w:val="Implicit"/>
        <w:tabs>
          <w:tab w:val="clear" w:pos="720"/>
        </w:tabs>
        <w:spacing w:after="0" w:line="240" w:lineRule="auto"/>
        <w:ind w:firstLine="708"/>
        <w:jc w:val="both"/>
        <w:rPr>
          <w:rFonts w:ascii="Arial" w:hAnsi="Arial" w:cs="Arial"/>
          <w:bCs/>
          <w:color w:val="auto"/>
        </w:rPr>
      </w:pPr>
      <w:r w:rsidRPr="00315335">
        <w:rPr>
          <w:rFonts w:ascii="Arial" w:hAnsi="Arial" w:cs="Arial"/>
          <w:iCs/>
          <w:color w:val="auto"/>
        </w:rPr>
        <w:t xml:space="preserve">După apariția  OUG  nr. 75/2018 care a modificat </w:t>
      </w:r>
      <w:r w:rsidRPr="00315335">
        <w:rPr>
          <w:rFonts w:ascii="Arial" w:hAnsi="Arial" w:cs="Arial"/>
          <w:i/>
          <w:color w:val="auto"/>
        </w:rPr>
        <w:t xml:space="preserve">OUG nr. 57/2007 privind regimul ariilor naturale protejate, conservarea habitatelor naturale, a florei şi faunei sălbatice, aprobată cu modificări şi completări prin Legea nr. 49/2011, cu modificările ulterioare, </w:t>
      </w:r>
      <w:r w:rsidRPr="00315335">
        <w:rPr>
          <w:rFonts w:ascii="Arial" w:hAnsi="Arial" w:cs="Arial"/>
          <w:color w:val="auto"/>
        </w:rPr>
        <w:t xml:space="preserve">toate convențiile de custodie au încetat de drept iar ANANP a devenit custode pentru toate ariile protejate (excepție Parcul Natural Balta Mică a Brăilei care are administrație proprie). </w:t>
      </w:r>
    </w:p>
    <w:p w:rsidR="00737DE6" w:rsidRPr="00315335" w:rsidRDefault="00737DE6" w:rsidP="00737DE6">
      <w:pPr>
        <w:pStyle w:val="Implicit"/>
        <w:spacing w:after="0" w:line="240" w:lineRule="auto"/>
        <w:jc w:val="both"/>
        <w:rPr>
          <w:color w:val="auto"/>
        </w:rPr>
      </w:pPr>
    </w:p>
    <w:p w:rsidR="00737DE6" w:rsidRPr="00315335" w:rsidRDefault="00737DE6" w:rsidP="00737DE6">
      <w:pPr>
        <w:shd w:val="clear" w:color="auto" w:fill="FFFFFF"/>
        <w:spacing w:after="0" w:line="240" w:lineRule="auto"/>
        <w:ind w:firstLine="708"/>
        <w:jc w:val="both"/>
        <w:rPr>
          <w:rFonts w:ascii="Arial" w:hAnsi="Arial" w:cs="Arial"/>
          <w:b/>
          <w:sz w:val="24"/>
          <w:szCs w:val="24"/>
          <w:shd w:val="clear" w:color="auto" w:fill="FFFFFF"/>
        </w:rPr>
      </w:pPr>
      <w:r w:rsidRPr="00315335">
        <w:rPr>
          <w:rFonts w:ascii="Arial" w:hAnsi="Arial" w:cs="Arial"/>
          <w:b/>
          <w:sz w:val="24"/>
          <w:szCs w:val="24"/>
          <w:shd w:val="clear" w:color="auto" w:fill="FFFFFF"/>
        </w:rPr>
        <w:t>Situația elaborării și implementării planurilor de management și a regulamentelor:</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Există 7 planuri de management aprobate pentru 11 arii naturale protejate (parte din ele suprapuse), care includ și regulamentul ariei:</w:t>
      </w:r>
    </w:p>
    <w:p w:rsidR="00737DE6" w:rsidRPr="00315335" w:rsidRDefault="00737DE6" w:rsidP="0010044C">
      <w:pPr>
        <w:pStyle w:val="Listparagraf"/>
        <w:numPr>
          <w:ilvl w:val="0"/>
          <w:numId w:val="82"/>
        </w:numPr>
        <w:shd w:val="clear" w:color="auto" w:fill="FFFFFF"/>
        <w:tabs>
          <w:tab w:val="left" w:pos="720"/>
        </w:tabs>
        <w:suppressAutoHyphens/>
        <w:contextualSpacing w:val="0"/>
        <w:jc w:val="both"/>
        <w:rPr>
          <w:rFonts w:ascii="Arial" w:hAnsi="Arial" w:cs="Arial"/>
        </w:rPr>
      </w:pPr>
      <w:r w:rsidRPr="00315335">
        <w:rPr>
          <w:rFonts w:ascii="Arial" w:hAnsi="Arial" w:cs="Arial"/>
        </w:rPr>
        <w:t>Pentru Parcul Natural Balta Mică a Brăilei care se suprapune cu ROSPA0005 Balta Mică a Brăilei şi ROSCI0006 Balta Mică a Brăilei și cu Situl Ramsar cu aceeași denumire, există plan de management aprobat prin HG 538/2011.</w:t>
      </w:r>
    </w:p>
    <w:p w:rsidR="00737DE6" w:rsidRPr="00315335" w:rsidRDefault="00737DE6" w:rsidP="0010044C">
      <w:pPr>
        <w:pStyle w:val="Listparagraf"/>
        <w:numPr>
          <w:ilvl w:val="0"/>
          <w:numId w:val="82"/>
        </w:numPr>
        <w:shd w:val="clear" w:color="auto" w:fill="FFFFFF"/>
        <w:tabs>
          <w:tab w:val="left" w:pos="720"/>
        </w:tabs>
        <w:suppressAutoHyphens/>
        <w:contextualSpacing w:val="0"/>
        <w:jc w:val="both"/>
        <w:rPr>
          <w:rFonts w:ascii="Arial" w:hAnsi="Arial" w:cs="Arial"/>
        </w:rPr>
      </w:pPr>
      <w:r w:rsidRPr="00315335">
        <w:rPr>
          <w:rFonts w:ascii="Arial" w:hAnsi="Arial" w:cs="Arial"/>
        </w:rPr>
        <w:t>Prin proiectul ”Evaluarea stării de conservare a ariilor de protecţie speciale avifaunistice ROSPA0006, ROSPA0038, ROSPA0048, ROSPA0077, ROSPA0058 şi ROSPA0064” Asociația OTUS a realizat planuri de management  pentru 3  arii protejate din Județul Brăila: ROSPA0006 Balta Tătaru, ROSPA0048 Ianca-Plopu-Sărat şi ROSPA0077 Măxineni aprobate prin Ordinele Ministerului Mediului Apelor și Pădurilor (MMAP) nr. 1217/29.06.2016, 1215/29.06.2016 și respectiv 1221/29.06.2016 .</w:t>
      </w:r>
    </w:p>
    <w:p w:rsidR="00737DE6" w:rsidRPr="00315335" w:rsidRDefault="00737DE6" w:rsidP="0010044C">
      <w:pPr>
        <w:pStyle w:val="Listparagraf"/>
        <w:numPr>
          <w:ilvl w:val="0"/>
          <w:numId w:val="82"/>
        </w:numPr>
        <w:shd w:val="clear" w:color="auto" w:fill="FFFFFF"/>
        <w:tabs>
          <w:tab w:val="left" w:pos="720"/>
        </w:tabs>
        <w:suppressAutoHyphens/>
        <w:contextualSpacing w:val="0"/>
        <w:jc w:val="both"/>
        <w:rPr>
          <w:rFonts w:ascii="Arial" w:hAnsi="Arial" w:cs="Arial"/>
        </w:rPr>
      </w:pPr>
      <w:r w:rsidRPr="00315335">
        <w:rPr>
          <w:rFonts w:ascii="Arial" w:hAnsi="Arial" w:cs="Arial"/>
        </w:rPr>
        <w:t>Tot în anul 2016 au fost aprobate planurile de management pentru  ROSPA0071 și ROSCI0162 ambele  denumite Lunca Siretului Inferior și pentru ROSCI0103 Lunca Buzăului ( Ordinele MMAP 949/19.05.2016 și respectiv 1075/2016).</w:t>
      </w:r>
    </w:p>
    <w:p w:rsidR="00737DE6" w:rsidRPr="00315335" w:rsidRDefault="00737DE6" w:rsidP="0010044C">
      <w:pPr>
        <w:pStyle w:val="Listparagraf"/>
        <w:numPr>
          <w:ilvl w:val="0"/>
          <w:numId w:val="82"/>
        </w:numPr>
        <w:shd w:val="clear" w:color="auto" w:fill="FFFFFF"/>
        <w:tabs>
          <w:tab w:val="left" w:pos="720"/>
        </w:tabs>
        <w:suppressAutoHyphens/>
        <w:contextualSpacing w:val="0"/>
        <w:jc w:val="both"/>
        <w:rPr>
          <w:rFonts w:ascii="Arial" w:hAnsi="Arial" w:cs="Arial"/>
        </w:rPr>
      </w:pPr>
      <w:r w:rsidRPr="00315335">
        <w:rPr>
          <w:rFonts w:ascii="Arial" w:hAnsi="Arial" w:cs="Arial"/>
        </w:rPr>
        <w:t xml:space="preserve">Prin proiectul ”Conservarea biodiversităţii în ariile naturale protejate Pădurea Breana Roșcani, Pădurea Pogănești, Pădurea Fundeanu, Pădurea Tălășmani, Pădurea Camniţa”,  cod SMIS-CSNR 35635 Asociaţia Judeţeană a Pescarilor Sportivi (AJPS) Galaţi a elaborat planul de management pentru Rezervația Naturală Camnița (care este inclusă în ariile protejate ROSCI0103 și ROSPA0160 Lunca Buzăului), aprobat prin Ord. MMAP nr. 211/8.02.2016. </w:t>
      </w:r>
    </w:p>
    <w:p w:rsidR="00737DE6" w:rsidRPr="00315335" w:rsidRDefault="00737DE6" w:rsidP="0010044C">
      <w:pPr>
        <w:pStyle w:val="Listparagraf"/>
        <w:numPr>
          <w:ilvl w:val="0"/>
          <w:numId w:val="82"/>
        </w:numPr>
        <w:shd w:val="clear" w:color="auto" w:fill="FFFFFF"/>
        <w:tabs>
          <w:tab w:val="left" w:pos="720"/>
        </w:tabs>
        <w:suppressAutoHyphens/>
        <w:contextualSpacing w:val="0"/>
        <w:jc w:val="both"/>
        <w:rPr>
          <w:rFonts w:ascii="Arial" w:hAnsi="Arial" w:cs="Arial"/>
        </w:rPr>
      </w:pPr>
      <w:r w:rsidRPr="00315335">
        <w:rPr>
          <w:rFonts w:ascii="Arial" w:hAnsi="Arial" w:cs="Arial"/>
        </w:rPr>
        <w:t>Pentru ROSPA0004 Balta Albă-Amara-Jirlău și ROSCI0005 Balta Albă-Amara-Jirlău-Lacul Sărat Câineni care sunt din anul 2014 în custodia Asociației Maximilian Buzău custodele  a elaborat în 2016 Regulamentul și l-a trimis spre aprobare la ANPM.</w:t>
      </w:r>
    </w:p>
    <w:p w:rsidR="00737DE6" w:rsidRPr="00315335" w:rsidRDefault="00737DE6" w:rsidP="0010044C">
      <w:pPr>
        <w:pStyle w:val="Listparagraf"/>
        <w:numPr>
          <w:ilvl w:val="0"/>
          <w:numId w:val="82"/>
        </w:numPr>
        <w:shd w:val="clear" w:color="auto" w:fill="FFFFFF"/>
        <w:tabs>
          <w:tab w:val="left" w:pos="720"/>
        </w:tabs>
        <w:suppressAutoHyphens/>
        <w:contextualSpacing w:val="0"/>
        <w:jc w:val="both"/>
        <w:rPr>
          <w:rFonts w:ascii="Arial" w:hAnsi="Arial" w:cs="Arial"/>
        </w:rPr>
      </w:pPr>
      <w:r w:rsidRPr="00315335">
        <w:rPr>
          <w:rFonts w:ascii="Arial" w:hAnsi="Arial" w:cs="Arial"/>
        </w:rPr>
        <w:t xml:space="preserve">Sunt în derulare trei proiecte cu finanțare europeană care au ca scop elaborarea planurilor de management pentru  ROSCI0389 Sărăturile de la Gura Ialomiţei - Mihai Bravu împreună cu ROSPA0111 Berteştii de Sus - Gura Ialomiţei și pentru ROSPA0040 Dunarea Veche –Bratul Macin, ROSCI0012 Bratul Macin si rezervatia nationala Lacul Traian, precum și pentru  ROSCI0005 Balta Albă-Amara-Jirlău-Lacul Sărat Câineni,   </w:t>
      </w:r>
      <w:r w:rsidRPr="00315335">
        <w:rPr>
          <w:rFonts w:ascii="Arial" w:hAnsi="Arial" w:cs="Arial"/>
        </w:rPr>
        <w:lastRenderedPageBreak/>
        <w:t>ROSPA0004 Balta Albă-Amara-Jirlău, 2.271 Balta Albă, 2.272 Balta Amara, 2.260 Lacul Jirlău-Vișani</w:t>
      </w:r>
    </w:p>
    <w:p w:rsidR="00737DE6" w:rsidRPr="00315335" w:rsidRDefault="00737DE6" w:rsidP="00737DE6">
      <w:pPr>
        <w:pStyle w:val="Subsol"/>
        <w:shd w:val="clear" w:color="auto" w:fill="FFFFFF"/>
        <w:ind w:right="-402" w:firstLine="720"/>
        <w:jc w:val="both"/>
        <w:rPr>
          <w:rFonts w:ascii="Arial" w:hAnsi="Arial" w:cs="Arial"/>
          <w:b/>
          <w:sz w:val="24"/>
          <w:szCs w:val="24"/>
          <w:u w:val="single"/>
        </w:rPr>
      </w:pP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b/>
          <w:sz w:val="24"/>
          <w:szCs w:val="24"/>
          <w:u w:val="single"/>
          <w:shd w:val="clear" w:color="auto" w:fill="FFFFFF"/>
        </w:rPr>
        <w:t xml:space="preserve">Balta Mică a Brăilei </w:t>
      </w:r>
      <w:r w:rsidRPr="00315335">
        <w:rPr>
          <w:rFonts w:ascii="Arial" w:hAnsi="Arial" w:cs="Arial"/>
          <w:sz w:val="24"/>
          <w:szCs w:val="24"/>
          <w:shd w:val="clear" w:color="auto" w:fill="FFFFFF"/>
        </w:rPr>
        <w:t>- parc natural, arie de protecţie specială avifaunistică ROSPA0005, sit de importanţă comunitară ROSCI0006, zonă umedă de importanţă comunitară (Sit Ramsar).</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 xml:space="preserve">Parcul a fost încredinţat spre administrare de către Ministerul Mediului şi Gospodăririi Apelor Regiei Naţionale a Pădurilor „Romsilva” (RNP) în anul 2003. </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 xml:space="preserve">Structura de administrare a parcului natural este stabilită prin HG 230/2003 privind delimitarea rezervaţiilor biosferei, parcurilor naţionale şi parcurilor naturale şi constituirea administraţiilor acestora şi cuprinde 13 posturi. Această structură este funcţională, îndeplinindu-şi atribuţiile conform "Regulamentului de organizare şi funcţionare al structurii de administrare", avizat de către R.N.P. Romsilva. </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 xml:space="preserve">Regulamentul şi planul de management realizate în cadrul proiectului LIFE 99NAT/RO/006400 şi aprobate prin Ord. MAPM nr. 1456/2003 au fost revizuite, iar noua formă a acestora a fost aprobată prin H.G. nr. 538/2011. </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Consiliul Științific, CCAdm</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În perioada 2011-2015  administraţia parcului a implementat proiectul ”Managementul capitalului natural din Balta Mică a Brăilei prin abordare integrată, evaluare şi conştientizare” finanţat în cadrul Programului Operaţional Sectorial Mediu, Axa 4, care a avut ca obiective:</w:t>
      </w:r>
    </w:p>
    <w:p w:rsidR="00737DE6" w:rsidRPr="00315335" w:rsidRDefault="00737DE6" w:rsidP="0010044C">
      <w:pPr>
        <w:pStyle w:val="Listparagraf"/>
        <w:numPr>
          <w:ilvl w:val="0"/>
          <w:numId w:val="66"/>
        </w:numPr>
        <w:shd w:val="clear" w:color="auto" w:fill="FFFFFF"/>
        <w:tabs>
          <w:tab w:val="num" w:pos="1476"/>
        </w:tabs>
        <w:jc w:val="both"/>
        <w:rPr>
          <w:rFonts w:ascii="Arial" w:hAnsi="Arial" w:cs="Arial"/>
        </w:rPr>
      </w:pPr>
      <w:r w:rsidRPr="00315335">
        <w:rPr>
          <w:rFonts w:ascii="Arial" w:hAnsi="Arial" w:cs="Arial"/>
          <w:noProof/>
        </w:rPr>
        <w:t>Îmbunătăţirea managementului Parcului Natural Balta Mică a Brăilei în contextul instituirii statutului de sit de importanţă comunitară şi arie de protecţie specială avifaunistică pentru această arie naturală protejată şi creşterea capacităţii instituţionale de gestionare a reţelei Natura 2000;</w:t>
      </w:r>
    </w:p>
    <w:p w:rsidR="00737DE6" w:rsidRPr="00315335" w:rsidRDefault="00737DE6" w:rsidP="0010044C">
      <w:pPr>
        <w:pStyle w:val="Listparagraf"/>
        <w:numPr>
          <w:ilvl w:val="0"/>
          <w:numId w:val="66"/>
        </w:numPr>
        <w:shd w:val="clear" w:color="auto" w:fill="FFFFFF"/>
        <w:tabs>
          <w:tab w:val="num" w:pos="1476"/>
        </w:tabs>
        <w:jc w:val="both"/>
        <w:rPr>
          <w:rFonts w:ascii="Arial" w:hAnsi="Arial" w:cs="Arial"/>
        </w:rPr>
      </w:pPr>
      <w:r w:rsidRPr="00315335">
        <w:rPr>
          <w:rFonts w:ascii="Arial" w:hAnsi="Arial" w:cs="Arial"/>
          <w:noProof/>
        </w:rPr>
        <w:t>Creşterea magnitudinii biodiversităţii Parcului Natural Balta Mică a Brăilei după modelul complexelor de ecosisteme acvatice şi terestre existente înainte de deceniul 6 şi îmbunătăţirea serviciilor oferite de ecosisteme;</w:t>
      </w:r>
    </w:p>
    <w:p w:rsidR="00737DE6" w:rsidRPr="00315335" w:rsidRDefault="00737DE6" w:rsidP="0010044C">
      <w:pPr>
        <w:pStyle w:val="Listparagraf"/>
        <w:numPr>
          <w:ilvl w:val="0"/>
          <w:numId w:val="66"/>
        </w:numPr>
        <w:shd w:val="clear" w:color="auto" w:fill="FFFFFF"/>
        <w:tabs>
          <w:tab w:val="num" w:pos="1476"/>
        </w:tabs>
        <w:jc w:val="both"/>
        <w:rPr>
          <w:rFonts w:ascii="Arial" w:hAnsi="Arial" w:cs="Arial"/>
        </w:rPr>
      </w:pPr>
      <w:r w:rsidRPr="00315335">
        <w:rPr>
          <w:rFonts w:ascii="Arial" w:hAnsi="Arial" w:cs="Arial"/>
          <w:noProof/>
        </w:rPr>
        <w:t>Îmbunătăţirea percepţiei în rândul celor 4 grupuri ţintă-comunităţile locale, elevi, vizitatori, utilizatori de resurse şi servicii oferite de ecosistemele din parc,despre valoarea patrimoniului natural din Parcul Natural Balta Mică a Brăilei.</w:t>
      </w:r>
    </w:p>
    <w:p w:rsidR="00737DE6" w:rsidRPr="00315335" w:rsidRDefault="00737DE6" w:rsidP="00737DE6">
      <w:pPr>
        <w:pStyle w:val="Listparagraf"/>
        <w:shd w:val="clear" w:color="auto" w:fill="FFFFFF"/>
        <w:jc w:val="both"/>
        <w:rPr>
          <w:rFonts w:ascii="Arial" w:hAnsi="Arial" w:cs="Arial"/>
        </w:rPr>
      </w:pP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Beneficiarul proiectului a fost administraţia parcului , iar APM Brăila şi Muzeul Brăilei au fost parteneri în implementarea acestuia.În cadrul proiectului s-a realizat un centru de vizitare plutitor cu spații amenajate destinate administrării ariei protejate și informării (sală de conferințe și muzeu).</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r w:rsidRPr="00315335">
        <w:rPr>
          <w:rFonts w:ascii="Arial" w:hAnsi="Arial" w:cs="Arial"/>
          <w:sz w:val="24"/>
          <w:szCs w:val="24"/>
          <w:shd w:val="clear" w:color="auto" w:fill="FFFFFF"/>
        </w:rPr>
        <w:t>Până la elaborarea planului de management, custozii au obligația de a aplica planul de acțiuni prevăzut în dosarul de candidatură cu care au participat la sesiunea de atribuire în custodie.</w:t>
      </w:r>
    </w:p>
    <w:p w:rsidR="00737DE6" w:rsidRPr="00315335" w:rsidRDefault="00737DE6" w:rsidP="00737DE6">
      <w:pPr>
        <w:shd w:val="clear" w:color="auto" w:fill="FFFFFF"/>
        <w:spacing w:after="0" w:line="240" w:lineRule="auto"/>
        <w:ind w:firstLine="708"/>
        <w:jc w:val="both"/>
        <w:rPr>
          <w:rFonts w:ascii="Arial" w:hAnsi="Arial" w:cs="Arial"/>
          <w:sz w:val="24"/>
          <w:szCs w:val="24"/>
          <w:shd w:val="clear" w:color="auto" w:fill="FFFFFF"/>
        </w:rPr>
      </w:pPr>
    </w:p>
    <w:p w:rsidR="00737DE6" w:rsidRPr="00315335" w:rsidRDefault="00737DE6" w:rsidP="00737DE6">
      <w:pPr>
        <w:pStyle w:val="Indentcorptext2"/>
        <w:spacing w:after="0" w:line="240" w:lineRule="auto"/>
        <w:ind w:left="0"/>
        <w:jc w:val="both"/>
        <w:rPr>
          <w:rFonts w:ascii="Arial" w:hAnsi="Arial" w:cs="Arial"/>
          <w:b/>
          <w:lang w:val="en-US"/>
        </w:rPr>
      </w:pPr>
      <w:r w:rsidRPr="00315335">
        <w:rPr>
          <w:rFonts w:ascii="Arial" w:hAnsi="Arial" w:cs="Arial"/>
          <w:b/>
          <w:lang w:val="en-US"/>
        </w:rPr>
        <w:t>VI. PǍDURILE</w:t>
      </w:r>
    </w:p>
    <w:p w:rsidR="00737DE6" w:rsidRPr="00315335" w:rsidRDefault="00737DE6" w:rsidP="00737DE6">
      <w:pPr>
        <w:pStyle w:val="Indentcorptext2"/>
        <w:spacing w:after="0" w:line="240" w:lineRule="auto"/>
        <w:ind w:left="0"/>
        <w:jc w:val="both"/>
        <w:rPr>
          <w:rFonts w:ascii="Arial" w:hAnsi="Arial" w:cs="Arial"/>
          <w:b/>
          <w:sz w:val="32"/>
          <w:szCs w:val="32"/>
          <w:lang w:val="en-US"/>
        </w:rPr>
      </w:pPr>
    </w:p>
    <w:p w:rsidR="00737DE6" w:rsidRPr="00315335" w:rsidRDefault="00737DE6" w:rsidP="00737DE6">
      <w:pPr>
        <w:spacing w:after="0" w:line="240" w:lineRule="auto"/>
        <w:ind w:firstLine="708"/>
        <w:rPr>
          <w:rFonts w:ascii="Arial" w:hAnsi="Arial" w:cs="Arial"/>
          <w:b/>
          <w:sz w:val="24"/>
          <w:szCs w:val="24"/>
        </w:rPr>
      </w:pPr>
      <w:r w:rsidRPr="00315335">
        <w:rPr>
          <w:rFonts w:ascii="Arial" w:hAnsi="Arial" w:cs="Arial"/>
          <w:b/>
          <w:sz w:val="24"/>
          <w:szCs w:val="24"/>
          <w:lang w:val="en-US"/>
        </w:rPr>
        <w:t>VI.1. Fondul forestier național : stare și consecințe</w:t>
      </w:r>
    </w:p>
    <w:p w:rsidR="00737DE6" w:rsidRPr="00315335" w:rsidRDefault="00737DE6" w:rsidP="00737DE6">
      <w:pPr>
        <w:spacing w:after="0" w:line="240" w:lineRule="auto"/>
        <w:ind w:firstLine="708"/>
        <w:rPr>
          <w:rFonts w:ascii="Arial" w:hAnsi="Arial" w:cs="Arial"/>
          <w:b/>
          <w:sz w:val="24"/>
          <w:szCs w:val="24"/>
          <w:lang w:val="en-US"/>
        </w:rPr>
      </w:pPr>
      <w:r w:rsidRPr="00315335">
        <w:rPr>
          <w:rFonts w:ascii="Arial" w:hAnsi="Arial" w:cs="Arial"/>
          <w:b/>
          <w:i/>
          <w:sz w:val="24"/>
          <w:szCs w:val="24"/>
          <w:lang w:val="en-US"/>
        </w:rPr>
        <w:t xml:space="preserve">    VI.1.1. Evoluţia suprafeţei fondului forestier </w:t>
      </w:r>
    </w:p>
    <w:p w:rsidR="00737DE6" w:rsidRPr="00315335" w:rsidRDefault="00737DE6" w:rsidP="00737DE6">
      <w:pPr>
        <w:spacing w:after="0" w:line="240" w:lineRule="auto"/>
        <w:jc w:val="both"/>
        <w:rPr>
          <w:rFonts w:ascii="Arial" w:hAnsi="Arial" w:cs="Arial"/>
          <w:sz w:val="24"/>
          <w:szCs w:val="24"/>
        </w:rPr>
      </w:pPr>
      <w:r w:rsidRPr="00315335">
        <w:rPr>
          <w:rFonts w:ascii="Arial" w:hAnsi="Arial" w:cs="Arial"/>
          <w:sz w:val="24"/>
          <w:szCs w:val="24"/>
        </w:rPr>
        <w:t>Fondul forestier cuprinde păduri şi alte terenuri împădurite, clasificat în funcţie de tipul de pădure şi de disponibilitatea de furnizare a lemnului. Fondul forestier naţional cuprinde totalitatea pădurilor, a terenurilor destinate împăduririi, a terenurilor cu destinaţie forestieră şi neproductivă, cuprinse în amenajamentele silvice la 01.01.1990 sau incluse ulterior, în condiţiile legii, indiferent de forma de proprietate. Sunt considerate păduri, în sensul Codului Silvic şi sunt incluse în fondul forestier naţional, terenurile cu o suprafaţă de cel puţin 0,25 ha, acoperite cu arbori; arborii trebuie să atingă o înălţime minimă de 5 m la maturitate în condiţii normale de vegetaţie.</w:t>
      </w:r>
    </w:p>
    <w:p w:rsidR="00737DE6" w:rsidRPr="00315335" w:rsidRDefault="00737DE6" w:rsidP="00737DE6">
      <w:pPr>
        <w:spacing w:after="0" w:line="240" w:lineRule="auto"/>
        <w:rPr>
          <w:rFonts w:ascii="Arial" w:hAnsi="Arial" w:cs="Arial"/>
          <w:b/>
          <w:sz w:val="24"/>
          <w:szCs w:val="24"/>
          <w:lang w:val="en-US"/>
        </w:rPr>
      </w:pPr>
      <w:r w:rsidRPr="00315335">
        <w:rPr>
          <w:rFonts w:ascii="Arial" w:hAnsi="Arial" w:cs="Arial"/>
          <w:b/>
          <w:sz w:val="24"/>
          <w:szCs w:val="24"/>
          <w:lang w:val="en-US"/>
        </w:rPr>
        <w:t>Tabelul nr. VI.1.1. - 1  Evoluţia fondului forestier în judeţul Brăila, în perioada anilor  2014-2018</w:t>
      </w:r>
    </w:p>
    <w:tbl>
      <w:tblPr>
        <w:tblStyle w:val="Tabelgril"/>
        <w:tblW w:w="0" w:type="auto"/>
        <w:jc w:val="center"/>
        <w:shd w:val="clear" w:color="auto" w:fill="E5DFEC" w:themeFill="accent4" w:themeFillTint="33"/>
        <w:tblLook w:val="04A0" w:firstRow="1" w:lastRow="0" w:firstColumn="1" w:lastColumn="0" w:noHBand="0" w:noVBand="1"/>
      </w:tblPr>
      <w:tblGrid>
        <w:gridCol w:w="3828"/>
        <w:gridCol w:w="992"/>
        <w:gridCol w:w="1134"/>
        <w:gridCol w:w="1134"/>
        <w:gridCol w:w="992"/>
        <w:gridCol w:w="1100"/>
      </w:tblGrid>
      <w:tr w:rsidR="00315335" w:rsidRPr="00315335" w:rsidTr="00916B06">
        <w:trPr>
          <w:jc w:val="center"/>
        </w:trPr>
        <w:tc>
          <w:tcPr>
            <w:tcW w:w="382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Anul</w:t>
            </w:r>
          </w:p>
        </w:tc>
        <w:tc>
          <w:tcPr>
            <w:tcW w:w="992"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2014</w:t>
            </w:r>
          </w:p>
        </w:tc>
        <w:tc>
          <w:tcPr>
            <w:tcW w:w="1134"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2015</w:t>
            </w:r>
          </w:p>
        </w:tc>
        <w:tc>
          <w:tcPr>
            <w:tcW w:w="1134"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2016</w:t>
            </w:r>
          </w:p>
        </w:tc>
        <w:tc>
          <w:tcPr>
            <w:tcW w:w="992"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2017</w:t>
            </w:r>
          </w:p>
        </w:tc>
        <w:tc>
          <w:tcPr>
            <w:tcW w:w="1100"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2018</w:t>
            </w:r>
          </w:p>
        </w:tc>
      </w:tr>
      <w:tr w:rsidR="00315335" w:rsidRPr="00315335" w:rsidTr="00916B06">
        <w:trPr>
          <w:jc w:val="center"/>
        </w:trPr>
        <w:tc>
          <w:tcPr>
            <w:tcW w:w="382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Fond forestier (ha)</w:t>
            </w:r>
          </w:p>
        </w:tc>
        <w:tc>
          <w:tcPr>
            <w:tcW w:w="992" w:type="dxa"/>
            <w:shd w:val="clear" w:color="auto" w:fill="E5DFEC" w:themeFill="accent4" w:themeFillTint="33"/>
          </w:tcPr>
          <w:p w:rsidR="00737DE6" w:rsidRPr="00315335" w:rsidRDefault="00737DE6" w:rsidP="00916B06">
            <w:pPr>
              <w:rPr>
                <w:rFonts w:ascii="Arial" w:eastAsia="Calibri" w:hAnsi="Arial" w:cs="Arial"/>
                <w:sz w:val="24"/>
                <w:szCs w:val="24"/>
              </w:rPr>
            </w:pPr>
            <w:r w:rsidRPr="00315335">
              <w:rPr>
                <w:rFonts w:ascii="Arial" w:eastAsia="Calibri" w:hAnsi="Arial" w:cs="Arial"/>
                <w:sz w:val="24"/>
                <w:szCs w:val="24"/>
              </w:rPr>
              <w:t>27414</w:t>
            </w:r>
          </w:p>
        </w:tc>
        <w:tc>
          <w:tcPr>
            <w:tcW w:w="1134" w:type="dxa"/>
            <w:shd w:val="clear" w:color="auto" w:fill="E5DFEC" w:themeFill="accent4" w:themeFillTint="33"/>
          </w:tcPr>
          <w:p w:rsidR="00737DE6" w:rsidRPr="00315335" w:rsidRDefault="00737DE6" w:rsidP="00916B06">
            <w:pPr>
              <w:rPr>
                <w:rFonts w:ascii="Arial" w:eastAsia="Calibri" w:hAnsi="Arial" w:cs="Arial"/>
                <w:sz w:val="24"/>
                <w:szCs w:val="24"/>
              </w:rPr>
            </w:pPr>
            <w:r w:rsidRPr="00315335">
              <w:rPr>
                <w:rFonts w:ascii="Arial" w:eastAsia="Calibri" w:hAnsi="Arial" w:cs="Arial"/>
                <w:sz w:val="24"/>
                <w:szCs w:val="24"/>
              </w:rPr>
              <w:t>28026</w:t>
            </w:r>
          </w:p>
        </w:tc>
        <w:tc>
          <w:tcPr>
            <w:tcW w:w="1134" w:type="dxa"/>
            <w:shd w:val="clear" w:color="auto" w:fill="E5DFEC" w:themeFill="accent4" w:themeFillTint="33"/>
          </w:tcPr>
          <w:p w:rsidR="00737DE6" w:rsidRPr="00315335" w:rsidRDefault="00737DE6" w:rsidP="00916B06">
            <w:pPr>
              <w:rPr>
                <w:rFonts w:ascii="Arial" w:eastAsia="Calibri" w:hAnsi="Arial" w:cs="Arial"/>
                <w:sz w:val="24"/>
                <w:szCs w:val="24"/>
              </w:rPr>
            </w:pPr>
            <w:r w:rsidRPr="00315335">
              <w:rPr>
                <w:rFonts w:ascii="Arial" w:eastAsia="Calibri" w:hAnsi="Arial" w:cs="Arial"/>
                <w:sz w:val="24"/>
                <w:szCs w:val="24"/>
              </w:rPr>
              <w:t>28230</w:t>
            </w:r>
          </w:p>
        </w:tc>
        <w:tc>
          <w:tcPr>
            <w:tcW w:w="992" w:type="dxa"/>
            <w:shd w:val="clear" w:color="auto" w:fill="E5DFEC" w:themeFill="accent4" w:themeFillTint="33"/>
          </w:tcPr>
          <w:p w:rsidR="00737DE6" w:rsidRPr="00315335" w:rsidRDefault="00737DE6" w:rsidP="00916B06">
            <w:pPr>
              <w:rPr>
                <w:rFonts w:ascii="Arial" w:eastAsia="Calibri" w:hAnsi="Arial" w:cs="Arial"/>
                <w:sz w:val="24"/>
                <w:szCs w:val="24"/>
              </w:rPr>
            </w:pPr>
            <w:r w:rsidRPr="00315335">
              <w:rPr>
                <w:rFonts w:ascii="Arial" w:eastAsia="Calibri" w:hAnsi="Arial" w:cs="Arial"/>
                <w:sz w:val="24"/>
                <w:szCs w:val="24"/>
              </w:rPr>
              <w:t>28296</w:t>
            </w:r>
          </w:p>
        </w:tc>
        <w:tc>
          <w:tcPr>
            <w:tcW w:w="1100" w:type="dxa"/>
            <w:shd w:val="clear" w:color="auto" w:fill="E5DFEC" w:themeFill="accent4" w:themeFillTint="33"/>
          </w:tcPr>
          <w:p w:rsidR="00737DE6" w:rsidRPr="00315335" w:rsidRDefault="00737DE6" w:rsidP="00916B06">
            <w:pPr>
              <w:rPr>
                <w:rFonts w:ascii="Arial" w:eastAsia="Calibri" w:hAnsi="Arial" w:cs="Arial"/>
                <w:sz w:val="24"/>
                <w:szCs w:val="24"/>
              </w:rPr>
            </w:pPr>
            <w:r w:rsidRPr="00315335">
              <w:rPr>
                <w:rFonts w:ascii="Arial" w:eastAsia="Calibri" w:hAnsi="Arial" w:cs="Arial"/>
                <w:sz w:val="24"/>
                <w:szCs w:val="24"/>
              </w:rPr>
              <w:t>28293</w:t>
            </w:r>
          </w:p>
        </w:tc>
      </w:tr>
    </w:tbl>
    <w:p w:rsidR="00737DE6" w:rsidRPr="00315335" w:rsidRDefault="00737DE6" w:rsidP="00737DE6">
      <w:pPr>
        <w:spacing w:after="0" w:line="240" w:lineRule="auto"/>
        <w:jc w:val="both"/>
        <w:rPr>
          <w:rFonts w:ascii="Arial" w:hAnsi="Arial" w:cs="Arial"/>
          <w:sz w:val="24"/>
          <w:szCs w:val="24"/>
        </w:rPr>
      </w:pPr>
    </w:p>
    <w:p w:rsidR="00737DE6" w:rsidRPr="00315335" w:rsidRDefault="00737DE6" w:rsidP="00737DE6">
      <w:pPr>
        <w:spacing w:after="0" w:line="240" w:lineRule="auto"/>
        <w:jc w:val="both"/>
        <w:rPr>
          <w:rFonts w:ascii="Arial" w:hAnsi="Arial" w:cs="Arial"/>
          <w:sz w:val="24"/>
          <w:szCs w:val="24"/>
        </w:rPr>
      </w:pPr>
    </w:p>
    <w:p w:rsidR="00737DE6" w:rsidRPr="00315335" w:rsidRDefault="00737DE6" w:rsidP="00A36B99">
      <w:pPr>
        <w:spacing w:after="0" w:line="240" w:lineRule="auto"/>
        <w:jc w:val="center"/>
        <w:rPr>
          <w:rFonts w:ascii="Arial" w:hAnsi="Arial" w:cs="Arial"/>
          <w:sz w:val="24"/>
          <w:szCs w:val="24"/>
        </w:rPr>
      </w:pPr>
      <w:r w:rsidRPr="00315335">
        <w:rPr>
          <w:noProof/>
        </w:rPr>
        <w:drawing>
          <wp:inline distT="0" distB="0" distL="0" distR="0" wp14:anchorId="68D7C190" wp14:editId="3829AA06">
            <wp:extent cx="4452938" cy="2743200"/>
            <wp:effectExtent l="0" t="0" r="5080" b="0"/>
            <wp:docPr id="28" name="Diagramă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737DE6" w:rsidRPr="00315335" w:rsidRDefault="00737DE6" w:rsidP="00737DE6">
      <w:pPr>
        <w:spacing w:after="0" w:line="240" w:lineRule="auto"/>
        <w:jc w:val="center"/>
        <w:rPr>
          <w:rFonts w:ascii="Arial" w:hAnsi="Arial" w:cs="Arial"/>
          <w:sz w:val="24"/>
          <w:szCs w:val="24"/>
        </w:rPr>
      </w:pP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b/>
          <w:sz w:val="24"/>
          <w:szCs w:val="24"/>
        </w:rPr>
        <w:t xml:space="preserve">Figura nr.   </w:t>
      </w:r>
      <w:r w:rsidRPr="00315335">
        <w:rPr>
          <w:rFonts w:ascii="Arial" w:hAnsi="Arial" w:cs="Arial"/>
          <w:b/>
          <w:sz w:val="24"/>
          <w:szCs w:val="24"/>
          <w:lang w:val="en-US"/>
        </w:rPr>
        <w:t xml:space="preserve">VI.1.1. - 1 </w:t>
      </w:r>
      <w:r w:rsidRPr="00315335">
        <w:rPr>
          <w:rFonts w:ascii="Arial" w:hAnsi="Arial" w:cs="Arial"/>
          <w:sz w:val="24"/>
          <w:szCs w:val="24"/>
          <w:lang w:val="en-US"/>
        </w:rPr>
        <w:t>Evoluţia fondului forestier în judeţul Brăila, în perioada anilor  2014-2018</w:t>
      </w:r>
    </w:p>
    <w:p w:rsidR="00737DE6" w:rsidRPr="00315335" w:rsidRDefault="00737DE6" w:rsidP="00737DE6">
      <w:pPr>
        <w:pStyle w:val="Antet"/>
        <w:jc w:val="both"/>
        <w:rPr>
          <w:rFonts w:ascii="Arial" w:hAnsi="Arial" w:cs="Arial"/>
          <w:b/>
          <w:sz w:val="24"/>
          <w:szCs w:val="24"/>
        </w:rPr>
      </w:pPr>
      <w:r w:rsidRPr="00315335">
        <w:rPr>
          <w:rFonts w:ascii="Arial" w:hAnsi="Arial" w:cs="Arial"/>
          <w:sz w:val="24"/>
          <w:szCs w:val="24"/>
        </w:rPr>
        <w:t xml:space="preserve">Conform datelor furnizate de către Garda Forestieră Focşani suprafaţa fondului forestier al judeţului Brăila era în anul 2018 de 28293 ha din care cea mai mare parte 81% este proprietate de stat (22955 ha). </w:t>
      </w:r>
    </w:p>
    <w:p w:rsidR="00737DE6" w:rsidRPr="00315335" w:rsidRDefault="00737DE6" w:rsidP="00737DE6">
      <w:pPr>
        <w:spacing w:after="0" w:line="240" w:lineRule="auto"/>
        <w:jc w:val="both"/>
        <w:rPr>
          <w:rFonts w:ascii="Arial" w:hAnsi="Arial" w:cs="Arial"/>
          <w:sz w:val="24"/>
          <w:szCs w:val="24"/>
        </w:rPr>
      </w:pPr>
      <w:r w:rsidRPr="00315335">
        <w:rPr>
          <w:rFonts w:ascii="Arial" w:hAnsi="Arial" w:cs="Arial"/>
          <w:sz w:val="24"/>
          <w:szCs w:val="24"/>
        </w:rPr>
        <w:t>Repartizarea pe forme de proprietate a suprafeţelor din fondul forestier în perioada 2014-2018 este redată în tabelul următor:</w:t>
      </w:r>
    </w:p>
    <w:p w:rsidR="00737DE6" w:rsidRPr="00315335" w:rsidRDefault="00737DE6" w:rsidP="00737DE6">
      <w:pPr>
        <w:spacing w:after="0" w:line="240" w:lineRule="auto"/>
        <w:jc w:val="both"/>
        <w:rPr>
          <w:rFonts w:ascii="Arial" w:hAnsi="Arial" w:cs="Arial"/>
          <w:sz w:val="24"/>
          <w:szCs w:val="24"/>
        </w:rPr>
      </w:pPr>
      <w:r w:rsidRPr="00315335">
        <w:rPr>
          <w:rFonts w:ascii="Arial" w:hAnsi="Arial" w:cs="Arial"/>
          <w:sz w:val="24"/>
          <w:szCs w:val="24"/>
          <w:lang w:val="en-US"/>
        </w:rPr>
        <w:t>Tabelul nr.</w:t>
      </w:r>
      <w:r w:rsidRPr="00315335">
        <w:rPr>
          <w:rFonts w:ascii="Arial" w:hAnsi="Arial" w:cs="Arial"/>
          <w:b/>
          <w:sz w:val="24"/>
          <w:szCs w:val="24"/>
          <w:lang w:val="en-US"/>
        </w:rPr>
        <w:t xml:space="preserve"> VI.1.1. - 2 </w:t>
      </w:r>
      <w:r w:rsidRPr="00315335">
        <w:rPr>
          <w:rFonts w:ascii="Arial" w:hAnsi="Arial" w:cs="Arial"/>
          <w:sz w:val="24"/>
          <w:szCs w:val="24"/>
        </w:rPr>
        <w:t>Repartiția fondului forestier în judeţul Brăila, pe forme de proprietate, în perioada anilor 2014-2018</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ayout w:type="fixed"/>
        <w:tblLook w:val="04A0" w:firstRow="1" w:lastRow="0" w:firstColumn="1" w:lastColumn="0" w:noHBand="0" w:noVBand="1"/>
      </w:tblPr>
      <w:tblGrid>
        <w:gridCol w:w="4053"/>
        <w:gridCol w:w="927"/>
        <w:gridCol w:w="1057"/>
        <w:gridCol w:w="992"/>
        <w:gridCol w:w="993"/>
        <w:gridCol w:w="1256"/>
      </w:tblGrid>
      <w:tr w:rsidR="00737DE6" w:rsidRPr="00315335" w:rsidTr="00916B06">
        <w:trPr>
          <w:trHeight w:val="211"/>
          <w:jc w:val="center"/>
        </w:trPr>
        <w:tc>
          <w:tcPr>
            <w:tcW w:w="4053" w:type="dxa"/>
            <w:vMerge w:val="restart"/>
            <w:shd w:val="clear" w:color="auto" w:fill="E5DFEC" w:themeFill="accent4" w:themeFillTint="33"/>
            <w:hideMark/>
          </w:tcPr>
          <w:p w:rsidR="00737DE6" w:rsidRPr="00315335" w:rsidRDefault="00737DE6" w:rsidP="00916B06">
            <w:pPr>
              <w:tabs>
                <w:tab w:val="left" w:pos="4860"/>
              </w:tabs>
              <w:spacing w:after="0" w:line="240" w:lineRule="auto"/>
              <w:jc w:val="both"/>
              <w:rPr>
                <w:rFonts w:ascii="Arial" w:hAnsi="Arial" w:cs="Arial"/>
                <w:bCs/>
                <w:sz w:val="24"/>
                <w:szCs w:val="24"/>
              </w:rPr>
            </w:pPr>
            <w:r w:rsidRPr="00315335">
              <w:rPr>
                <w:rFonts w:ascii="Arial" w:hAnsi="Arial" w:cs="Arial"/>
                <w:bCs/>
                <w:sz w:val="24"/>
                <w:szCs w:val="24"/>
              </w:rPr>
              <w:t>Forma de proprietate</w:t>
            </w:r>
          </w:p>
        </w:tc>
        <w:tc>
          <w:tcPr>
            <w:tcW w:w="5225" w:type="dxa"/>
            <w:gridSpan w:val="5"/>
            <w:shd w:val="clear" w:color="auto" w:fill="E5DFEC" w:themeFill="accent4" w:themeFillTint="33"/>
            <w:hideMark/>
          </w:tcPr>
          <w:p w:rsidR="00737DE6" w:rsidRPr="00315335" w:rsidRDefault="00737DE6" w:rsidP="00916B06">
            <w:pPr>
              <w:tabs>
                <w:tab w:val="left" w:pos="4860"/>
              </w:tabs>
              <w:spacing w:after="0" w:line="240" w:lineRule="auto"/>
              <w:jc w:val="both"/>
              <w:rPr>
                <w:rFonts w:ascii="Arial" w:hAnsi="Arial" w:cs="Arial"/>
                <w:bCs/>
                <w:sz w:val="24"/>
                <w:szCs w:val="24"/>
              </w:rPr>
            </w:pPr>
            <w:r w:rsidRPr="00315335">
              <w:rPr>
                <w:rFonts w:ascii="Arial" w:hAnsi="Arial" w:cs="Arial"/>
                <w:bCs/>
                <w:sz w:val="24"/>
                <w:szCs w:val="24"/>
              </w:rPr>
              <w:t>Suprafeţe (ha) pe ani</w:t>
            </w:r>
          </w:p>
        </w:tc>
      </w:tr>
      <w:tr w:rsidR="00737DE6" w:rsidRPr="00315335" w:rsidTr="00916B06">
        <w:trPr>
          <w:trHeight w:val="211"/>
          <w:jc w:val="center"/>
        </w:trPr>
        <w:tc>
          <w:tcPr>
            <w:tcW w:w="4053" w:type="dxa"/>
            <w:vMerge/>
            <w:shd w:val="clear" w:color="auto" w:fill="E5DFEC" w:themeFill="accent4" w:themeFillTint="33"/>
            <w:vAlign w:val="center"/>
            <w:hideMark/>
          </w:tcPr>
          <w:p w:rsidR="00737DE6" w:rsidRPr="00315335" w:rsidRDefault="00737DE6" w:rsidP="00916B06">
            <w:pPr>
              <w:spacing w:after="0" w:line="240" w:lineRule="auto"/>
              <w:jc w:val="both"/>
              <w:rPr>
                <w:rFonts w:ascii="Arial" w:hAnsi="Arial" w:cs="Arial"/>
                <w:bCs/>
                <w:sz w:val="24"/>
                <w:szCs w:val="24"/>
              </w:rPr>
            </w:pPr>
          </w:p>
        </w:tc>
        <w:tc>
          <w:tcPr>
            <w:tcW w:w="927" w:type="dxa"/>
            <w:shd w:val="clear" w:color="auto" w:fill="E5DFEC" w:themeFill="accent4" w:themeFillTint="33"/>
          </w:tcPr>
          <w:p w:rsidR="00737DE6" w:rsidRPr="00315335" w:rsidRDefault="00737DE6" w:rsidP="00916B06">
            <w:pPr>
              <w:tabs>
                <w:tab w:val="left" w:pos="4860"/>
              </w:tabs>
              <w:spacing w:after="0" w:line="240" w:lineRule="auto"/>
              <w:jc w:val="both"/>
              <w:rPr>
                <w:rFonts w:ascii="Arial" w:hAnsi="Arial" w:cs="Arial"/>
                <w:b/>
                <w:bCs/>
                <w:sz w:val="24"/>
                <w:szCs w:val="24"/>
              </w:rPr>
            </w:pPr>
            <w:r w:rsidRPr="00315335">
              <w:rPr>
                <w:rFonts w:ascii="Arial" w:hAnsi="Arial" w:cs="Arial"/>
                <w:b/>
                <w:bCs/>
                <w:sz w:val="24"/>
                <w:szCs w:val="24"/>
              </w:rPr>
              <w:t>2014</w:t>
            </w:r>
          </w:p>
        </w:tc>
        <w:tc>
          <w:tcPr>
            <w:tcW w:w="1057" w:type="dxa"/>
            <w:shd w:val="clear" w:color="auto" w:fill="E5DFEC" w:themeFill="accent4" w:themeFillTint="33"/>
          </w:tcPr>
          <w:p w:rsidR="00737DE6" w:rsidRPr="00315335" w:rsidRDefault="00737DE6" w:rsidP="00916B06">
            <w:pPr>
              <w:tabs>
                <w:tab w:val="left" w:pos="4860"/>
              </w:tabs>
              <w:spacing w:after="0" w:line="240" w:lineRule="auto"/>
              <w:jc w:val="both"/>
              <w:rPr>
                <w:rFonts w:ascii="Arial" w:hAnsi="Arial" w:cs="Arial"/>
                <w:b/>
                <w:bCs/>
                <w:sz w:val="24"/>
                <w:szCs w:val="24"/>
              </w:rPr>
            </w:pPr>
            <w:r w:rsidRPr="00315335">
              <w:rPr>
                <w:rFonts w:ascii="Arial" w:hAnsi="Arial" w:cs="Arial"/>
                <w:b/>
                <w:bCs/>
                <w:sz w:val="24"/>
                <w:szCs w:val="24"/>
              </w:rPr>
              <w:t>2015</w:t>
            </w:r>
          </w:p>
        </w:tc>
        <w:tc>
          <w:tcPr>
            <w:tcW w:w="992" w:type="dxa"/>
            <w:shd w:val="clear" w:color="auto" w:fill="E5DFEC" w:themeFill="accent4" w:themeFillTint="33"/>
          </w:tcPr>
          <w:p w:rsidR="00737DE6" w:rsidRPr="00315335" w:rsidRDefault="00737DE6" w:rsidP="00916B06">
            <w:pPr>
              <w:tabs>
                <w:tab w:val="left" w:pos="4860"/>
              </w:tabs>
              <w:spacing w:after="0" w:line="240" w:lineRule="auto"/>
              <w:jc w:val="both"/>
              <w:rPr>
                <w:rFonts w:ascii="Arial" w:hAnsi="Arial" w:cs="Arial"/>
                <w:b/>
                <w:bCs/>
                <w:sz w:val="24"/>
                <w:szCs w:val="24"/>
              </w:rPr>
            </w:pPr>
            <w:r w:rsidRPr="00315335">
              <w:rPr>
                <w:rFonts w:ascii="Arial" w:hAnsi="Arial" w:cs="Arial"/>
                <w:b/>
                <w:bCs/>
                <w:sz w:val="24"/>
                <w:szCs w:val="24"/>
              </w:rPr>
              <w:t>2016</w:t>
            </w:r>
          </w:p>
        </w:tc>
        <w:tc>
          <w:tcPr>
            <w:tcW w:w="993" w:type="dxa"/>
            <w:shd w:val="clear" w:color="auto" w:fill="E5DFEC" w:themeFill="accent4" w:themeFillTint="33"/>
          </w:tcPr>
          <w:p w:rsidR="00737DE6" w:rsidRPr="00315335" w:rsidRDefault="00737DE6" w:rsidP="00916B06">
            <w:pPr>
              <w:tabs>
                <w:tab w:val="left" w:pos="4860"/>
              </w:tabs>
              <w:spacing w:after="0" w:line="240" w:lineRule="auto"/>
              <w:jc w:val="both"/>
              <w:rPr>
                <w:rFonts w:ascii="Arial" w:hAnsi="Arial" w:cs="Arial"/>
                <w:b/>
                <w:bCs/>
                <w:sz w:val="24"/>
                <w:szCs w:val="24"/>
              </w:rPr>
            </w:pPr>
            <w:r w:rsidRPr="00315335">
              <w:rPr>
                <w:rFonts w:ascii="Arial" w:hAnsi="Arial" w:cs="Arial"/>
                <w:b/>
                <w:bCs/>
                <w:sz w:val="24"/>
                <w:szCs w:val="24"/>
              </w:rPr>
              <w:t>2017</w:t>
            </w:r>
          </w:p>
        </w:tc>
        <w:tc>
          <w:tcPr>
            <w:tcW w:w="1256" w:type="dxa"/>
            <w:shd w:val="clear" w:color="auto" w:fill="E5DFEC" w:themeFill="accent4" w:themeFillTint="33"/>
          </w:tcPr>
          <w:p w:rsidR="00737DE6" w:rsidRPr="00315335" w:rsidRDefault="00737DE6" w:rsidP="00916B06">
            <w:pPr>
              <w:tabs>
                <w:tab w:val="left" w:pos="4860"/>
              </w:tabs>
              <w:spacing w:after="0" w:line="240" w:lineRule="auto"/>
              <w:jc w:val="both"/>
              <w:rPr>
                <w:rFonts w:ascii="Arial" w:hAnsi="Arial" w:cs="Arial"/>
                <w:b/>
                <w:bCs/>
                <w:sz w:val="24"/>
                <w:szCs w:val="24"/>
              </w:rPr>
            </w:pPr>
            <w:r w:rsidRPr="00315335">
              <w:rPr>
                <w:rFonts w:ascii="Arial" w:hAnsi="Arial" w:cs="Arial"/>
                <w:b/>
                <w:bCs/>
                <w:sz w:val="24"/>
                <w:szCs w:val="24"/>
              </w:rPr>
              <w:t>2018</w:t>
            </w:r>
          </w:p>
        </w:tc>
      </w:tr>
      <w:tr w:rsidR="00737DE6" w:rsidRPr="00315335" w:rsidTr="00916B06">
        <w:trPr>
          <w:trHeight w:val="211"/>
          <w:jc w:val="center"/>
        </w:trPr>
        <w:tc>
          <w:tcPr>
            <w:tcW w:w="4053" w:type="dxa"/>
            <w:shd w:val="clear" w:color="auto" w:fill="E5DFEC" w:themeFill="accent4" w:themeFillTint="33"/>
            <w:hideMark/>
          </w:tcPr>
          <w:p w:rsidR="00737DE6" w:rsidRPr="00315335" w:rsidRDefault="00737DE6" w:rsidP="00916B06">
            <w:pPr>
              <w:tabs>
                <w:tab w:val="left" w:pos="4860"/>
              </w:tabs>
              <w:spacing w:after="0" w:line="240" w:lineRule="auto"/>
              <w:jc w:val="both"/>
              <w:rPr>
                <w:rFonts w:ascii="Arial" w:hAnsi="Arial" w:cs="Arial"/>
                <w:bCs/>
                <w:sz w:val="24"/>
                <w:szCs w:val="24"/>
              </w:rPr>
            </w:pPr>
            <w:r w:rsidRPr="00315335">
              <w:rPr>
                <w:rFonts w:ascii="Arial" w:hAnsi="Arial" w:cs="Arial"/>
                <w:sz w:val="24"/>
                <w:szCs w:val="24"/>
              </w:rPr>
              <w:t xml:space="preserve">Proprietate de stat </w:t>
            </w:r>
          </w:p>
        </w:tc>
        <w:tc>
          <w:tcPr>
            <w:tcW w:w="92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bCs/>
                <w:sz w:val="24"/>
                <w:szCs w:val="24"/>
              </w:rPr>
            </w:pPr>
            <w:r w:rsidRPr="00315335">
              <w:rPr>
                <w:rFonts w:ascii="Arial" w:hAnsi="Arial" w:cs="Arial"/>
                <w:bCs/>
                <w:sz w:val="24"/>
                <w:szCs w:val="24"/>
              </w:rPr>
              <w:t>24049</w:t>
            </w:r>
          </w:p>
        </w:tc>
        <w:tc>
          <w:tcPr>
            <w:tcW w:w="105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bCs/>
                <w:sz w:val="24"/>
                <w:szCs w:val="24"/>
              </w:rPr>
            </w:pPr>
            <w:r w:rsidRPr="00315335">
              <w:rPr>
                <w:rFonts w:ascii="Arial" w:hAnsi="Arial" w:cs="Arial"/>
                <w:bCs/>
                <w:sz w:val="24"/>
                <w:szCs w:val="24"/>
              </w:rPr>
              <w:t>24011</w:t>
            </w:r>
          </w:p>
        </w:tc>
        <w:tc>
          <w:tcPr>
            <w:tcW w:w="992"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bCs/>
                <w:sz w:val="24"/>
                <w:szCs w:val="24"/>
              </w:rPr>
            </w:pPr>
            <w:r w:rsidRPr="00315335">
              <w:rPr>
                <w:rFonts w:ascii="Arial" w:hAnsi="Arial" w:cs="Arial"/>
                <w:bCs/>
                <w:sz w:val="24"/>
                <w:szCs w:val="24"/>
              </w:rPr>
              <w:t>24215</w:t>
            </w:r>
          </w:p>
        </w:tc>
        <w:tc>
          <w:tcPr>
            <w:tcW w:w="993"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bCs/>
                <w:sz w:val="24"/>
                <w:szCs w:val="24"/>
              </w:rPr>
            </w:pPr>
            <w:r w:rsidRPr="00315335">
              <w:rPr>
                <w:rFonts w:ascii="Arial" w:hAnsi="Arial" w:cs="Arial"/>
                <w:bCs/>
                <w:sz w:val="24"/>
                <w:szCs w:val="24"/>
              </w:rPr>
              <w:t>22959</w:t>
            </w:r>
          </w:p>
        </w:tc>
        <w:tc>
          <w:tcPr>
            <w:tcW w:w="1256"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bCs/>
                <w:sz w:val="24"/>
                <w:szCs w:val="24"/>
              </w:rPr>
            </w:pPr>
            <w:r w:rsidRPr="00315335">
              <w:rPr>
                <w:rFonts w:ascii="Arial" w:hAnsi="Arial" w:cs="Arial"/>
                <w:bCs/>
                <w:sz w:val="24"/>
                <w:szCs w:val="24"/>
              </w:rPr>
              <w:t>22955</w:t>
            </w:r>
          </w:p>
        </w:tc>
      </w:tr>
      <w:tr w:rsidR="00737DE6" w:rsidRPr="00315335" w:rsidTr="00916B06">
        <w:trPr>
          <w:trHeight w:val="398"/>
          <w:jc w:val="center"/>
        </w:trPr>
        <w:tc>
          <w:tcPr>
            <w:tcW w:w="4053" w:type="dxa"/>
            <w:shd w:val="clear" w:color="auto" w:fill="E5DFEC" w:themeFill="accent4" w:themeFillTint="33"/>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Proprietate publică a UAT</w:t>
            </w:r>
          </w:p>
        </w:tc>
        <w:tc>
          <w:tcPr>
            <w:tcW w:w="92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449</w:t>
            </w:r>
          </w:p>
        </w:tc>
        <w:tc>
          <w:tcPr>
            <w:tcW w:w="105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bCs/>
                <w:sz w:val="24"/>
                <w:szCs w:val="24"/>
              </w:rPr>
              <w:t>449</w:t>
            </w:r>
          </w:p>
        </w:tc>
        <w:tc>
          <w:tcPr>
            <w:tcW w:w="992"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bCs/>
                <w:sz w:val="24"/>
                <w:szCs w:val="24"/>
              </w:rPr>
              <w:t>449</w:t>
            </w:r>
          </w:p>
        </w:tc>
        <w:tc>
          <w:tcPr>
            <w:tcW w:w="993"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511</w:t>
            </w:r>
          </w:p>
        </w:tc>
        <w:tc>
          <w:tcPr>
            <w:tcW w:w="1256"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511</w:t>
            </w:r>
          </w:p>
        </w:tc>
      </w:tr>
      <w:tr w:rsidR="00737DE6" w:rsidRPr="00315335" w:rsidTr="00916B06">
        <w:trPr>
          <w:trHeight w:val="284"/>
          <w:jc w:val="center"/>
        </w:trPr>
        <w:tc>
          <w:tcPr>
            <w:tcW w:w="4053" w:type="dxa"/>
            <w:shd w:val="clear" w:color="auto" w:fill="E5DFEC" w:themeFill="accent4" w:themeFillTint="33"/>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Proprietate privată a persoanelor juridice</w:t>
            </w:r>
          </w:p>
        </w:tc>
        <w:tc>
          <w:tcPr>
            <w:tcW w:w="92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1520</w:t>
            </w:r>
          </w:p>
        </w:tc>
        <w:tc>
          <w:tcPr>
            <w:tcW w:w="105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1566</w:t>
            </w:r>
          </w:p>
        </w:tc>
        <w:tc>
          <w:tcPr>
            <w:tcW w:w="992"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1566</w:t>
            </w:r>
          </w:p>
        </w:tc>
        <w:tc>
          <w:tcPr>
            <w:tcW w:w="993"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2236</w:t>
            </w:r>
          </w:p>
        </w:tc>
        <w:tc>
          <w:tcPr>
            <w:tcW w:w="1256"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2236</w:t>
            </w:r>
          </w:p>
        </w:tc>
      </w:tr>
      <w:tr w:rsidR="00737DE6" w:rsidRPr="00315335" w:rsidTr="00916B06">
        <w:trPr>
          <w:trHeight w:val="284"/>
          <w:jc w:val="center"/>
        </w:trPr>
        <w:tc>
          <w:tcPr>
            <w:tcW w:w="4053" w:type="dxa"/>
            <w:shd w:val="clear" w:color="auto" w:fill="E5DFEC" w:themeFill="accent4" w:themeFillTint="33"/>
            <w:hideMark/>
          </w:tcPr>
          <w:p w:rsidR="00737DE6" w:rsidRPr="00315335" w:rsidRDefault="00737DE6" w:rsidP="00916B06">
            <w:pPr>
              <w:tabs>
                <w:tab w:val="left" w:pos="4860"/>
              </w:tabs>
              <w:spacing w:after="0" w:line="240" w:lineRule="auto"/>
              <w:jc w:val="both"/>
              <w:rPr>
                <w:rFonts w:ascii="Arial" w:hAnsi="Arial" w:cs="Arial"/>
                <w:sz w:val="24"/>
                <w:szCs w:val="24"/>
                <w:lang w:val="it-IT"/>
              </w:rPr>
            </w:pPr>
            <w:r w:rsidRPr="00315335">
              <w:rPr>
                <w:rFonts w:ascii="Arial" w:hAnsi="Arial" w:cs="Arial"/>
                <w:sz w:val="24"/>
                <w:szCs w:val="24"/>
                <w:lang w:val="it-IT"/>
              </w:rPr>
              <w:t>Proprietate privată a persoanelor fizice</w:t>
            </w:r>
          </w:p>
        </w:tc>
        <w:tc>
          <w:tcPr>
            <w:tcW w:w="92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1396</w:t>
            </w:r>
          </w:p>
        </w:tc>
        <w:tc>
          <w:tcPr>
            <w:tcW w:w="105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2000</w:t>
            </w:r>
          </w:p>
        </w:tc>
        <w:tc>
          <w:tcPr>
            <w:tcW w:w="992"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2000</w:t>
            </w:r>
          </w:p>
        </w:tc>
        <w:tc>
          <w:tcPr>
            <w:tcW w:w="993"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2590</w:t>
            </w:r>
          </w:p>
        </w:tc>
        <w:tc>
          <w:tcPr>
            <w:tcW w:w="1256"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2590</w:t>
            </w:r>
          </w:p>
        </w:tc>
      </w:tr>
      <w:tr w:rsidR="00737DE6" w:rsidRPr="00315335" w:rsidTr="00916B06">
        <w:trPr>
          <w:trHeight w:val="284"/>
          <w:jc w:val="center"/>
        </w:trPr>
        <w:tc>
          <w:tcPr>
            <w:tcW w:w="4053" w:type="dxa"/>
            <w:shd w:val="clear" w:color="auto" w:fill="E5DFEC" w:themeFill="accent4" w:themeFillTint="33"/>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Total</w:t>
            </w:r>
          </w:p>
        </w:tc>
        <w:tc>
          <w:tcPr>
            <w:tcW w:w="92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27414</w:t>
            </w:r>
          </w:p>
        </w:tc>
        <w:tc>
          <w:tcPr>
            <w:tcW w:w="105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28026</w:t>
            </w:r>
          </w:p>
        </w:tc>
        <w:tc>
          <w:tcPr>
            <w:tcW w:w="992"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28230</w:t>
            </w:r>
          </w:p>
        </w:tc>
        <w:tc>
          <w:tcPr>
            <w:tcW w:w="993"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28296</w:t>
            </w:r>
          </w:p>
        </w:tc>
        <w:tc>
          <w:tcPr>
            <w:tcW w:w="1256"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28293</w:t>
            </w:r>
          </w:p>
        </w:tc>
      </w:tr>
      <w:tr w:rsidR="00737DE6" w:rsidRPr="00315335" w:rsidTr="00916B06">
        <w:trPr>
          <w:trHeight w:val="284"/>
          <w:jc w:val="center"/>
        </w:trPr>
        <w:tc>
          <w:tcPr>
            <w:tcW w:w="4053" w:type="dxa"/>
            <w:shd w:val="clear" w:color="auto" w:fill="E5DFEC" w:themeFill="accent4" w:themeFillTint="33"/>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 din suprafaţa judeţului</w:t>
            </w:r>
          </w:p>
        </w:tc>
        <w:tc>
          <w:tcPr>
            <w:tcW w:w="92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17,38</w:t>
            </w:r>
          </w:p>
        </w:tc>
        <w:tc>
          <w:tcPr>
            <w:tcW w:w="1057"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17,00</w:t>
            </w:r>
          </w:p>
        </w:tc>
        <w:tc>
          <w:tcPr>
            <w:tcW w:w="992"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17,10</w:t>
            </w:r>
          </w:p>
        </w:tc>
        <w:tc>
          <w:tcPr>
            <w:tcW w:w="993"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17,20</w:t>
            </w:r>
          </w:p>
        </w:tc>
        <w:tc>
          <w:tcPr>
            <w:tcW w:w="1256" w:type="dxa"/>
            <w:shd w:val="clear" w:color="auto" w:fill="E5DFEC" w:themeFill="accent4" w:themeFillTint="33"/>
          </w:tcPr>
          <w:p w:rsidR="00737DE6" w:rsidRPr="00315335" w:rsidRDefault="00737DE6" w:rsidP="00916B06">
            <w:pPr>
              <w:tabs>
                <w:tab w:val="left" w:pos="4860"/>
              </w:tabs>
              <w:spacing w:after="0" w:line="240" w:lineRule="auto"/>
              <w:rPr>
                <w:rFonts w:ascii="Arial" w:hAnsi="Arial" w:cs="Arial"/>
                <w:sz w:val="24"/>
                <w:szCs w:val="24"/>
              </w:rPr>
            </w:pPr>
            <w:r w:rsidRPr="00315335">
              <w:rPr>
                <w:rFonts w:ascii="Arial" w:hAnsi="Arial" w:cs="Arial"/>
                <w:sz w:val="24"/>
                <w:szCs w:val="24"/>
              </w:rPr>
              <w:t>17,20</w:t>
            </w:r>
          </w:p>
        </w:tc>
      </w:tr>
    </w:tbl>
    <w:p w:rsidR="00737DE6" w:rsidRPr="00315335" w:rsidRDefault="00737DE6" w:rsidP="00737DE6">
      <w:pPr>
        <w:spacing w:after="0" w:line="240" w:lineRule="auto"/>
        <w:rPr>
          <w:rFonts w:ascii="Arial" w:hAnsi="Arial" w:cs="Arial"/>
          <w:sz w:val="24"/>
          <w:szCs w:val="24"/>
          <w:lang w:val="en-US"/>
        </w:rPr>
      </w:pP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noProof/>
          <w:sz w:val="24"/>
          <w:szCs w:val="24"/>
        </w:rPr>
        <w:drawing>
          <wp:anchor distT="0" distB="0" distL="114300" distR="114300" simplePos="0" relativeHeight="251662848" behindDoc="0" locked="0" layoutInCell="1" allowOverlap="1" wp14:anchorId="316C738F" wp14:editId="289A0473">
            <wp:simplePos x="895350" y="4400550"/>
            <wp:positionH relativeFrom="column">
              <wp:align>left</wp:align>
            </wp:positionH>
            <wp:positionV relativeFrom="paragraph">
              <wp:align>top</wp:align>
            </wp:positionV>
            <wp:extent cx="5486400" cy="3200400"/>
            <wp:effectExtent l="0" t="0" r="0" b="0"/>
            <wp:wrapSquare wrapText="bothSides"/>
            <wp:docPr id="30" name="Diagramă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r w:rsidRPr="00315335">
        <w:rPr>
          <w:rFonts w:ascii="Arial" w:hAnsi="Arial" w:cs="Arial"/>
          <w:sz w:val="24"/>
          <w:szCs w:val="24"/>
          <w:lang w:val="en-US"/>
        </w:rPr>
        <w:br w:type="textWrapping" w:clear="all"/>
      </w:r>
    </w:p>
    <w:p w:rsidR="00737DE6" w:rsidRPr="00315335" w:rsidRDefault="00737DE6" w:rsidP="00737DE6">
      <w:pPr>
        <w:spacing w:after="0" w:line="240" w:lineRule="auto"/>
        <w:rPr>
          <w:rFonts w:ascii="Arial" w:hAnsi="Arial" w:cs="Arial"/>
          <w:sz w:val="24"/>
          <w:szCs w:val="24"/>
          <w:lang w:val="en-US"/>
        </w:rPr>
      </w:pP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Tabelul nr.</w:t>
      </w:r>
      <w:r w:rsidRPr="00315335">
        <w:rPr>
          <w:rFonts w:ascii="Arial" w:hAnsi="Arial" w:cs="Arial"/>
          <w:b/>
          <w:sz w:val="24"/>
          <w:szCs w:val="24"/>
          <w:lang w:val="en-US"/>
        </w:rPr>
        <w:t xml:space="preserve"> VI.1.1. - 3 </w:t>
      </w:r>
      <w:r w:rsidRPr="00315335">
        <w:rPr>
          <w:rFonts w:ascii="Arial" w:hAnsi="Arial" w:cs="Arial"/>
          <w:sz w:val="24"/>
          <w:szCs w:val="24"/>
          <w:lang w:val="en-US"/>
        </w:rPr>
        <w:t xml:space="preserve">  Evoluţia fondului forestier în judeţul Brăila, în perioada anilor  2014-2018</w:t>
      </w:r>
    </w:p>
    <w:tbl>
      <w:tblPr>
        <w:tblStyle w:val="Tabelgril"/>
        <w:tblW w:w="0" w:type="auto"/>
        <w:jc w:val="center"/>
        <w:shd w:val="clear" w:color="auto" w:fill="E5DFEC" w:themeFill="accent4" w:themeFillTint="33"/>
        <w:tblLook w:val="04A0" w:firstRow="1" w:lastRow="0" w:firstColumn="1" w:lastColumn="0" w:noHBand="0" w:noVBand="1"/>
      </w:tblPr>
      <w:tblGrid>
        <w:gridCol w:w="3912"/>
        <w:gridCol w:w="1006"/>
        <w:gridCol w:w="1130"/>
        <w:gridCol w:w="1130"/>
        <w:gridCol w:w="1014"/>
        <w:gridCol w:w="1096"/>
      </w:tblGrid>
      <w:tr w:rsidR="00315335" w:rsidRPr="00315335" w:rsidTr="00916B06">
        <w:trPr>
          <w:jc w:val="center"/>
        </w:trPr>
        <w:tc>
          <w:tcPr>
            <w:tcW w:w="391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Anul</w:t>
            </w:r>
          </w:p>
        </w:tc>
        <w:tc>
          <w:tcPr>
            <w:tcW w:w="1006"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2014</w:t>
            </w:r>
          </w:p>
        </w:tc>
        <w:tc>
          <w:tcPr>
            <w:tcW w:w="1130"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2015</w:t>
            </w:r>
          </w:p>
        </w:tc>
        <w:tc>
          <w:tcPr>
            <w:tcW w:w="1130"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2016</w:t>
            </w:r>
          </w:p>
        </w:tc>
        <w:tc>
          <w:tcPr>
            <w:tcW w:w="1014"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2017</w:t>
            </w:r>
          </w:p>
        </w:tc>
        <w:tc>
          <w:tcPr>
            <w:tcW w:w="1096"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2018</w:t>
            </w:r>
          </w:p>
        </w:tc>
      </w:tr>
      <w:tr w:rsidR="00315335" w:rsidRPr="00315335" w:rsidTr="00916B06">
        <w:trPr>
          <w:jc w:val="center"/>
        </w:trPr>
        <w:tc>
          <w:tcPr>
            <w:tcW w:w="391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Fond forestier/populaţie ( ha/loc)</w:t>
            </w:r>
          </w:p>
        </w:tc>
        <w:tc>
          <w:tcPr>
            <w:tcW w:w="1006"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0,073</w:t>
            </w:r>
          </w:p>
        </w:tc>
        <w:tc>
          <w:tcPr>
            <w:tcW w:w="1130"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0,075</w:t>
            </w:r>
          </w:p>
        </w:tc>
        <w:tc>
          <w:tcPr>
            <w:tcW w:w="1130"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0,076</w:t>
            </w:r>
          </w:p>
        </w:tc>
        <w:tc>
          <w:tcPr>
            <w:tcW w:w="101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0,076</w:t>
            </w:r>
          </w:p>
        </w:tc>
        <w:tc>
          <w:tcPr>
            <w:tcW w:w="1096"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0,076</w:t>
            </w:r>
          </w:p>
        </w:tc>
      </w:tr>
    </w:tbl>
    <w:p w:rsidR="00737DE6" w:rsidRPr="00315335" w:rsidRDefault="00737DE6" w:rsidP="00737DE6">
      <w:pPr>
        <w:pStyle w:val="Default"/>
        <w:jc w:val="both"/>
        <w:rPr>
          <w:rFonts w:ascii="Arial" w:hAnsi="Arial" w:cs="Arial"/>
          <w:color w:val="auto"/>
        </w:rPr>
      </w:pPr>
    </w:p>
    <w:p w:rsidR="00737DE6" w:rsidRPr="00315335" w:rsidRDefault="00737DE6" w:rsidP="00737DE6">
      <w:pPr>
        <w:pStyle w:val="Default"/>
        <w:jc w:val="center"/>
        <w:rPr>
          <w:rFonts w:ascii="Arial" w:hAnsi="Arial" w:cs="Arial"/>
          <w:color w:val="auto"/>
        </w:rPr>
      </w:pPr>
      <w:r w:rsidRPr="00315335">
        <w:rPr>
          <w:rFonts w:ascii="Arial" w:hAnsi="Arial" w:cs="Arial"/>
          <w:noProof/>
          <w:color w:val="auto"/>
          <w:lang w:val="ro-RO" w:eastAsia="ro-RO"/>
        </w:rPr>
        <w:drawing>
          <wp:inline distT="0" distB="0" distL="0" distR="0" wp14:anchorId="37A97EE7" wp14:editId="7C76368F">
            <wp:extent cx="5486400" cy="3200400"/>
            <wp:effectExtent l="0" t="0" r="0" b="0"/>
            <wp:docPr id="224" name="Diagramă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737DE6" w:rsidRPr="00315335" w:rsidRDefault="00737DE6" w:rsidP="00737DE6">
      <w:pPr>
        <w:pStyle w:val="Default"/>
        <w:jc w:val="center"/>
        <w:rPr>
          <w:rFonts w:ascii="Arial" w:hAnsi="Arial" w:cs="Arial"/>
          <w:color w:val="auto"/>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 xml:space="preserve">Figura nr.   </w:t>
      </w:r>
      <w:r w:rsidRPr="00315335">
        <w:rPr>
          <w:rFonts w:ascii="Arial" w:hAnsi="Arial" w:cs="Arial"/>
          <w:b/>
          <w:sz w:val="24"/>
          <w:szCs w:val="24"/>
          <w:lang w:val="en-US"/>
        </w:rPr>
        <w:t xml:space="preserve">VI.1.1. - 2  </w:t>
      </w:r>
      <w:r w:rsidRPr="00315335">
        <w:rPr>
          <w:rFonts w:ascii="Arial" w:hAnsi="Arial" w:cs="Arial"/>
          <w:sz w:val="24"/>
          <w:szCs w:val="24"/>
          <w:lang w:val="en-US"/>
        </w:rPr>
        <w:t>Evoluţia fondului forestier (ha/loc) în judeţul Brăila, în perioada anilor  2014-2018</w:t>
      </w:r>
    </w:p>
    <w:p w:rsidR="00737DE6" w:rsidRPr="00315335" w:rsidRDefault="00737DE6" w:rsidP="00737DE6">
      <w:pPr>
        <w:pStyle w:val="Default"/>
        <w:ind w:firstLine="708"/>
        <w:jc w:val="both"/>
        <w:rPr>
          <w:rFonts w:ascii="Arial" w:hAnsi="Arial" w:cs="Arial"/>
          <w:color w:val="auto"/>
        </w:rPr>
      </w:pPr>
      <w:r w:rsidRPr="00315335">
        <w:rPr>
          <w:rFonts w:ascii="Arial" w:hAnsi="Arial" w:cs="Arial"/>
          <w:color w:val="auto"/>
        </w:rPr>
        <w:t>Raportul dintre creşterea şi tăierea arborilor arată sustenabilitatea producţiei de masă lemnoasă în timp, disponibilitatea actuală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potenţialul producţiei de masă lemnoasă şi pentru starea biodiversităţii, a sănătăţii şi funcţiilor pădurilor.</w:t>
      </w:r>
    </w:p>
    <w:p w:rsidR="00737DE6" w:rsidRPr="00315335" w:rsidRDefault="00737DE6" w:rsidP="00737DE6">
      <w:pPr>
        <w:pStyle w:val="Default"/>
        <w:jc w:val="both"/>
        <w:rPr>
          <w:rFonts w:ascii="Arial" w:hAnsi="Arial" w:cs="Arial"/>
          <w:color w:val="auto"/>
        </w:rPr>
      </w:pPr>
    </w:p>
    <w:p w:rsidR="00737DE6" w:rsidRPr="00315335" w:rsidRDefault="00737DE6" w:rsidP="00737DE6">
      <w:pPr>
        <w:pStyle w:val="Default"/>
        <w:jc w:val="both"/>
        <w:rPr>
          <w:rFonts w:ascii="Arial" w:hAnsi="Arial" w:cs="Arial"/>
          <w:color w:val="auto"/>
        </w:rPr>
      </w:pPr>
      <w:r w:rsidRPr="00315335">
        <w:rPr>
          <w:rFonts w:ascii="Arial" w:hAnsi="Arial" w:cs="Arial"/>
          <w:color w:val="auto"/>
        </w:rPr>
        <w:t>Tabelul nr.</w:t>
      </w:r>
      <w:r w:rsidRPr="00315335">
        <w:rPr>
          <w:rFonts w:ascii="Arial" w:hAnsi="Arial" w:cs="Arial"/>
          <w:b/>
          <w:color w:val="auto"/>
        </w:rPr>
        <w:t xml:space="preserve"> VI.1.1. - 4 </w:t>
      </w:r>
      <w:r w:rsidRPr="00315335">
        <w:rPr>
          <w:rFonts w:ascii="Arial" w:hAnsi="Arial" w:cs="Arial"/>
          <w:color w:val="auto"/>
        </w:rPr>
        <w:t>Evoluţia creşterii anuale a fondului forestier comparativ cu tăierea masei lemnoase, în judeţul Brăila, în perioada anilor 2013-2017</w:t>
      </w:r>
    </w:p>
    <w:p w:rsidR="00737DE6" w:rsidRPr="00315335" w:rsidRDefault="00737DE6" w:rsidP="00737DE6">
      <w:pPr>
        <w:pStyle w:val="Default"/>
        <w:jc w:val="both"/>
        <w:rPr>
          <w:rFonts w:ascii="Arial" w:hAnsi="Arial" w:cs="Arial"/>
          <w:color w:val="auto"/>
        </w:rPr>
      </w:pPr>
    </w:p>
    <w:tbl>
      <w:tblPr>
        <w:tblStyle w:val="Tabelgril"/>
        <w:tblW w:w="0" w:type="auto"/>
        <w:jc w:val="center"/>
        <w:tblLook w:val="04A0" w:firstRow="1" w:lastRow="0" w:firstColumn="1" w:lastColumn="0" w:noHBand="0" w:noVBand="1"/>
      </w:tblPr>
      <w:tblGrid>
        <w:gridCol w:w="3936"/>
        <w:gridCol w:w="992"/>
        <w:gridCol w:w="1134"/>
        <w:gridCol w:w="1134"/>
        <w:gridCol w:w="992"/>
        <w:gridCol w:w="1100"/>
      </w:tblGrid>
      <w:tr w:rsidR="00315335" w:rsidRPr="00315335" w:rsidTr="00916B06">
        <w:trPr>
          <w:jc w:val="center"/>
        </w:trPr>
        <w:tc>
          <w:tcPr>
            <w:tcW w:w="3936" w:type="dxa"/>
            <w:shd w:val="clear" w:color="auto" w:fill="B2A1C7" w:themeFill="accent4" w:themeFillTint="99"/>
          </w:tcPr>
          <w:p w:rsidR="00737DE6" w:rsidRPr="00315335" w:rsidRDefault="00737DE6" w:rsidP="00916B06">
            <w:pPr>
              <w:jc w:val="both"/>
              <w:rPr>
                <w:rFonts w:ascii="Arial" w:hAnsi="Arial" w:cs="Arial"/>
                <w:sz w:val="24"/>
                <w:szCs w:val="24"/>
              </w:rPr>
            </w:pPr>
          </w:p>
        </w:tc>
        <w:tc>
          <w:tcPr>
            <w:tcW w:w="992" w:type="dxa"/>
            <w:shd w:val="clear" w:color="auto" w:fill="B2A1C7" w:themeFill="accent4" w:themeFillTint="99"/>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2014</w:t>
            </w:r>
          </w:p>
        </w:tc>
        <w:tc>
          <w:tcPr>
            <w:tcW w:w="1134" w:type="dxa"/>
            <w:shd w:val="clear" w:color="auto" w:fill="B2A1C7" w:themeFill="accent4" w:themeFillTint="99"/>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2015</w:t>
            </w:r>
          </w:p>
        </w:tc>
        <w:tc>
          <w:tcPr>
            <w:tcW w:w="1134" w:type="dxa"/>
            <w:shd w:val="clear" w:color="auto" w:fill="B2A1C7" w:themeFill="accent4" w:themeFillTint="99"/>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2016</w:t>
            </w:r>
          </w:p>
        </w:tc>
        <w:tc>
          <w:tcPr>
            <w:tcW w:w="992" w:type="dxa"/>
            <w:shd w:val="clear" w:color="auto" w:fill="B2A1C7" w:themeFill="accent4" w:themeFillTint="99"/>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2017</w:t>
            </w:r>
          </w:p>
        </w:tc>
        <w:tc>
          <w:tcPr>
            <w:tcW w:w="1100" w:type="dxa"/>
            <w:shd w:val="clear" w:color="auto" w:fill="B2A1C7" w:themeFill="accent4" w:themeFillTint="99"/>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2018</w:t>
            </w:r>
          </w:p>
        </w:tc>
      </w:tr>
      <w:tr w:rsidR="00315335" w:rsidRPr="00315335" w:rsidTr="00916B06">
        <w:trPr>
          <w:jc w:val="center"/>
        </w:trPr>
        <w:tc>
          <w:tcPr>
            <w:tcW w:w="3936"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Creşterea anuală a fondului forestier  (m</w:t>
            </w:r>
            <w:r w:rsidRPr="00315335">
              <w:rPr>
                <w:rFonts w:ascii="Arial" w:hAnsi="Arial" w:cs="Arial"/>
                <w:sz w:val="24"/>
                <w:szCs w:val="24"/>
                <w:vertAlign w:val="superscript"/>
              </w:rPr>
              <w:t>3</w:t>
            </w:r>
            <w:r w:rsidRPr="00315335">
              <w:rPr>
                <w:rFonts w:ascii="Arial" w:hAnsi="Arial" w:cs="Arial"/>
                <w:sz w:val="24"/>
                <w:szCs w:val="24"/>
              </w:rPr>
              <w:t>/ha/an)</w:t>
            </w:r>
          </w:p>
          <w:p w:rsidR="00737DE6" w:rsidRPr="00315335" w:rsidRDefault="00737DE6" w:rsidP="00916B06">
            <w:pPr>
              <w:jc w:val="both"/>
              <w:rPr>
                <w:rFonts w:ascii="Arial" w:hAnsi="Arial" w:cs="Arial"/>
                <w:sz w:val="24"/>
                <w:szCs w:val="24"/>
              </w:rPr>
            </w:pPr>
            <w:r w:rsidRPr="00315335">
              <w:rPr>
                <w:rFonts w:ascii="Arial" w:hAnsi="Arial" w:cs="Arial"/>
                <w:sz w:val="24"/>
                <w:szCs w:val="24"/>
              </w:rPr>
              <w:t>suprafaţa x creşterea medie anuală (0-2 m3/ha/an pt păduri naturale; 2-18 m3/ha/an pt plantaţii de pădure)</w:t>
            </w:r>
          </w:p>
        </w:tc>
        <w:tc>
          <w:tcPr>
            <w:tcW w:w="992"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5,5</w:t>
            </w:r>
          </w:p>
        </w:tc>
        <w:tc>
          <w:tcPr>
            <w:tcW w:w="1134"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5,5</w:t>
            </w:r>
          </w:p>
        </w:tc>
        <w:tc>
          <w:tcPr>
            <w:tcW w:w="1134"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5,5</w:t>
            </w:r>
          </w:p>
        </w:tc>
        <w:tc>
          <w:tcPr>
            <w:tcW w:w="992"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5,5</w:t>
            </w:r>
          </w:p>
        </w:tc>
        <w:tc>
          <w:tcPr>
            <w:tcW w:w="1100"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5,5</w:t>
            </w:r>
          </w:p>
        </w:tc>
      </w:tr>
      <w:tr w:rsidR="00315335" w:rsidRPr="00315335" w:rsidTr="00916B06">
        <w:trPr>
          <w:jc w:val="center"/>
        </w:trPr>
        <w:tc>
          <w:tcPr>
            <w:tcW w:w="3936"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Tăieri - cantitatea de masă lemnoasă recoltată anual (m</w:t>
            </w:r>
            <w:r w:rsidRPr="00315335">
              <w:rPr>
                <w:rFonts w:ascii="Arial" w:hAnsi="Arial" w:cs="Arial"/>
                <w:sz w:val="24"/>
                <w:szCs w:val="24"/>
                <w:vertAlign w:val="superscript"/>
              </w:rPr>
              <w:t>3</w:t>
            </w:r>
            <w:r w:rsidRPr="00315335">
              <w:rPr>
                <w:rFonts w:ascii="Arial" w:hAnsi="Arial" w:cs="Arial"/>
                <w:sz w:val="24"/>
                <w:szCs w:val="24"/>
              </w:rPr>
              <w:t xml:space="preserve">/ha/an) </w:t>
            </w:r>
          </w:p>
          <w:p w:rsidR="00737DE6" w:rsidRPr="00315335" w:rsidRDefault="00737DE6" w:rsidP="00916B06">
            <w:pPr>
              <w:jc w:val="both"/>
              <w:rPr>
                <w:rFonts w:ascii="Arial" w:hAnsi="Arial" w:cs="Arial"/>
                <w:sz w:val="24"/>
                <w:szCs w:val="24"/>
              </w:rPr>
            </w:pPr>
            <w:r w:rsidRPr="00315335">
              <w:rPr>
                <w:rFonts w:ascii="Arial" w:hAnsi="Arial" w:cs="Arial"/>
                <w:sz w:val="24"/>
                <w:szCs w:val="24"/>
              </w:rPr>
              <w:t>(cuprinde tăieri pentru industrie, pentru alte utilizări, reziduuri de la rărire şi curăţare)</w:t>
            </w:r>
          </w:p>
        </w:tc>
        <w:tc>
          <w:tcPr>
            <w:tcW w:w="992"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5,5</w:t>
            </w:r>
          </w:p>
        </w:tc>
        <w:tc>
          <w:tcPr>
            <w:tcW w:w="1134"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5,3</w:t>
            </w:r>
          </w:p>
        </w:tc>
        <w:tc>
          <w:tcPr>
            <w:tcW w:w="1134"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5,3</w:t>
            </w:r>
          </w:p>
          <w:p w:rsidR="00737DE6" w:rsidRPr="00315335" w:rsidRDefault="00737DE6" w:rsidP="00916B06">
            <w:pPr>
              <w:jc w:val="both"/>
              <w:rPr>
                <w:rFonts w:ascii="Arial" w:hAnsi="Arial" w:cs="Arial"/>
                <w:sz w:val="24"/>
                <w:szCs w:val="24"/>
              </w:rPr>
            </w:pPr>
          </w:p>
          <w:p w:rsidR="00737DE6" w:rsidRPr="00315335" w:rsidRDefault="00737DE6" w:rsidP="00916B06">
            <w:pPr>
              <w:jc w:val="both"/>
              <w:rPr>
                <w:rFonts w:ascii="Arial" w:hAnsi="Arial" w:cs="Arial"/>
                <w:sz w:val="24"/>
                <w:szCs w:val="24"/>
              </w:rPr>
            </w:pPr>
          </w:p>
          <w:p w:rsidR="00737DE6" w:rsidRPr="00315335" w:rsidRDefault="00737DE6" w:rsidP="00916B06">
            <w:pPr>
              <w:jc w:val="both"/>
              <w:rPr>
                <w:rFonts w:ascii="Arial" w:hAnsi="Arial" w:cs="Arial"/>
                <w:sz w:val="24"/>
                <w:szCs w:val="24"/>
              </w:rPr>
            </w:pPr>
          </w:p>
          <w:p w:rsidR="00737DE6" w:rsidRPr="00315335" w:rsidRDefault="00737DE6" w:rsidP="00916B06">
            <w:pPr>
              <w:jc w:val="both"/>
              <w:rPr>
                <w:rFonts w:ascii="Arial" w:hAnsi="Arial" w:cs="Arial"/>
                <w:sz w:val="24"/>
                <w:szCs w:val="24"/>
              </w:rPr>
            </w:pPr>
          </w:p>
          <w:p w:rsidR="00737DE6" w:rsidRPr="00315335" w:rsidRDefault="00737DE6" w:rsidP="00916B06">
            <w:pPr>
              <w:jc w:val="both"/>
              <w:rPr>
                <w:rFonts w:ascii="Arial" w:hAnsi="Arial" w:cs="Arial"/>
                <w:sz w:val="24"/>
                <w:szCs w:val="24"/>
              </w:rPr>
            </w:pPr>
          </w:p>
        </w:tc>
        <w:tc>
          <w:tcPr>
            <w:tcW w:w="992"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5,3</w:t>
            </w:r>
          </w:p>
        </w:tc>
        <w:tc>
          <w:tcPr>
            <w:tcW w:w="1100"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5,3</w:t>
            </w:r>
          </w:p>
        </w:tc>
      </w:tr>
      <w:tr w:rsidR="00315335" w:rsidRPr="00315335" w:rsidTr="00916B06">
        <w:trPr>
          <w:jc w:val="center"/>
        </w:trPr>
        <w:tc>
          <w:tcPr>
            <w:tcW w:w="3936"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Rata de utilizare a pădurilor (%)</w:t>
            </w:r>
          </w:p>
        </w:tc>
        <w:tc>
          <w:tcPr>
            <w:tcW w:w="992"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100</w:t>
            </w:r>
          </w:p>
        </w:tc>
        <w:tc>
          <w:tcPr>
            <w:tcW w:w="1134"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96</w:t>
            </w:r>
          </w:p>
        </w:tc>
        <w:tc>
          <w:tcPr>
            <w:tcW w:w="1134"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96</w:t>
            </w:r>
          </w:p>
        </w:tc>
        <w:tc>
          <w:tcPr>
            <w:tcW w:w="992"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96</w:t>
            </w:r>
          </w:p>
        </w:tc>
        <w:tc>
          <w:tcPr>
            <w:tcW w:w="1100"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96</w:t>
            </w:r>
          </w:p>
        </w:tc>
      </w:tr>
    </w:tbl>
    <w:p w:rsidR="00737DE6" w:rsidRPr="00315335" w:rsidRDefault="00737DE6" w:rsidP="00737DE6">
      <w:pPr>
        <w:spacing w:after="0" w:line="240" w:lineRule="auto"/>
        <w:rPr>
          <w:rFonts w:ascii="Arial" w:hAnsi="Arial" w:cs="Arial"/>
          <w:sz w:val="24"/>
          <w:szCs w:val="24"/>
          <w:lang w:val="en-US"/>
        </w:rPr>
      </w:pPr>
    </w:p>
    <w:p w:rsidR="00737DE6" w:rsidRPr="00315335" w:rsidRDefault="00737DE6" w:rsidP="00737DE6">
      <w:pPr>
        <w:spacing w:after="0" w:line="240" w:lineRule="auto"/>
        <w:jc w:val="center"/>
        <w:rPr>
          <w:rFonts w:ascii="Arial" w:hAnsi="Arial" w:cs="Arial"/>
          <w:sz w:val="24"/>
          <w:szCs w:val="24"/>
          <w:lang w:val="en-US"/>
        </w:rPr>
      </w:pPr>
      <w:r w:rsidRPr="00315335">
        <w:rPr>
          <w:rFonts w:ascii="Arial" w:hAnsi="Arial" w:cs="Arial"/>
          <w:noProof/>
          <w:sz w:val="24"/>
          <w:szCs w:val="24"/>
        </w:rPr>
        <w:lastRenderedPageBreak/>
        <w:drawing>
          <wp:inline distT="0" distB="0" distL="0" distR="0" wp14:anchorId="5E181990" wp14:editId="5D998ED7">
            <wp:extent cx="5553075" cy="2543175"/>
            <wp:effectExtent l="0" t="0" r="9525" b="9525"/>
            <wp:docPr id="1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37DE6" w:rsidRPr="00315335" w:rsidRDefault="00737DE6" w:rsidP="00737DE6">
      <w:pPr>
        <w:spacing w:after="0" w:line="240" w:lineRule="auto"/>
        <w:jc w:val="center"/>
        <w:rPr>
          <w:rFonts w:ascii="Arial" w:hAnsi="Arial" w:cs="Arial"/>
          <w:sz w:val="24"/>
          <w:szCs w:val="24"/>
        </w:rPr>
      </w:pPr>
    </w:p>
    <w:p w:rsidR="00737DE6" w:rsidRPr="00315335" w:rsidRDefault="00737DE6" w:rsidP="00737DE6">
      <w:pPr>
        <w:spacing w:after="0" w:line="240" w:lineRule="auto"/>
        <w:jc w:val="center"/>
        <w:rPr>
          <w:rFonts w:ascii="Arial" w:hAnsi="Arial" w:cs="Arial"/>
          <w:sz w:val="24"/>
          <w:szCs w:val="24"/>
          <w:lang w:val="en-US"/>
        </w:rPr>
      </w:pPr>
      <w:r w:rsidRPr="00315335">
        <w:rPr>
          <w:rFonts w:ascii="Arial" w:hAnsi="Arial" w:cs="Arial"/>
          <w:sz w:val="24"/>
          <w:szCs w:val="24"/>
        </w:rPr>
        <w:t xml:space="preserve">Figura nr.   </w:t>
      </w:r>
      <w:r w:rsidRPr="00315335">
        <w:rPr>
          <w:rFonts w:ascii="Arial" w:hAnsi="Arial" w:cs="Arial"/>
          <w:b/>
          <w:sz w:val="24"/>
          <w:szCs w:val="24"/>
          <w:lang w:val="en-US"/>
        </w:rPr>
        <w:t xml:space="preserve">VI.1.1. - 3  </w:t>
      </w:r>
      <w:r w:rsidRPr="00315335">
        <w:rPr>
          <w:rFonts w:ascii="Arial" w:hAnsi="Arial" w:cs="Arial"/>
          <w:sz w:val="24"/>
          <w:szCs w:val="24"/>
        </w:rPr>
        <w:t>Evoluţia creşterii anuale a fondului forestier comparativ cu tăierea masei lemnoase</w:t>
      </w:r>
    </w:p>
    <w:p w:rsidR="00737DE6" w:rsidRPr="00315335" w:rsidRDefault="00737DE6" w:rsidP="00737DE6">
      <w:pPr>
        <w:spacing w:after="0" w:line="240" w:lineRule="auto"/>
        <w:jc w:val="both"/>
        <w:rPr>
          <w:rFonts w:ascii="Arial" w:hAnsi="Arial" w:cs="Arial"/>
          <w:sz w:val="24"/>
          <w:szCs w:val="24"/>
          <w:lang w:val="en-US"/>
        </w:rPr>
      </w:pPr>
    </w:p>
    <w:p w:rsidR="00737DE6" w:rsidRPr="00315335" w:rsidRDefault="00737DE6" w:rsidP="00737DE6">
      <w:pPr>
        <w:spacing w:after="0" w:line="240" w:lineRule="auto"/>
        <w:jc w:val="both"/>
        <w:rPr>
          <w:rFonts w:ascii="Arial" w:hAnsi="Arial" w:cs="Arial"/>
          <w:sz w:val="24"/>
          <w:szCs w:val="24"/>
        </w:rPr>
      </w:pPr>
      <w:r w:rsidRPr="00315335">
        <w:rPr>
          <w:rFonts w:ascii="Arial" w:hAnsi="Arial" w:cs="Arial"/>
          <w:sz w:val="24"/>
          <w:szCs w:val="24"/>
          <w:lang w:val="en-US"/>
        </w:rPr>
        <w:t>Tabelul nr.</w:t>
      </w:r>
      <w:r w:rsidRPr="00315335">
        <w:rPr>
          <w:rFonts w:ascii="Arial" w:hAnsi="Arial" w:cs="Arial"/>
          <w:b/>
          <w:sz w:val="24"/>
          <w:szCs w:val="24"/>
          <w:lang w:val="en-US"/>
        </w:rPr>
        <w:t xml:space="preserve"> VI.1.1. - 5 </w:t>
      </w:r>
      <w:r w:rsidRPr="00315335">
        <w:rPr>
          <w:rFonts w:ascii="Arial" w:hAnsi="Arial" w:cs="Arial"/>
          <w:sz w:val="24"/>
          <w:szCs w:val="24"/>
        </w:rPr>
        <w:t>Masa lemnoasă pusă în circuitul economic în funcţie de tipul produselor şi esenţă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1E0" w:firstRow="1" w:lastRow="1" w:firstColumn="1" w:lastColumn="1" w:noHBand="0" w:noVBand="0"/>
      </w:tblPr>
      <w:tblGrid>
        <w:gridCol w:w="3912"/>
        <w:gridCol w:w="1276"/>
        <w:gridCol w:w="1134"/>
        <w:gridCol w:w="3000"/>
      </w:tblGrid>
      <w:tr w:rsidR="00315335" w:rsidRPr="00315335" w:rsidTr="00916B06">
        <w:trPr>
          <w:jc w:val="center"/>
        </w:trPr>
        <w:tc>
          <w:tcPr>
            <w:tcW w:w="3912" w:type="dxa"/>
            <w:vMerge w:val="restart"/>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Tipul produselor</w:t>
            </w:r>
          </w:p>
        </w:tc>
        <w:tc>
          <w:tcPr>
            <w:tcW w:w="5410" w:type="dxa"/>
            <w:gridSpan w:val="3"/>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Esenţa (mii mc)</w:t>
            </w:r>
          </w:p>
        </w:tc>
      </w:tr>
      <w:tr w:rsidR="00315335" w:rsidRPr="00315335" w:rsidTr="00916B06">
        <w:trPr>
          <w:jc w:val="center"/>
        </w:trPr>
        <w:tc>
          <w:tcPr>
            <w:tcW w:w="3912" w:type="dxa"/>
            <w:vMerge/>
            <w:shd w:val="clear" w:color="auto" w:fill="E5DFEC" w:themeFill="accent4" w:themeFillTint="33"/>
            <w:vAlign w:val="center"/>
            <w:hideMark/>
          </w:tcPr>
          <w:p w:rsidR="00737DE6" w:rsidRPr="00315335" w:rsidRDefault="00737DE6" w:rsidP="00916B06">
            <w:pPr>
              <w:spacing w:after="0" w:line="240" w:lineRule="auto"/>
              <w:jc w:val="both"/>
              <w:rPr>
                <w:rFonts w:ascii="Arial" w:hAnsi="Arial" w:cs="Arial"/>
                <w:sz w:val="24"/>
                <w:szCs w:val="24"/>
              </w:rPr>
            </w:pPr>
          </w:p>
        </w:tc>
        <w:tc>
          <w:tcPr>
            <w:tcW w:w="1276"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Plop</w:t>
            </w:r>
          </w:p>
        </w:tc>
        <w:tc>
          <w:tcPr>
            <w:tcW w:w="1134"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Salcie</w:t>
            </w:r>
          </w:p>
        </w:tc>
        <w:tc>
          <w:tcPr>
            <w:tcW w:w="3000"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Alte esenţe</w:t>
            </w:r>
          </w:p>
        </w:tc>
      </w:tr>
      <w:tr w:rsidR="00315335" w:rsidRPr="00315335" w:rsidTr="00916B06">
        <w:trPr>
          <w:jc w:val="center"/>
        </w:trPr>
        <w:tc>
          <w:tcPr>
            <w:tcW w:w="3912"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Principale</w:t>
            </w:r>
          </w:p>
        </w:tc>
        <w:tc>
          <w:tcPr>
            <w:tcW w:w="1276"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30,0</w:t>
            </w:r>
          </w:p>
        </w:tc>
        <w:tc>
          <w:tcPr>
            <w:tcW w:w="1134"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20,1</w:t>
            </w:r>
          </w:p>
        </w:tc>
        <w:tc>
          <w:tcPr>
            <w:tcW w:w="3000"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1,5</w:t>
            </w:r>
          </w:p>
        </w:tc>
      </w:tr>
      <w:tr w:rsidR="00315335" w:rsidRPr="00315335" w:rsidTr="00916B06">
        <w:trPr>
          <w:jc w:val="center"/>
        </w:trPr>
        <w:tc>
          <w:tcPr>
            <w:tcW w:w="3912"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Secundare</w:t>
            </w:r>
          </w:p>
        </w:tc>
        <w:tc>
          <w:tcPr>
            <w:tcW w:w="1276"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3,5</w:t>
            </w:r>
          </w:p>
        </w:tc>
        <w:tc>
          <w:tcPr>
            <w:tcW w:w="1134"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2,2</w:t>
            </w:r>
          </w:p>
        </w:tc>
        <w:tc>
          <w:tcPr>
            <w:tcW w:w="3000"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2</w:t>
            </w:r>
          </w:p>
        </w:tc>
      </w:tr>
      <w:tr w:rsidR="00315335" w:rsidRPr="00315335" w:rsidTr="00916B06">
        <w:trPr>
          <w:jc w:val="center"/>
        </w:trPr>
        <w:tc>
          <w:tcPr>
            <w:tcW w:w="3912"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Accidentale</w:t>
            </w:r>
          </w:p>
        </w:tc>
        <w:tc>
          <w:tcPr>
            <w:tcW w:w="1276"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0</w:t>
            </w:r>
          </w:p>
        </w:tc>
        <w:tc>
          <w:tcPr>
            <w:tcW w:w="1134"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0</w:t>
            </w:r>
          </w:p>
        </w:tc>
        <w:tc>
          <w:tcPr>
            <w:tcW w:w="3000"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sz w:val="24"/>
                <w:szCs w:val="24"/>
              </w:rPr>
            </w:pPr>
            <w:r w:rsidRPr="00315335">
              <w:rPr>
                <w:rFonts w:ascii="Arial" w:hAnsi="Arial" w:cs="Arial"/>
                <w:sz w:val="24"/>
                <w:szCs w:val="24"/>
              </w:rPr>
              <w:t>0</w:t>
            </w:r>
          </w:p>
        </w:tc>
      </w:tr>
      <w:tr w:rsidR="00315335" w:rsidRPr="00315335" w:rsidTr="00916B06">
        <w:trPr>
          <w:jc w:val="center"/>
        </w:trPr>
        <w:tc>
          <w:tcPr>
            <w:tcW w:w="3912"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b/>
                <w:sz w:val="24"/>
                <w:szCs w:val="24"/>
              </w:rPr>
            </w:pPr>
            <w:r w:rsidRPr="00315335">
              <w:rPr>
                <w:rFonts w:ascii="Arial" w:hAnsi="Arial" w:cs="Arial"/>
                <w:b/>
                <w:sz w:val="24"/>
                <w:szCs w:val="24"/>
              </w:rPr>
              <w:t>Total</w:t>
            </w:r>
          </w:p>
        </w:tc>
        <w:tc>
          <w:tcPr>
            <w:tcW w:w="1276"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b/>
                <w:sz w:val="24"/>
                <w:szCs w:val="24"/>
              </w:rPr>
            </w:pPr>
            <w:r w:rsidRPr="00315335">
              <w:rPr>
                <w:rFonts w:ascii="Arial" w:hAnsi="Arial" w:cs="Arial"/>
                <w:b/>
                <w:sz w:val="24"/>
                <w:szCs w:val="24"/>
              </w:rPr>
              <w:t>33,5</w:t>
            </w:r>
          </w:p>
        </w:tc>
        <w:tc>
          <w:tcPr>
            <w:tcW w:w="1134"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b/>
                <w:sz w:val="24"/>
                <w:szCs w:val="24"/>
              </w:rPr>
            </w:pPr>
            <w:r w:rsidRPr="00315335">
              <w:rPr>
                <w:rFonts w:ascii="Arial" w:hAnsi="Arial" w:cs="Arial"/>
                <w:b/>
                <w:sz w:val="24"/>
                <w:szCs w:val="24"/>
              </w:rPr>
              <w:t>22,1</w:t>
            </w:r>
          </w:p>
        </w:tc>
        <w:tc>
          <w:tcPr>
            <w:tcW w:w="3000" w:type="dxa"/>
            <w:shd w:val="clear" w:color="auto" w:fill="E5DFEC" w:themeFill="accent4" w:themeFillTint="33"/>
            <w:vAlign w:val="center"/>
            <w:hideMark/>
          </w:tcPr>
          <w:p w:rsidR="00737DE6" w:rsidRPr="00315335" w:rsidRDefault="00737DE6" w:rsidP="00916B06">
            <w:pPr>
              <w:tabs>
                <w:tab w:val="left" w:pos="4860"/>
              </w:tabs>
              <w:spacing w:after="0" w:line="240" w:lineRule="auto"/>
              <w:jc w:val="both"/>
              <w:rPr>
                <w:rFonts w:ascii="Arial" w:hAnsi="Arial" w:cs="Arial"/>
                <w:b/>
                <w:sz w:val="24"/>
                <w:szCs w:val="24"/>
              </w:rPr>
            </w:pPr>
            <w:r w:rsidRPr="00315335">
              <w:rPr>
                <w:rFonts w:ascii="Arial" w:hAnsi="Arial" w:cs="Arial"/>
                <w:b/>
                <w:sz w:val="24"/>
                <w:szCs w:val="24"/>
              </w:rPr>
              <w:t>3,5</w:t>
            </w:r>
          </w:p>
        </w:tc>
      </w:tr>
    </w:tbl>
    <w:p w:rsidR="00737DE6" w:rsidRPr="00315335" w:rsidRDefault="00737DE6" w:rsidP="00737DE6">
      <w:pPr>
        <w:spacing w:after="0" w:line="240" w:lineRule="auto"/>
        <w:jc w:val="both"/>
        <w:rPr>
          <w:rFonts w:ascii="Arial" w:hAnsi="Arial" w:cs="Arial"/>
          <w:sz w:val="24"/>
          <w:szCs w:val="24"/>
        </w:rPr>
      </w:pPr>
    </w:p>
    <w:p w:rsidR="00737DE6" w:rsidRPr="00315335" w:rsidRDefault="00737DE6" w:rsidP="00737DE6">
      <w:pPr>
        <w:spacing w:after="0" w:line="240" w:lineRule="auto"/>
        <w:jc w:val="center"/>
        <w:rPr>
          <w:rFonts w:ascii="Arial" w:hAnsi="Arial" w:cs="Arial"/>
          <w:sz w:val="24"/>
          <w:szCs w:val="24"/>
        </w:rPr>
      </w:pPr>
      <w:r w:rsidRPr="00315335">
        <w:rPr>
          <w:rFonts w:ascii="Arial" w:hAnsi="Arial" w:cs="Arial"/>
          <w:noProof/>
          <w:sz w:val="24"/>
          <w:szCs w:val="24"/>
        </w:rPr>
        <w:drawing>
          <wp:inline distT="0" distB="0" distL="0" distR="0" wp14:anchorId="6709ACAA" wp14:editId="7931D86F">
            <wp:extent cx="4848225" cy="2495550"/>
            <wp:effectExtent l="0" t="0" r="9525" b="0"/>
            <wp:docPr id="1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737DE6" w:rsidRPr="00315335" w:rsidRDefault="00737DE6" w:rsidP="00737DE6">
      <w:pPr>
        <w:spacing w:after="0" w:line="240" w:lineRule="auto"/>
        <w:jc w:val="both"/>
        <w:rPr>
          <w:rFonts w:ascii="Arial" w:hAnsi="Arial" w:cs="Arial"/>
          <w:sz w:val="24"/>
          <w:szCs w:val="24"/>
        </w:rPr>
      </w:pPr>
      <w:r w:rsidRPr="00315335">
        <w:rPr>
          <w:rFonts w:ascii="Arial" w:hAnsi="Arial" w:cs="Arial"/>
          <w:sz w:val="24"/>
          <w:szCs w:val="24"/>
        </w:rPr>
        <w:t xml:space="preserve">               Figura nr.   </w:t>
      </w:r>
      <w:r w:rsidRPr="00315335">
        <w:rPr>
          <w:rFonts w:ascii="Arial" w:hAnsi="Arial" w:cs="Arial"/>
          <w:b/>
          <w:sz w:val="24"/>
          <w:szCs w:val="24"/>
          <w:lang w:val="en-US"/>
        </w:rPr>
        <w:t>VI.1.1. - 4    Masa lemnoasă pusă în circuitul economic</w:t>
      </w:r>
    </w:p>
    <w:p w:rsidR="00737DE6" w:rsidRPr="00315335" w:rsidRDefault="00737DE6" w:rsidP="00737DE6">
      <w:pPr>
        <w:spacing w:after="0" w:line="240" w:lineRule="auto"/>
        <w:jc w:val="both"/>
        <w:rPr>
          <w:rFonts w:ascii="Arial" w:hAnsi="Arial" w:cs="Arial"/>
          <w:sz w:val="24"/>
          <w:szCs w:val="24"/>
          <w:lang w:val="en-US"/>
        </w:rPr>
      </w:pPr>
    </w:p>
    <w:p w:rsidR="00737DE6" w:rsidRPr="00315335" w:rsidRDefault="00737DE6" w:rsidP="00737DE6">
      <w:pPr>
        <w:spacing w:after="0" w:line="240" w:lineRule="auto"/>
        <w:jc w:val="both"/>
        <w:rPr>
          <w:rFonts w:ascii="Arial" w:hAnsi="Arial" w:cs="Arial"/>
          <w:sz w:val="24"/>
          <w:szCs w:val="24"/>
          <w:lang w:val="en-US"/>
        </w:rPr>
      </w:pPr>
      <w:r w:rsidRPr="00315335">
        <w:rPr>
          <w:rFonts w:ascii="Arial" w:hAnsi="Arial" w:cs="Arial"/>
          <w:sz w:val="24"/>
          <w:szCs w:val="24"/>
          <w:lang w:val="en-US"/>
        </w:rPr>
        <w:t>Tabelul nr.</w:t>
      </w:r>
      <w:r w:rsidRPr="00315335">
        <w:rPr>
          <w:rFonts w:ascii="Arial" w:hAnsi="Arial" w:cs="Arial"/>
          <w:b/>
          <w:sz w:val="24"/>
          <w:szCs w:val="24"/>
          <w:lang w:val="en-US"/>
        </w:rPr>
        <w:t xml:space="preserve"> VI.1.1. - 6 </w:t>
      </w:r>
      <w:r w:rsidRPr="00315335">
        <w:rPr>
          <w:rFonts w:ascii="Arial" w:hAnsi="Arial" w:cs="Arial"/>
          <w:sz w:val="24"/>
          <w:szCs w:val="24"/>
          <w:lang w:val="en-US"/>
        </w:rPr>
        <w:t xml:space="preserve"> </w:t>
      </w:r>
      <w:r w:rsidRPr="00315335">
        <w:rPr>
          <w:rFonts w:ascii="Arial" w:hAnsi="Arial" w:cs="Arial"/>
          <w:sz w:val="24"/>
          <w:szCs w:val="24"/>
        </w:rPr>
        <w:t xml:space="preserve">Ponderea compoziţiei fondului forestier  în judeţul Brăila în perioada anilor  </w:t>
      </w:r>
      <w:r w:rsidRPr="00315335">
        <w:rPr>
          <w:rFonts w:ascii="Arial" w:hAnsi="Arial" w:cs="Arial"/>
          <w:sz w:val="24"/>
          <w:szCs w:val="24"/>
          <w:lang w:val="en-US"/>
        </w:rPr>
        <w:t>2014-2018</w:t>
      </w:r>
    </w:p>
    <w:tbl>
      <w:tblPr>
        <w:tblStyle w:val="Tabelgril"/>
        <w:tblW w:w="0" w:type="auto"/>
        <w:tblInd w:w="250" w:type="dxa"/>
        <w:tblLook w:val="04A0" w:firstRow="1" w:lastRow="0" w:firstColumn="1" w:lastColumn="0" w:noHBand="0" w:noVBand="1"/>
      </w:tblPr>
      <w:tblGrid>
        <w:gridCol w:w="3601"/>
        <w:gridCol w:w="962"/>
        <w:gridCol w:w="1119"/>
        <w:gridCol w:w="1119"/>
        <w:gridCol w:w="982"/>
        <w:gridCol w:w="1255"/>
      </w:tblGrid>
      <w:tr w:rsidR="00315335" w:rsidRPr="00315335" w:rsidTr="00916B06">
        <w:tc>
          <w:tcPr>
            <w:tcW w:w="3601" w:type="dxa"/>
            <w:shd w:val="clear" w:color="auto" w:fill="CCC0D9" w:themeFill="accent4" w:themeFillTint="66"/>
          </w:tcPr>
          <w:p w:rsidR="00737DE6" w:rsidRPr="00315335" w:rsidRDefault="00737DE6" w:rsidP="00916B06">
            <w:pPr>
              <w:jc w:val="both"/>
              <w:rPr>
                <w:rFonts w:ascii="Arial" w:hAnsi="Arial" w:cs="Arial"/>
                <w:b/>
                <w:sz w:val="24"/>
                <w:szCs w:val="24"/>
              </w:rPr>
            </w:pPr>
          </w:p>
        </w:tc>
        <w:tc>
          <w:tcPr>
            <w:tcW w:w="962" w:type="dxa"/>
            <w:shd w:val="clear" w:color="auto" w:fill="CCC0D9" w:themeFill="accent4" w:themeFillTint="66"/>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2014</w:t>
            </w:r>
          </w:p>
        </w:tc>
        <w:tc>
          <w:tcPr>
            <w:tcW w:w="1119" w:type="dxa"/>
            <w:shd w:val="clear" w:color="auto" w:fill="CCC0D9" w:themeFill="accent4" w:themeFillTint="66"/>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2015</w:t>
            </w:r>
          </w:p>
        </w:tc>
        <w:tc>
          <w:tcPr>
            <w:tcW w:w="1119" w:type="dxa"/>
            <w:shd w:val="clear" w:color="auto" w:fill="CCC0D9" w:themeFill="accent4" w:themeFillTint="66"/>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2016</w:t>
            </w:r>
          </w:p>
        </w:tc>
        <w:tc>
          <w:tcPr>
            <w:tcW w:w="982" w:type="dxa"/>
            <w:shd w:val="clear" w:color="auto" w:fill="CCC0D9" w:themeFill="accent4" w:themeFillTint="66"/>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2017</w:t>
            </w:r>
          </w:p>
        </w:tc>
        <w:tc>
          <w:tcPr>
            <w:tcW w:w="1255" w:type="dxa"/>
            <w:shd w:val="clear" w:color="auto" w:fill="CCC0D9" w:themeFill="accent4" w:themeFillTint="66"/>
          </w:tcPr>
          <w:p w:rsidR="00737DE6" w:rsidRPr="00315335" w:rsidRDefault="00737DE6" w:rsidP="00916B06">
            <w:pPr>
              <w:jc w:val="both"/>
              <w:rPr>
                <w:rFonts w:ascii="Arial" w:hAnsi="Arial" w:cs="Arial"/>
                <w:b/>
                <w:sz w:val="24"/>
                <w:szCs w:val="24"/>
              </w:rPr>
            </w:pPr>
            <w:r w:rsidRPr="00315335">
              <w:rPr>
                <w:rFonts w:ascii="Arial" w:hAnsi="Arial" w:cs="Arial"/>
                <w:b/>
                <w:sz w:val="24"/>
                <w:szCs w:val="24"/>
              </w:rPr>
              <w:t>2018</w:t>
            </w:r>
          </w:p>
        </w:tc>
      </w:tr>
      <w:tr w:rsidR="00315335" w:rsidRPr="00315335" w:rsidTr="00916B06">
        <w:tc>
          <w:tcPr>
            <w:tcW w:w="3601"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Păduri de foioase(%)</w:t>
            </w:r>
          </w:p>
        </w:tc>
        <w:tc>
          <w:tcPr>
            <w:tcW w:w="96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98,0</w:t>
            </w:r>
          </w:p>
        </w:tc>
        <w:tc>
          <w:tcPr>
            <w:tcW w:w="1119"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98,0</w:t>
            </w:r>
          </w:p>
        </w:tc>
        <w:tc>
          <w:tcPr>
            <w:tcW w:w="1119"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98,0</w:t>
            </w:r>
          </w:p>
        </w:tc>
        <w:tc>
          <w:tcPr>
            <w:tcW w:w="98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98,0</w:t>
            </w:r>
          </w:p>
        </w:tc>
        <w:tc>
          <w:tcPr>
            <w:tcW w:w="1255"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98,0</w:t>
            </w:r>
          </w:p>
        </w:tc>
      </w:tr>
      <w:tr w:rsidR="00315335" w:rsidRPr="00315335" w:rsidTr="00916B06">
        <w:tc>
          <w:tcPr>
            <w:tcW w:w="3601"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Păduri de cvercinee(%)</w:t>
            </w:r>
          </w:p>
        </w:tc>
        <w:tc>
          <w:tcPr>
            <w:tcW w:w="96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c>
          <w:tcPr>
            <w:tcW w:w="1119"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c>
          <w:tcPr>
            <w:tcW w:w="1119"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c>
          <w:tcPr>
            <w:tcW w:w="98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c>
          <w:tcPr>
            <w:tcW w:w="1255"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r>
      <w:tr w:rsidR="00315335" w:rsidRPr="00315335" w:rsidTr="00916B06">
        <w:tc>
          <w:tcPr>
            <w:tcW w:w="3601" w:type="dxa"/>
            <w:shd w:val="clear" w:color="auto" w:fill="E5DFEC" w:themeFill="accent4" w:themeFillTint="33"/>
          </w:tcPr>
          <w:p w:rsidR="00737DE6" w:rsidRPr="00315335" w:rsidRDefault="00737DE6" w:rsidP="00916B06">
            <w:pPr>
              <w:jc w:val="both"/>
              <w:rPr>
                <w:rFonts w:ascii="Arial" w:hAnsi="Arial" w:cs="Arial"/>
                <w:sz w:val="24"/>
                <w:szCs w:val="24"/>
              </w:rPr>
            </w:pPr>
            <w:r w:rsidRPr="00315335">
              <w:rPr>
                <w:rFonts w:ascii="Arial" w:hAnsi="Arial" w:cs="Arial"/>
                <w:sz w:val="24"/>
                <w:szCs w:val="24"/>
              </w:rPr>
              <w:t>Alte terenuri (%)</w:t>
            </w:r>
          </w:p>
        </w:tc>
        <w:tc>
          <w:tcPr>
            <w:tcW w:w="96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c>
          <w:tcPr>
            <w:tcW w:w="1119"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c>
          <w:tcPr>
            <w:tcW w:w="1119"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c>
          <w:tcPr>
            <w:tcW w:w="98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c>
          <w:tcPr>
            <w:tcW w:w="1255"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r>
    </w:tbl>
    <w:p w:rsidR="00737DE6" w:rsidRPr="00315335" w:rsidRDefault="00737DE6" w:rsidP="00737DE6">
      <w:pPr>
        <w:pStyle w:val="Default"/>
        <w:rPr>
          <w:rFonts w:ascii="Arial" w:hAnsi="Arial" w:cs="Arial"/>
          <w:color w:val="auto"/>
        </w:rPr>
      </w:pPr>
    </w:p>
    <w:p w:rsidR="00737DE6" w:rsidRPr="00315335" w:rsidRDefault="00737DE6" w:rsidP="00737DE6">
      <w:pPr>
        <w:spacing w:after="0" w:line="240" w:lineRule="auto"/>
        <w:jc w:val="center"/>
        <w:rPr>
          <w:rFonts w:ascii="Arial" w:hAnsi="Arial" w:cs="Arial"/>
          <w:sz w:val="24"/>
          <w:szCs w:val="24"/>
          <w:lang w:val="en-US"/>
        </w:rPr>
      </w:pPr>
      <w:r w:rsidRPr="00315335">
        <w:rPr>
          <w:rFonts w:ascii="Arial" w:hAnsi="Arial" w:cs="Arial"/>
          <w:noProof/>
          <w:sz w:val="24"/>
          <w:szCs w:val="24"/>
        </w:rPr>
        <w:lastRenderedPageBreak/>
        <w:drawing>
          <wp:inline distT="0" distB="0" distL="0" distR="0" wp14:anchorId="084922FF" wp14:editId="78D05019">
            <wp:extent cx="4752975" cy="2695575"/>
            <wp:effectExtent l="0" t="0" r="9525" b="9525"/>
            <wp:docPr id="2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737DE6" w:rsidRPr="00315335" w:rsidRDefault="00737DE6" w:rsidP="00737DE6">
      <w:pPr>
        <w:pStyle w:val="Default"/>
        <w:jc w:val="center"/>
        <w:rPr>
          <w:rFonts w:ascii="Arial" w:hAnsi="Arial" w:cs="Arial"/>
          <w:color w:val="auto"/>
        </w:rPr>
      </w:pPr>
    </w:p>
    <w:p w:rsidR="00737DE6" w:rsidRPr="00315335" w:rsidRDefault="00737DE6" w:rsidP="00737DE6">
      <w:pPr>
        <w:pStyle w:val="Default"/>
        <w:jc w:val="center"/>
        <w:rPr>
          <w:rFonts w:ascii="Arial" w:hAnsi="Arial" w:cs="Arial"/>
          <w:b/>
          <w:color w:val="auto"/>
        </w:rPr>
      </w:pPr>
      <w:r w:rsidRPr="00315335">
        <w:rPr>
          <w:rFonts w:ascii="Arial" w:hAnsi="Arial" w:cs="Arial"/>
          <w:color w:val="auto"/>
        </w:rPr>
        <w:t xml:space="preserve">Figura nr.   </w:t>
      </w:r>
      <w:r w:rsidRPr="00315335">
        <w:rPr>
          <w:rFonts w:ascii="Arial" w:hAnsi="Arial" w:cs="Arial"/>
          <w:b/>
          <w:color w:val="auto"/>
        </w:rPr>
        <w:t xml:space="preserve">VI.1.1. - 5 </w:t>
      </w:r>
      <w:r w:rsidRPr="00315335">
        <w:rPr>
          <w:rFonts w:ascii="Arial" w:hAnsi="Arial" w:cs="Arial"/>
          <w:color w:val="auto"/>
        </w:rPr>
        <w:t>Ponderea compoziţiei fondului forestier</w:t>
      </w:r>
    </w:p>
    <w:p w:rsidR="00737DE6" w:rsidRPr="00315335" w:rsidRDefault="00737DE6" w:rsidP="00737DE6">
      <w:pPr>
        <w:pStyle w:val="Default"/>
        <w:jc w:val="center"/>
        <w:rPr>
          <w:rFonts w:ascii="Arial" w:hAnsi="Arial" w:cs="Arial"/>
          <w:color w:val="auto"/>
        </w:rPr>
      </w:pPr>
    </w:p>
    <w:p w:rsidR="00737DE6" w:rsidRPr="00315335" w:rsidRDefault="00737DE6" w:rsidP="00737DE6">
      <w:pPr>
        <w:spacing w:after="0" w:line="240" w:lineRule="auto"/>
        <w:rPr>
          <w:rFonts w:ascii="Arial" w:hAnsi="Arial" w:cs="Arial"/>
          <w:b/>
          <w:sz w:val="24"/>
          <w:szCs w:val="24"/>
          <w:lang w:val="en-US"/>
        </w:rPr>
      </w:pPr>
    </w:p>
    <w:p w:rsidR="00737DE6" w:rsidRPr="00315335" w:rsidRDefault="00737DE6" w:rsidP="00737DE6">
      <w:pPr>
        <w:spacing w:after="0" w:line="240" w:lineRule="auto"/>
        <w:rPr>
          <w:rFonts w:ascii="Arial" w:hAnsi="Arial" w:cs="Arial"/>
          <w:b/>
          <w:i/>
          <w:sz w:val="24"/>
          <w:szCs w:val="24"/>
          <w:lang w:val="en-US"/>
        </w:rPr>
      </w:pPr>
      <w:r w:rsidRPr="00315335">
        <w:rPr>
          <w:rFonts w:ascii="Arial" w:hAnsi="Arial" w:cs="Arial"/>
          <w:b/>
          <w:sz w:val="24"/>
          <w:szCs w:val="24"/>
          <w:lang w:val="en-US"/>
        </w:rPr>
        <w:t xml:space="preserve">         </w:t>
      </w:r>
      <w:r w:rsidRPr="00315335">
        <w:rPr>
          <w:rFonts w:ascii="Arial" w:hAnsi="Arial" w:cs="Arial"/>
          <w:b/>
          <w:i/>
          <w:sz w:val="24"/>
          <w:szCs w:val="24"/>
          <w:lang w:val="en-US"/>
        </w:rPr>
        <w:t>VI.1.2. Distribuţia pădurilor după principalele forme de relief</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Judeţul Brăila este situat integral în zona de câmpie, în lunca inundabilă a fluviului Dunărea (reprezentând cca. 57 % din suprafaţa totală de fond forestier), în luncile râurilor interioare Buzău şi Siret (cca. 21% din suprafaţa totală de fond forestier) şi 10% pe terasă. Terenurile ocupate cu păduri sau destinate împăduririi, distribuite neuniform pe suprafaţa judeţului în trupuri izolate ocupă o suprafaţă redusă. Dacă în trupurile izolate şi pe terasă predomină esenţele tari (ulm, stejar, frasin, salcâm), pădurile din luncă sunt alcătuite din plop şi salcie.</w:t>
      </w: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Tabelul nr.</w:t>
      </w:r>
      <w:r w:rsidRPr="00315335">
        <w:rPr>
          <w:rFonts w:ascii="Arial" w:hAnsi="Arial" w:cs="Arial"/>
          <w:b/>
          <w:sz w:val="24"/>
          <w:szCs w:val="24"/>
          <w:lang w:val="en-US"/>
        </w:rPr>
        <w:t xml:space="preserve"> VI.1.2. -1</w:t>
      </w:r>
      <w:r w:rsidRPr="00315335">
        <w:rPr>
          <w:rFonts w:ascii="Arial" w:hAnsi="Arial" w:cs="Arial"/>
          <w:sz w:val="24"/>
          <w:szCs w:val="24"/>
          <w:lang w:val="en-US"/>
        </w:rPr>
        <w:t xml:space="preserve"> Distribuţia pădurilor după principalele forme de relief </w:t>
      </w:r>
    </w:p>
    <w:tbl>
      <w:tblPr>
        <w:tblStyle w:val="Tabelgril"/>
        <w:tblW w:w="0" w:type="auto"/>
        <w:jc w:val="center"/>
        <w:shd w:val="clear" w:color="auto" w:fill="E5DFEC" w:themeFill="accent4" w:themeFillTint="33"/>
        <w:tblLook w:val="04A0" w:firstRow="1" w:lastRow="0" w:firstColumn="1" w:lastColumn="0" w:noHBand="0" w:noVBand="1"/>
      </w:tblPr>
      <w:tblGrid>
        <w:gridCol w:w="4644"/>
        <w:gridCol w:w="4644"/>
      </w:tblGrid>
      <w:tr w:rsidR="00315335" w:rsidRPr="00315335" w:rsidTr="00916B06">
        <w:trPr>
          <w:jc w:val="center"/>
        </w:trPr>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Principalele forme de relief</w:t>
            </w:r>
          </w:p>
        </w:tc>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Ponderea pădurilor după principalele forme de relief (%)</w:t>
            </w:r>
          </w:p>
        </w:tc>
      </w:tr>
      <w:tr w:rsidR="00315335" w:rsidRPr="00315335" w:rsidTr="00916B06">
        <w:trPr>
          <w:jc w:val="center"/>
        </w:trPr>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Câmpie</w:t>
            </w:r>
          </w:p>
        </w:tc>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100%</w:t>
            </w:r>
          </w:p>
        </w:tc>
      </w:tr>
    </w:tbl>
    <w:p w:rsidR="00737DE6" w:rsidRPr="00315335" w:rsidRDefault="00737DE6" w:rsidP="00737DE6">
      <w:pPr>
        <w:spacing w:after="0" w:line="240" w:lineRule="auto"/>
        <w:rPr>
          <w:rFonts w:ascii="Arial" w:hAnsi="Arial" w:cs="Arial"/>
          <w:sz w:val="24"/>
          <w:szCs w:val="24"/>
          <w:lang w:val="en-US"/>
        </w:rPr>
      </w:pPr>
    </w:p>
    <w:p w:rsidR="00737DE6" w:rsidRPr="00315335" w:rsidRDefault="00737DE6" w:rsidP="00737DE6">
      <w:pPr>
        <w:spacing w:after="0" w:line="240" w:lineRule="auto"/>
        <w:ind w:firstLine="708"/>
        <w:rPr>
          <w:rFonts w:ascii="Arial" w:hAnsi="Arial" w:cs="Arial"/>
          <w:sz w:val="24"/>
          <w:szCs w:val="24"/>
          <w:lang w:val="en-US"/>
        </w:rPr>
      </w:pPr>
      <w:r w:rsidRPr="00315335">
        <w:rPr>
          <w:rFonts w:ascii="Arial" w:hAnsi="Arial" w:cs="Arial"/>
          <w:sz w:val="24"/>
          <w:szCs w:val="24"/>
          <w:lang w:val="en-US"/>
        </w:rPr>
        <w:t>Tabelul nr.</w:t>
      </w:r>
      <w:r w:rsidRPr="00315335">
        <w:rPr>
          <w:rFonts w:ascii="Arial" w:hAnsi="Arial" w:cs="Arial"/>
          <w:b/>
          <w:sz w:val="24"/>
          <w:szCs w:val="24"/>
          <w:lang w:val="en-US"/>
        </w:rPr>
        <w:t xml:space="preserve"> VI.1.2. - 2</w:t>
      </w:r>
      <w:r w:rsidRPr="00315335">
        <w:rPr>
          <w:rFonts w:ascii="Arial" w:hAnsi="Arial" w:cs="Arial"/>
          <w:sz w:val="24"/>
          <w:szCs w:val="24"/>
          <w:lang w:val="en-US"/>
        </w:rPr>
        <w:t xml:space="preserve"> Distribuţia pădurilor pe specii şi grupe de specii </w:t>
      </w:r>
    </w:p>
    <w:tbl>
      <w:tblPr>
        <w:tblStyle w:val="Tabelgril"/>
        <w:tblW w:w="0" w:type="auto"/>
        <w:jc w:val="center"/>
        <w:shd w:val="clear" w:color="auto" w:fill="E5DFEC" w:themeFill="accent4" w:themeFillTint="33"/>
        <w:tblLook w:val="04A0" w:firstRow="1" w:lastRow="0" w:firstColumn="1" w:lastColumn="0" w:noHBand="0" w:noVBand="1"/>
      </w:tblPr>
      <w:tblGrid>
        <w:gridCol w:w="4644"/>
        <w:gridCol w:w="4644"/>
      </w:tblGrid>
      <w:tr w:rsidR="00315335" w:rsidRPr="00315335" w:rsidTr="00916B06">
        <w:trPr>
          <w:jc w:val="center"/>
        </w:trPr>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Principalele tipuri</w:t>
            </w:r>
          </w:p>
        </w:tc>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Ponderea speciilor  (%)</w:t>
            </w:r>
          </w:p>
        </w:tc>
      </w:tr>
      <w:tr w:rsidR="00315335" w:rsidRPr="00315335" w:rsidTr="00916B06">
        <w:trPr>
          <w:jc w:val="center"/>
        </w:trPr>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Fag</w:t>
            </w:r>
          </w:p>
        </w:tc>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0</w:t>
            </w:r>
          </w:p>
        </w:tc>
      </w:tr>
      <w:tr w:rsidR="00315335" w:rsidRPr="00315335" w:rsidTr="00916B06">
        <w:trPr>
          <w:jc w:val="center"/>
        </w:trPr>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Stejar</w:t>
            </w:r>
          </w:p>
        </w:tc>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1,0</w:t>
            </w:r>
          </w:p>
        </w:tc>
      </w:tr>
      <w:tr w:rsidR="00315335" w:rsidRPr="00315335" w:rsidTr="00916B06">
        <w:trPr>
          <w:jc w:val="center"/>
        </w:trPr>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Diverse tari</w:t>
            </w:r>
          </w:p>
        </w:tc>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12,0</w:t>
            </w:r>
          </w:p>
        </w:tc>
      </w:tr>
      <w:tr w:rsidR="00315335" w:rsidRPr="00315335" w:rsidTr="00916B06">
        <w:trPr>
          <w:jc w:val="center"/>
        </w:trPr>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Diverse moi</w:t>
            </w:r>
          </w:p>
        </w:tc>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87,0</w:t>
            </w:r>
          </w:p>
        </w:tc>
      </w:tr>
    </w:tbl>
    <w:p w:rsidR="00737DE6" w:rsidRPr="00315335" w:rsidRDefault="00737DE6" w:rsidP="00737DE6">
      <w:pPr>
        <w:spacing w:after="0" w:line="240" w:lineRule="auto"/>
        <w:rPr>
          <w:rFonts w:ascii="Arial" w:hAnsi="Arial" w:cs="Arial"/>
          <w:sz w:val="24"/>
          <w:szCs w:val="24"/>
          <w:highlight w:val="yellow"/>
          <w:lang w:val="en-US"/>
        </w:rPr>
      </w:pP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Tabelul nr.</w:t>
      </w:r>
      <w:r w:rsidRPr="00315335">
        <w:rPr>
          <w:rFonts w:ascii="Arial" w:hAnsi="Arial" w:cs="Arial"/>
          <w:b/>
          <w:sz w:val="24"/>
          <w:szCs w:val="24"/>
          <w:lang w:val="en-US"/>
        </w:rPr>
        <w:t xml:space="preserve"> VI.1.2. -1</w:t>
      </w:r>
      <w:r w:rsidRPr="00315335">
        <w:rPr>
          <w:rFonts w:ascii="Arial" w:hAnsi="Arial" w:cs="Arial"/>
          <w:sz w:val="24"/>
          <w:szCs w:val="24"/>
          <w:lang w:val="en-US"/>
        </w:rPr>
        <w:t xml:space="preserve"> Distribuţia pădurilor, grupe de specii, după principalele forme de relief  </w:t>
      </w:r>
    </w:p>
    <w:p w:rsidR="00737DE6" w:rsidRPr="00315335" w:rsidRDefault="00737DE6" w:rsidP="00737DE6">
      <w:pPr>
        <w:spacing w:after="0" w:line="240" w:lineRule="auto"/>
        <w:rPr>
          <w:rFonts w:ascii="Arial" w:hAnsi="Arial" w:cs="Arial"/>
          <w:b/>
          <w:sz w:val="24"/>
          <w:szCs w:val="24"/>
          <w:lang w:val="en-US"/>
        </w:rPr>
      </w:pPr>
      <w:r w:rsidRPr="00315335">
        <w:rPr>
          <w:rFonts w:ascii="Arial" w:hAnsi="Arial" w:cs="Arial"/>
          <w:sz w:val="24"/>
          <w:szCs w:val="24"/>
          <w:lang w:val="en-US"/>
        </w:rPr>
        <w:t xml:space="preserve">                                                                                                                  </w:t>
      </w:r>
      <w:r w:rsidRPr="00315335">
        <w:rPr>
          <w:rFonts w:ascii="Arial" w:hAnsi="Arial" w:cs="Arial"/>
          <w:b/>
          <w:sz w:val="24"/>
          <w:szCs w:val="24"/>
          <w:lang w:val="en-US"/>
        </w:rPr>
        <w:t>(ha)</w:t>
      </w:r>
      <w:r w:rsidRPr="00315335">
        <w:rPr>
          <w:rFonts w:ascii="Arial" w:hAnsi="Arial" w:cs="Arial"/>
          <w:sz w:val="24"/>
          <w:szCs w:val="24"/>
          <w:lang w:val="en-US"/>
        </w:rPr>
        <w:t xml:space="preserve">                                                                                  </w:t>
      </w:r>
    </w:p>
    <w:tbl>
      <w:tblPr>
        <w:tblStyle w:val="Tabelgril"/>
        <w:tblW w:w="0" w:type="auto"/>
        <w:jc w:val="center"/>
        <w:shd w:val="clear" w:color="auto" w:fill="E5DFEC" w:themeFill="accent4" w:themeFillTint="33"/>
        <w:tblLook w:val="04A0" w:firstRow="1" w:lastRow="0" w:firstColumn="1" w:lastColumn="0" w:noHBand="0" w:noVBand="1"/>
      </w:tblPr>
      <w:tblGrid>
        <w:gridCol w:w="1548"/>
        <w:gridCol w:w="1548"/>
        <w:gridCol w:w="1548"/>
        <w:gridCol w:w="1548"/>
        <w:gridCol w:w="1565"/>
        <w:gridCol w:w="1565"/>
      </w:tblGrid>
      <w:tr w:rsidR="00315335" w:rsidRPr="00315335" w:rsidTr="00916B06">
        <w:trPr>
          <w:jc w:val="center"/>
        </w:trPr>
        <w:tc>
          <w:tcPr>
            <w:tcW w:w="1548" w:type="dxa"/>
            <w:shd w:val="clear" w:color="auto" w:fill="E5DFEC" w:themeFill="accent4" w:themeFillTint="33"/>
          </w:tcPr>
          <w:p w:rsidR="00737DE6" w:rsidRPr="00315335" w:rsidRDefault="00737DE6" w:rsidP="00916B06">
            <w:pPr>
              <w:rPr>
                <w:rFonts w:ascii="Arial" w:hAnsi="Arial" w:cs="Arial"/>
                <w:sz w:val="24"/>
                <w:szCs w:val="24"/>
              </w:rPr>
            </w:pPr>
          </w:p>
        </w:tc>
        <w:tc>
          <w:tcPr>
            <w:tcW w:w="154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Răşinoase</w:t>
            </w:r>
          </w:p>
        </w:tc>
        <w:tc>
          <w:tcPr>
            <w:tcW w:w="154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Fag</w:t>
            </w:r>
          </w:p>
        </w:tc>
        <w:tc>
          <w:tcPr>
            <w:tcW w:w="154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Cvercinee</w:t>
            </w:r>
          </w:p>
        </w:tc>
        <w:tc>
          <w:tcPr>
            <w:tcW w:w="1565"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Foioase tari</w:t>
            </w:r>
          </w:p>
        </w:tc>
        <w:tc>
          <w:tcPr>
            <w:tcW w:w="1565"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Foioase moi</w:t>
            </w:r>
          </w:p>
        </w:tc>
      </w:tr>
      <w:tr w:rsidR="00315335" w:rsidRPr="00315335" w:rsidTr="00916B06">
        <w:trPr>
          <w:jc w:val="center"/>
        </w:trPr>
        <w:tc>
          <w:tcPr>
            <w:tcW w:w="154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Câmpie</w:t>
            </w:r>
          </w:p>
        </w:tc>
        <w:tc>
          <w:tcPr>
            <w:tcW w:w="154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0</w:t>
            </w:r>
          </w:p>
        </w:tc>
        <w:tc>
          <w:tcPr>
            <w:tcW w:w="154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0</w:t>
            </w:r>
          </w:p>
        </w:tc>
        <w:tc>
          <w:tcPr>
            <w:tcW w:w="154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2304</w:t>
            </w:r>
          </w:p>
        </w:tc>
        <w:tc>
          <w:tcPr>
            <w:tcW w:w="1565"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3207</w:t>
            </w:r>
          </w:p>
          <w:p w:rsidR="00737DE6" w:rsidRPr="00315335" w:rsidRDefault="00737DE6" w:rsidP="00916B06">
            <w:pPr>
              <w:rPr>
                <w:rFonts w:ascii="Arial" w:hAnsi="Arial" w:cs="Arial"/>
                <w:sz w:val="24"/>
                <w:szCs w:val="24"/>
              </w:rPr>
            </w:pPr>
          </w:p>
        </w:tc>
        <w:tc>
          <w:tcPr>
            <w:tcW w:w="1565"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22785</w:t>
            </w:r>
          </w:p>
          <w:p w:rsidR="00737DE6" w:rsidRPr="00315335" w:rsidRDefault="00737DE6" w:rsidP="00916B06">
            <w:pPr>
              <w:rPr>
                <w:rFonts w:ascii="Arial" w:hAnsi="Arial" w:cs="Arial"/>
                <w:sz w:val="24"/>
                <w:szCs w:val="24"/>
              </w:rPr>
            </w:pPr>
          </w:p>
        </w:tc>
      </w:tr>
    </w:tbl>
    <w:p w:rsidR="00737DE6" w:rsidRPr="00315335" w:rsidRDefault="00737DE6" w:rsidP="00737DE6">
      <w:pPr>
        <w:tabs>
          <w:tab w:val="left" w:pos="0"/>
          <w:tab w:val="left" w:pos="2268"/>
          <w:tab w:val="left" w:leader="dot" w:pos="8640"/>
        </w:tabs>
        <w:spacing w:after="0" w:line="240" w:lineRule="auto"/>
        <w:contextualSpacing/>
        <w:jc w:val="both"/>
        <w:rPr>
          <w:rFonts w:ascii="Arial" w:hAnsi="Arial" w:cs="Arial"/>
          <w:sz w:val="24"/>
          <w:szCs w:val="24"/>
        </w:rPr>
      </w:pPr>
    </w:p>
    <w:p w:rsidR="00737DE6" w:rsidRPr="00315335" w:rsidRDefault="00737DE6" w:rsidP="00737DE6">
      <w:pPr>
        <w:tabs>
          <w:tab w:val="left" w:pos="0"/>
          <w:tab w:val="left" w:pos="2268"/>
          <w:tab w:val="left" w:leader="dot" w:pos="8640"/>
        </w:tabs>
        <w:spacing w:after="0" w:line="240" w:lineRule="auto"/>
        <w:contextualSpacing/>
        <w:jc w:val="both"/>
        <w:rPr>
          <w:rFonts w:ascii="Arial" w:hAnsi="Arial" w:cs="Arial"/>
          <w:b/>
          <w:sz w:val="24"/>
          <w:szCs w:val="24"/>
        </w:rPr>
      </w:pPr>
      <w:r w:rsidRPr="00315335">
        <w:rPr>
          <w:rFonts w:ascii="Arial" w:hAnsi="Arial" w:cs="Arial"/>
          <w:b/>
          <w:sz w:val="24"/>
          <w:szCs w:val="24"/>
        </w:rPr>
        <w:t>Funcţia economică a pădurilor</w:t>
      </w:r>
    </w:p>
    <w:p w:rsidR="00737DE6" w:rsidRPr="00315335" w:rsidRDefault="00737DE6" w:rsidP="00737DE6">
      <w:pPr>
        <w:pStyle w:val="Listparagraf"/>
        <w:tabs>
          <w:tab w:val="left" w:pos="0"/>
          <w:tab w:val="left" w:pos="2268"/>
          <w:tab w:val="left" w:leader="dot" w:pos="8640"/>
        </w:tabs>
        <w:ind w:left="0"/>
        <w:jc w:val="both"/>
        <w:rPr>
          <w:rFonts w:ascii="Arial" w:hAnsi="Arial" w:cs="Arial"/>
        </w:rPr>
      </w:pPr>
      <w:r w:rsidRPr="00315335">
        <w:rPr>
          <w:rFonts w:ascii="Arial" w:hAnsi="Arial" w:cs="Arial"/>
        </w:rPr>
        <w:t xml:space="preserve">Pădurea îndeplineşte multiplele funcţii: ecologice, economice şi sociale, este un bun de interes naţional, care condiţionează diverse domenii de activitate, de la protecţia mediului, până la cele legate de valorificarea resurselor naturale. </w:t>
      </w:r>
    </w:p>
    <w:p w:rsidR="00737DE6" w:rsidRPr="00315335" w:rsidRDefault="00737DE6" w:rsidP="00737DE6">
      <w:pPr>
        <w:pStyle w:val="Listparagraf"/>
        <w:tabs>
          <w:tab w:val="left" w:pos="0"/>
          <w:tab w:val="left" w:pos="2268"/>
          <w:tab w:val="left" w:leader="dot" w:pos="8640"/>
        </w:tabs>
        <w:ind w:left="0"/>
        <w:jc w:val="both"/>
        <w:rPr>
          <w:rFonts w:ascii="Arial" w:hAnsi="Arial" w:cs="Arial"/>
        </w:rPr>
      </w:pPr>
      <w:r w:rsidRPr="00315335">
        <w:rPr>
          <w:rFonts w:ascii="Arial" w:hAnsi="Arial" w:cs="Arial"/>
        </w:rPr>
        <w:t>Lemnul constituie principalul produs valorificabil al pădurilor. Acesta este, deopotrivă, materie primă în industria de prelucrare şi industria materialelor de construcţii, cât şi combustibil.</w:t>
      </w:r>
    </w:p>
    <w:p w:rsidR="00737DE6" w:rsidRPr="00315335" w:rsidRDefault="00737DE6" w:rsidP="00737DE6">
      <w:pPr>
        <w:spacing w:after="0" w:line="240" w:lineRule="auto"/>
        <w:jc w:val="both"/>
        <w:rPr>
          <w:rFonts w:ascii="Arial" w:hAnsi="Arial" w:cs="Arial"/>
          <w:sz w:val="24"/>
          <w:szCs w:val="24"/>
          <w:lang w:val="en-US"/>
        </w:rPr>
      </w:pPr>
      <w:r w:rsidRPr="00315335">
        <w:rPr>
          <w:rFonts w:ascii="Arial" w:hAnsi="Arial" w:cs="Arial"/>
          <w:sz w:val="24"/>
          <w:szCs w:val="24"/>
        </w:rPr>
        <w:t>Cea mai mare suprafaţă a pădurilor din judeţul Brăila se încadrează în grupa a II –a funcţională, (1010,47 ha) având rol de producţie şi protecţie şi doar 482 ha (zona Insula Mică a Brăilei) au rol exclusiv de protecţie, încadrându-se în grupa a I-a de protecţie.</w:t>
      </w:r>
    </w:p>
    <w:p w:rsidR="00A36B99" w:rsidRDefault="00A36B99" w:rsidP="00737DE6">
      <w:pPr>
        <w:tabs>
          <w:tab w:val="left" w:pos="7725"/>
        </w:tabs>
        <w:spacing w:after="0" w:line="240" w:lineRule="auto"/>
        <w:jc w:val="both"/>
        <w:rPr>
          <w:rFonts w:ascii="Arial" w:hAnsi="Arial" w:cs="Arial"/>
          <w:sz w:val="24"/>
          <w:szCs w:val="24"/>
          <w:lang w:val="en-US"/>
        </w:rPr>
      </w:pPr>
    </w:p>
    <w:p w:rsidR="00A36B99" w:rsidRDefault="00A36B99" w:rsidP="00737DE6">
      <w:pPr>
        <w:tabs>
          <w:tab w:val="left" w:pos="7725"/>
        </w:tabs>
        <w:spacing w:after="0" w:line="240" w:lineRule="auto"/>
        <w:jc w:val="both"/>
        <w:rPr>
          <w:rFonts w:ascii="Arial" w:hAnsi="Arial" w:cs="Arial"/>
          <w:sz w:val="24"/>
          <w:szCs w:val="24"/>
          <w:lang w:val="en-US"/>
        </w:rPr>
      </w:pPr>
    </w:p>
    <w:p w:rsidR="00737DE6" w:rsidRPr="00315335" w:rsidRDefault="00737DE6" w:rsidP="00737DE6">
      <w:pPr>
        <w:tabs>
          <w:tab w:val="left" w:pos="7725"/>
        </w:tabs>
        <w:spacing w:after="0" w:line="240" w:lineRule="auto"/>
        <w:jc w:val="both"/>
        <w:rPr>
          <w:rFonts w:ascii="Arial" w:hAnsi="Arial" w:cs="Arial"/>
          <w:sz w:val="24"/>
          <w:szCs w:val="24"/>
        </w:rPr>
      </w:pPr>
      <w:r w:rsidRPr="00315335">
        <w:rPr>
          <w:rFonts w:ascii="Arial" w:hAnsi="Arial" w:cs="Arial"/>
          <w:sz w:val="24"/>
          <w:szCs w:val="24"/>
          <w:lang w:val="en-US"/>
        </w:rPr>
        <w:lastRenderedPageBreak/>
        <w:t>Tabelul nr.</w:t>
      </w:r>
      <w:r w:rsidRPr="00315335">
        <w:rPr>
          <w:rFonts w:ascii="Arial" w:hAnsi="Arial" w:cs="Arial"/>
          <w:b/>
          <w:sz w:val="24"/>
          <w:szCs w:val="24"/>
          <w:lang w:val="en-US"/>
        </w:rPr>
        <w:t xml:space="preserve"> VI.1.2. - 2</w:t>
      </w:r>
      <w:r w:rsidRPr="00315335">
        <w:rPr>
          <w:rFonts w:ascii="Arial" w:hAnsi="Arial" w:cs="Arial"/>
          <w:sz w:val="24"/>
          <w:szCs w:val="24"/>
          <w:lang w:val="en-US"/>
        </w:rPr>
        <w:t xml:space="preserve"> </w:t>
      </w:r>
      <w:r w:rsidRPr="00315335">
        <w:rPr>
          <w:rFonts w:ascii="Arial" w:hAnsi="Arial" w:cs="Arial"/>
          <w:sz w:val="24"/>
          <w:szCs w:val="24"/>
        </w:rPr>
        <w:t>Distribuţia pădurilor pe tipuri funcţionale</w:t>
      </w:r>
    </w:p>
    <w:tbl>
      <w:tblPr>
        <w:tblStyle w:val="Tabelgril"/>
        <w:tblW w:w="0" w:type="auto"/>
        <w:jc w:val="center"/>
        <w:shd w:val="clear" w:color="auto" w:fill="E5DFEC" w:themeFill="accent4" w:themeFillTint="33"/>
        <w:tblLook w:val="04A0" w:firstRow="1" w:lastRow="0" w:firstColumn="1" w:lastColumn="0" w:noHBand="0" w:noVBand="1"/>
      </w:tblPr>
      <w:tblGrid>
        <w:gridCol w:w="4811"/>
        <w:gridCol w:w="4511"/>
      </w:tblGrid>
      <w:tr w:rsidR="00315335" w:rsidRPr="00315335" w:rsidTr="00916B06">
        <w:trPr>
          <w:jc w:val="center"/>
        </w:trPr>
        <w:tc>
          <w:tcPr>
            <w:tcW w:w="4811" w:type="dxa"/>
            <w:shd w:val="clear" w:color="auto" w:fill="E5DFEC" w:themeFill="accent4" w:themeFillTint="33"/>
          </w:tcPr>
          <w:p w:rsidR="00737DE6" w:rsidRPr="00315335" w:rsidRDefault="00737DE6" w:rsidP="00916B06">
            <w:pPr>
              <w:jc w:val="center"/>
              <w:rPr>
                <w:rFonts w:ascii="Arial" w:eastAsia="Calibri" w:hAnsi="Arial" w:cs="Arial"/>
                <w:b/>
                <w:sz w:val="24"/>
                <w:szCs w:val="24"/>
              </w:rPr>
            </w:pPr>
            <w:r w:rsidRPr="00315335">
              <w:rPr>
                <w:rFonts w:ascii="Arial" w:eastAsia="Calibri" w:hAnsi="Arial" w:cs="Arial"/>
                <w:b/>
                <w:sz w:val="24"/>
                <w:szCs w:val="24"/>
              </w:rPr>
              <w:t xml:space="preserve">Tipuri functionale </w:t>
            </w:r>
          </w:p>
        </w:tc>
        <w:tc>
          <w:tcPr>
            <w:tcW w:w="4511" w:type="dxa"/>
            <w:shd w:val="clear" w:color="auto" w:fill="E5DFEC" w:themeFill="accent4" w:themeFillTint="33"/>
          </w:tcPr>
          <w:p w:rsidR="00737DE6" w:rsidRPr="00315335" w:rsidRDefault="00737DE6" w:rsidP="00916B06">
            <w:pPr>
              <w:jc w:val="center"/>
              <w:rPr>
                <w:rFonts w:ascii="Arial" w:eastAsia="Calibri" w:hAnsi="Arial" w:cs="Arial"/>
                <w:b/>
                <w:sz w:val="24"/>
                <w:szCs w:val="24"/>
              </w:rPr>
            </w:pPr>
            <w:r w:rsidRPr="00315335">
              <w:rPr>
                <w:rFonts w:ascii="Arial" w:eastAsia="Calibri" w:hAnsi="Arial" w:cs="Arial"/>
                <w:b/>
                <w:sz w:val="24"/>
                <w:szCs w:val="24"/>
              </w:rPr>
              <w:t>Suprafata (ha)</w:t>
            </w:r>
          </w:p>
        </w:tc>
      </w:tr>
      <w:tr w:rsidR="00315335" w:rsidRPr="00315335" w:rsidTr="00916B06">
        <w:trPr>
          <w:jc w:val="center"/>
        </w:trPr>
        <w:tc>
          <w:tcPr>
            <w:tcW w:w="4811" w:type="dxa"/>
            <w:shd w:val="clear" w:color="auto" w:fill="E5DFEC" w:themeFill="accent4" w:themeFillTint="33"/>
          </w:tcPr>
          <w:p w:rsidR="00737DE6" w:rsidRPr="00315335" w:rsidRDefault="00737DE6" w:rsidP="00916B06">
            <w:pPr>
              <w:rPr>
                <w:rFonts w:ascii="Arial" w:eastAsia="Calibri" w:hAnsi="Arial" w:cs="Arial"/>
                <w:sz w:val="24"/>
                <w:szCs w:val="24"/>
              </w:rPr>
            </w:pPr>
            <w:r w:rsidRPr="00315335">
              <w:rPr>
                <w:rFonts w:ascii="Arial" w:eastAsia="Calibri" w:hAnsi="Arial" w:cs="Arial"/>
                <w:sz w:val="24"/>
                <w:szCs w:val="24"/>
              </w:rPr>
              <w:t>T1 - protectie</w:t>
            </w:r>
          </w:p>
        </w:tc>
        <w:tc>
          <w:tcPr>
            <w:tcW w:w="4511"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482</w:t>
            </w:r>
          </w:p>
        </w:tc>
      </w:tr>
      <w:tr w:rsidR="00315335" w:rsidRPr="00315335" w:rsidTr="00916B06">
        <w:trPr>
          <w:jc w:val="center"/>
        </w:trPr>
        <w:tc>
          <w:tcPr>
            <w:tcW w:w="4811" w:type="dxa"/>
            <w:shd w:val="clear" w:color="auto" w:fill="E5DFEC" w:themeFill="accent4" w:themeFillTint="33"/>
          </w:tcPr>
          <w:p w:rsidR="00737DE6" w:rsidRPr="00315335" w:rsidRDefault="00737DE6" w:rsidP="00916B06">
            <w:pPr>
              <w:rPr>
                <w:rFonts w:ascii="Arial" w:eastAsia="Calibri" w:hAnsi="Arial" w:cs="Arial"/>
                <w:sz w:val="24"/>
                <w:szCs w:val="24"/>
              </w:rPr>
            </w:pPr>
            <w:r w:rsidRPr="00315335">
              <w:rPr>
                <w:rFonts w:ascii="Arial" w:eastAsia="Calibri" w:hAnsi="Arial" w:cs="Arial"/>
                <w:sz w:val="24"/>
                <w:szCs w:val="24"/>
              </w:rPr>
              <w:t>T2- productie si protectie</w:t>
            </w:r>
          </w:p>
        </w:tc>
        <w:tc>
          <w:tcPr>
            <w:tcW w:w="4511"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1010,47</w:t>
            </w:r>
          </w:p>
        </w:tc>
      </w:tr>
    </w:tbl>
    <w:p w:rsidR="00737DE6" w:rsidRPr="00315335" w:rsidRDefault="00737DE6" w:rsidP="00737DE6">
      <w:pPr>
        <w:spacing w:after="0" w:line="240" w:lineRule="auto"/>
        <w:jc w:val="both"/>
        <w:rPr>
          <w:rFonts w:ascii="Arial" w:hAnsi="Arial" w:cs="Arial"/>
          <w:b/>
          <w:noProof/>
          <w:sz w:val="24"/>
          <w:szCs w:val="24"/>
        </w:rPr>
      </w:pPr>
    </w:p>
    <w:p w:rsidR="00737DE6" w:rsidRPr="00315335" w:rsidRDefault="00737DE6" w:rsidP="00737DE6">
      <w:pPr>
        <w:spacing w:after="0" w:line="240" w:lineRule="auto"/>
        <w:jc w:val="both"/>
        <w:rPr>
          <w:rFonts w:ascii="Arial" w:hAnsi="Arial" w:cs="Arial"/>
          <w:b/>
          <w:noProof/>
          <w:sz w:val="24"/>
          <w:szCs w:val="24"/>
        </w:rPr>
      </w:pPr>
    </w:p>
    <w:p w:rsidR="00737DE6" w:rsidRDefault="00737DE6" w:rsidP="00A36B99">
      <w:pPr>
        <w:spacing w:after="0" w:line="240" w:lineRule="auto"/>
        <w:jc w:val="center"/>
        <w:rPr>
          <w:rFonts w:ascii="Arial" w:hAnsi="Arial" w:cs="Arial"/>
          <w:b/>
          <w:sz w:val="24"/>
          <w:szCs w:val="24"/>
        </w:rPr>
      </w:pPr>
      <w:r w:rsidRPr="002636BF">
        <w:rPr>
          <w:rFonts w:ascii="Arial" w:hAnsi="Arial" w:cs="Arial"/>
          <w:b/>
          <w:noProof/>
          <w:sz w:val="24"/>
          <w:szCs w:val="24"/>
          <w:shd w:val="clear" w:color="auto" w:fill="F2DBDB" w:themeFill="accent2" w:themeFillTint="33"/>
        </w:rPr>
        <w:drawing>
          <wp:inline distT="0" distB="0" distL="0" distR="0" wp14:anchorId="6A9DC983" wp14:editId="42489F4D">
            <wp:extent cx="4676775" cy="2752725"/>
            <wp:effectExtent l="0" t="0" r="9525" b="9525"/>
            <wp:docPr id="226" name="Diagramă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636BF" w:rsidRPr="00315335" w:rsidRDefault="002636BF" w:rsidP="00A36B99">
      <w:pPr>
        <w:spacing w:after="0" w:line="240" w:lineRule="auto"/>
        <w:jc w:val="center"/>
        <w:rPr>
          <w:rFonts w:ascii="Arial" w:hAnsi="Arial" w:cs="Arial"/>
          <w:b/>
          <w:sz w:val="24"/>
          <w:szCs w:val="24"/>
        </w:rPr>
      </w:pPr>
    </w:p>
    <w:p w:rsidR="00737DE6" w:rsidRPr="00315335" w:rsidRDefault="00737DE6" w:rsidP="00737DE6">
      <w:pPr>
        <w:tabs>
          <w:tab w:val="left" w:pos="0"/>
          <w:tab w:val="left" w:pos="2268"/>
          <w:tab w:val="left" w:leader="dot" w:pos="8640"/>
        </w:tabs>
        <w:spacing w:after="0" w:line="240" w:lineRule="auto"/>
        <w:contextualSpacing/>
        <w:jc w:val="both"/>
        <w:rPr>
          <w:rFonts w:ascii="Arial" w:hAnsi="Arial" w:cs="Arial"/>
          <w:sz w:val="24"/>
          <w:szCs w:val="24"/>
          <w:lang w:val="en-US"/>
        </w:rPr>
      </w:pPr>
    </w:p>
    <w:p w:rsidR="00737DE6" w:rsidRPr="00315335" w:rsidRDefault="00737DE6" w:rsidP="00737DE6">
      <w:pPr>
        <w:tabs>
          <w:tab w:val="left" w:pos="0"/>
          <w:tab w:val="left" w:pos="2268"/>
          <w:tab w:val="left" w:leader="dot" w:pos="8640"/>
        </w:tabs>
        <w:spacing w:after="0" w:line="240" w:lineRule="auto"/>
        <w:contextualSpacing/>
        <w:jc w:val="both"/>
        <w:rPr>
          <w:rFonts w:ascii="Arial" w:hAnsi="Arial" w:cs="Arial"/>
          <w:sz w:val="24"/>
          <w:szCs w:val="24"/>
          <w:lang w:val="en-US"/>
        </w:rPr>
      </w:pPr>
    </w:p>
    <w:p w:rsidR="00737DE6" w:rsidRPr="00315335" w:rsidRDefault="00737DE6" w:rsidP="00737DE6">
      <w:pPr>
        <w:tabs>
          <w:tab w:val="left" w:pos="0"/>
          <w:tab w:val="left" w:pos="2268"/>
          <w:tab w:val="left" w:leader="dot" w:pos="8640"/>
        </w:tabs>
        <w:spacing w:after="0" w:line="240" w:lineRule="auto"/>
        <w:contextualSpacing/>
        <w:jc w:val="both"/>
        <w:rPr>
          <w:rFonts w:ascii="Arial" w:hAnsi="Arial" w:cs="Arial"/>
          <w:sz w:val="24"/>
          <w:szCs w:val="24"/>
          <w:lang w:val="it-IT"/>
        </w:rPr>
      </w:pPr>
      <w:r w:rsidRPr="00315335">
        <w:rPr>
          <w:rFonts w:ascii="Arial" w:hAnsi="Arial" w:cs="Arial"/>
          <w:sz w:val="24"/>
          <w:szCs w:val="24"/>
          <w:lang w:val="en-US"/>
        </w:rPr>
        <w:tab/>
        <w:t>Tabelul nr.</w:t>
      </w:r>
      <w:r w:rsidRPr="00315335">
        <w:rPr>
          <w:rFonts w:ascii="Arial" w:hAnsi="Arial" w:cs="Arial"/>
          <w:b/>
          <w:sz w:val="24"/>
          <w:szCs w:val="24"/>
          <w:lang w:val="en-US"/>
        </w:rPr>
        <w:t xml:space="preserve"> VI.1.2. - 3</w:t>
      </w:r>
      <w:r w:rsidRPr="00315335">
        <w:rPr>
          <w:rFonts w:ascii="Arial" w:hAnsi="Arial" w:cs="Arial"/>
          <w:sz w:val="24"/>
          <w:szCs w:val="24"/>
          <w:lang w:val="en-US"/>
        </w:rPr>
        <w:t xml:space="preserve"> </w:t>
      </w:r>
      <w:r w:rsidRPr="00315335">
        <w:rPr>
          <w:rFonts w:ascii="Arial" w:hAnsi="Arial" w:cs="Arial"/>
          <w:sz w:val="24"/>
          <w:szCs w:val="24"/>
          <w:lang w:val="it-IT"/>
        </w:rPr>
        <w:t>Păduri cu funcţii speciale de protecţie</w:t>
      </w:r>
    </w:p>
    <w:p w:rsidR="00737DE6" w:rsidRPr="00315335" w:rsidRDefault="00737DE6" w:rsidP="00737DE6">
      <w:pPr>
        <w:tabs>
          <w:tab w:val="left" w:pos="0"/>
          <w:tab w:val="left" w:pos="2268"/>
          <w:tab w:val="left" w:leader="dot" w:pos="8640"/>
        </w:tabs>
        <w:spacing w:after="0" w:line="240" w:lineRule="auto"/>
        <w:contextualSpacing/>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1E0" w:firstRow="1" w:lastRow="1" w:firstColumn="1" w:lastColumn="1" w:noHBand="0" w:noVBand="0"/>
      </w:tblPr>
      <w:tblGrid>
        <w:gridCol w:w="845"/>
        <w:gridCol w:w="4405"/>
        <w:gridCol w:w="4072"/>
      </w:tblGrid>
      <w:tr w:rsidR="00315335" w:rsidRPr="00315335" w:rsidTr="00916B06">
        <w:trPr>
          <w:jc w:val="center"/>
        </w:trPr>
        <w:tc>
          <w:tcPr>
            <w:tcW w:w="845" w:type="dxa"/>
            <w:shd w:val="clear" w:color="auto" w:fill="E5DFEC" w:themeFill="accent4" w:themeFillTint="33"/>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Nr. crt.</w:t>
            </w:r>
          </w:p>
        </w:tc>
        <w:tc>
          <w:tcPr>
            <w:tcW w:w="4405" w:type="dxa"/>
            <w:shd w:val="clear" w:color="auto" w:fill="E5DFEC" w:themeFill="accent4" w:themeFillTint="33"/>
            <w:hideMark/>
          </w:tcPr>
          <w:p w:rsidR="00737DE6" w:rsidRPr="00315335" w:rsidRDefault="00737DE6" w:rsidP="00916B06">
            <w:pPr>
              <w:spacing w:after="0" w:line="240" w:lineRule="auto"/>
              <w:jc w:val="both"/>
              <w:rPr>
                <w:rFonts w:ascii="Arial" w:hAnsi="Arial" w:cs="Arial"/>
                <w:b/>
                <w:sz w:val="24"/>
                <w:szCs w:val="24"/>
              </w:rPr>
            </w:pPr>
            <w:r w:rsidRPr="00315335">
              <w:rPr>
                <w:rFonts w:ascii="Arial" w:hAnsi="Arial" w:cs="Arial"/>
                <w:b/>
                <w:sz w:val="24"/>
                <w:szCs w:val="24"/>
              </w:rPr>
              <w:t>Tipul de pădure</w:t>
            </w:r>
          </w:p>
        </w:tc>
        <w:tc>
          <w:tcPr>
            <w:tcW w:w="4072" w:type="dxa"/>
            <w:shd w:val="clear" w:color="auto" w:fill="E5DFEC" w:themeFill="accent4" w:themeFillTint="33"/>
            <w:vAlign w:val="center"/>
            <w:hideMark/>
          </w:tcPr>
          <w:p w:rsidR="00737DE6" w:rsidRPr="00315335" w:rsidRDefault="00737DE6" w:rsidP="00916B06">
            <w:pPr>
              <w:spacing w:after="0" w:line="240" w:lineRule="auto"/>
              <w:jc w:val="both"/>
              <w:rPr>
                <w:rFonts w:ascii="Arial" w:hAnsi="Arial" w:cs="Arial"/>
                <w:b/>
                <w:sz w:val="24"/>
                <w:szCs w:val="24"/>
              </w:rPr>
            </w:pPr>
            <w:r w:rsidRPr="00315335">
              <w:rPr>
                <w:rFonts w:ascii="Arial" w:hAnsi="Arial" w:cs="Arial"/>
                <w:b/>
                <w:sz w:val="24"/>
                <w:szCs w:val="24"/>
              </w:rPr>
              <w:t>Suprafaţa (ha)</w:t>
            </w:r>
          </w:p>
          <w:p w:rsidR="00737DE6" w:rsidRPr="00315335" w:rsidRDefault="00737DE6" w:rsidP="00916B06">
            <w:pPr>
              <w:spacing w:after="0" w:line="240" w:lineRule="auto"/>
              <w:jc w:val="both"/>
              <w:rPr>
                <w:rFonts w:ascii="Arial" w:hAnsi="Arial" w:cs="Arial"/>
                <w:b/>
                <w:sz w:val="24"/>
                <w:szCs w:val="24"/>
              </w:rPr>
            </w:pPr>
          </w:p>
        </w:tc>
      </w:tr>
      <w:tr w:rsidR="00315335" w:rsidRPr="00315335" w:rsidTr="00916B06">
        <w:trPr>
          <w:jc w:val="center"/>
        </w:trPr>
        <w:tc>
          <w:tcPr>
            <w:tcW w:w="845" w:type="dxa"/>
            <w:shd w:val="clear" w:color="auto" w:fill="E5DFEC" w:themeFill="accent4" w:themeFillTint="33"/>
            <w:vAlign w:val="center"/>
          </w:tcPr>
          <w:p w:rsidR="00737DE6" w:rsidRPr="00315335" w:rsidRDefault="00737DE6" w:rsidP="0010044C">
            <w:pPr>
              <w:numPr>
                <w:ilvl w:val="0"/>
                <w:numId w:val="61"/>
              </w:numPr>
              <w:spacing w:after="0" w:line="240" w:lineRule="auto"/>
              <w:jc w:val="both"/>
              <w:rPr>
                <w:rFonts w:ascii="Arial" w:hAnsi="Arial" w:cs="Arial"/>
                <w:sz w:val="24"/>
                <w:szCs w:val="24"/>
              </w:rPr>
            </w:pPr>
          </w:p>
        </w:tc>
        <w:tc>
          <w:tcPr>
            <w:tcW w:w="4405" w:type="dxa"/>
            <w:shd w:val="clear" w:color="auto" w:fill="E5DFEC" w:themeFill="accent4" w:themeFillTint="33"/>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De protecţie a apelor</w:t>
            </w:r>
          </w:p>
        </w:tc>
        <w:tc>
          <w:tcPr>
            <w:tcW w:w="4072" w:type="dxa"/>
            <w:shd w:val="clear" w:color="auto" w:fill="E5DFEC" w:themeFill="accent4" w:themeFillTint="33"/>
            <w:vAlign w:val="center"/>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12830</w:t>
            </w:r>
          </w:p>
        </w:tc>
      </w:tr>
      <w:tr w:rsidR="00315335" w:rsidRPr="00315335" w:rsidTr="00916B06">
        <w:trPr>
          <w:jc w:val="center"/>
        </w:trPr>
        <w:tc>
          <w:tcPr>
            <w:tcW w:w="845" w:type="dxa"/>
            <w:shd w:val="clear" w:color="auto" w:fill="E5DFEC" w:themeFill="accent4" w:themeFillTint="33"/>
            <w:vAlign w:val="center"/>
          </w:tcPr>
          <w:p w:rsidR="00737DE6" w:rsidRPr="00315335" w:rsidRDefault="00737DE6" w:rsidP="0010044C">
            <w:pPr>
              <w:numPr>
                <w:ilvl w:val="0"/>
                <w:numId w:val="61"/>
              </w:numPr>
              <w:spacing w:after="0" w:line="240" w:lineRule="auto"/>
              <w:jc w:val="both"/>
              <w:rPr>
                <w:rFonts w:ascii="Arial" w:hAnsi="Arial" w:cs="Arial"/>
                <w:sz w:val="24"/>
                <w:szCs w:val="24"/>
              </w:rPr>
            </w:pPr>
          </w:p>
        </w:tc>
        <w:tc>
          <w:tcPr>
            <w:tcW w:w="4405" w:type="dxa"/>
            <w:shd w:val="clear" w:color="auto" w:fill="E5DFEC" w:themeFill="accent4" w:themeFillTint="33"/>
            <w:hideMark/>
          </w:tcPr>
          <w:p w:rsidR="00737DE6" w:rsidRPr="00315335" w:rsidRDefault="00737DE6" w:rsidP="00916B06">
            <w:pPr>
              <w:spacing w:after="0" w:line="240" w:lineRule="auto"/>
              <w:jc w:val="both"/>
              <w:rPr>
                <w:rFonts w:ascii="Arial" w:hAnsi="Arial" w:cs="Arial"/>
                <w:sz w:val="24"/>
                <w:szCs w:val="24"/>
                <w:lang w:val="pt-BR"/>
              </w:rPr>
            </w:pPr>
            <w:r w:rsidRPr="00315335">
              <w:rPr>
                <w:rFonts w:ascii="Arial" w:hAnsi="Arial" w:cs="Arial"/>
                <w:sz w:val="24"/>
                <w:szCs w:val="24"/>
                <w:lang w:val="pt-BR"/>
              </w:rPr>
              <w:t>De protecţie a terenurilor degradate</w:t>
            </w:r>
          </w:p>
        </w:tc>
        <w:tc>
          <w:tcPr>
            <w:tcW w:w="4072" w:type="dxa"/>
            <w:shd w:val="clear" w:color="auto" w:fill="E5DFEC" w:themeFill="accent4" w:themeFillTint="33"/>
            <w:vAlign w:val="center"/>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364</w:t>
            </w:r>
          </w:p>
        </w:tc>
      </w:tr>
      <w:tr w:rsidR="00315335" w:rsidRPr="00315335" w:rsidTr="00916B06">
        <w:trPr>
          <w:jc w:val="center"/>
        </w:trPr>
        <w:tc>
          <w:tcPr>
            <w:tcW w:w="845" w:type="dxa"/>
            <w:shd w:val="clear" w:color="auto" w:fill="E5DFEC" w:themeFill="accent4" w:themeFillTint="33"/>
            <w:vAlign w:val="center"/>
          </w:tcPr>
          <w:p w:rsidR="00737DE6" w:rsidRPr="00315335" w:rsidRDefault="00737DE6" w:rsidP="0010044C">
            <w:pPr>
              <w:numPr>
                <w:ilvl w:val="0"/>
                <w:numId w:val="61"/>
              </w:numPr>
              <w:spacing w:after="0" w:line="240" w:lineRule="auto"/>
              <w:jc w:val="both"/>
              <w:rPr>
                <w:rFonts w:ascii="Arial" w:hAnsi="Arial" w:cs="Arial"/>
                <w:sz w:val="24"/>
                <w:szCs w:val="24"/>
              </w:rPr>
            </w:pPr>
          </w:p>
        </w:tc>
        <w:tc>
          <w:tcPr>
            <w:tcW w:w="4405" w:type="dxa"/>
            <w:shd w:val="clear" w:color="auto" w:fill="E5DFEC" w:themeFill="accent4" w:themeFillTint="33"/>
            <w:hideMark/>
          </w:tcPr>
          <w:p w:rsidR="00737DE6" w:rsidRPr="00315335" w:rsidRDefault="00737DE6" w:rsidP="00916B06">
            <w:pPr>
              <w:spacing w:after="0" w:line="240" w:lineRule="auto"/>
              <w:jc w:val="both"/>
              <w:rPr>
                <w:rFonts w:ascii="Arial" w:hAnsi="Arial" w:cs="Arial"/>
                <w:sz w:val="24"/>
                <w:szCs w:val="24"/>
                <w:lang w:val="pt-BR"/>
              </w:rPr>
            </w:pPr>
            <w:r w:rsidRPr="00315335">
              <w:rPr>
                <w:rFonts w:ascii="Arial" w:hAnsi="Arial" w:cs="Arial"/>
                <w:sz w:val="24"/>
                <w:szCs w:val="24"/>
                <w:lang w:val="pt-BR"/>
              </w:rPr>
              <w:t>De protecţie contra factorilor climatici</w:t>
            </w:r>
          </w:p>
        </w:tc>
        <w:tc>
          <w:tcPr>
            <w:tcW w:w="4072" w:type="dxa"/>
            <w:shd w:val="clear" w:color="auto" w:fill="E5DFEC" w:themeFill="accent4" w:themeFillTint="33"/>
            <w:vAlign w:val="center"/>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150</w:t>
            </w:r>
          </w:p>
        </w:tc>
      </w:tr>
      <w:tr w:rsidR="00315335" w:rsidRPr="00315335" w:rsidTr="00916B06">
        <w:trPr>
          <w:jc w:val="center"/>
        </w:trPr>
        <w:tc>
          <w:tcPr>
            <w:tcW w:w="845" w:type="dxa"/>
            <w:shd w:val="clear" w:color="auto" w:fill="E5DFEC" w:themeFill="accent4" w:themeFillTint="33"/>
            <w:vAlign w:val="center"/>
          </w:tcPr>
          <w:p w:rsidR="00737DE6" w:rsidRPr="00315335" w:rsidRDefault="00737DE6" w:rsidP="0010044C">
            <w:pPr>
              <w:numPr>
                <w:ilvl w:val="0"/>
                <w:numId w:val="61"/>
              </w:numPr>
              <w:spacing w:after="0" w:line="240" w:lineRule="auto"/>
              <w:jc w:val="both"/>
              <w:rPr>
                <w:rFonts w:ascii="Arial" w:hAnsi="Arial" w:cs="Arial"/>
                <w:sz w:val="24"/>
                <w:szCs w:val="24"/>
              </w:rPr>
            </w:pPr>
          </w:p>
        </w:tc>
        <w:tc>
          <w:tcPr>
            <w:tcW w:w="4405" w:type="dxa"/>
            <w:shd w:val="clear" w:color="auto" w:fill="E5DFEC" w:themeFill="accent4" w:themeFillTint="33"/>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Pentru recreere</w:t>
            </w:r>
          </w:p>
        </w:tc>
        <w:tc>
          <w:tcPr>
            <w:tcW w:w="4072" w:type="dxa"/>
            <w:shd w:val="clear" w:color="auto" w:fill="E5DFEC" w:themeFill="accent4" w:themeFillTint="33"/>
            <w:vAlign w:val="center"/>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320</w:t>
            </w:r>
          </w:p>
        </w:tc>
      </w:tr>
      <w:tr w:rsidR="00315335" w:rsidRPr="00315335" w:rsidTr="00916B06">
        <w:trPr>
          <w:jc w:val="center"/>
        </w:trPr>
        <w:tc>
          <w:tcPr>
            <w:tcW w:w="845" w:type="dxa"/>
            <w:shd w:val="clear" w:color="auto" w:fill="E5DFEC" w:themeFill="accent4" w:themeFillTint="33"/>
            <w:vAlign w:val="center"/>
          </w:tcPr>
          <w:p w:rsidR="00737DE6" w:rsidRPr="00315335" w:rsidRDefault="00737DE6" w:rsidP="0010044C">
            <w:pPr>
              <w:numPr>
                <w:ilvl w:val="0"/>
                <w:numId w:val="61"/>
              </w:numPr>
              <w:spacing w:after="0" w:line="240" w:lineRule="auto"/>
              <w:jc w:val="both"/>
              <w:rPr>
                <w:rFonts w:ascii="Arial" w:hAnsi="Arial" w:cs="Arial"/>
                <w:sz w:val="24"/>
                <w:szCs w:val="24"/>
              </w:rPr>
            </w:pPr>
          </w:p>
        </w:tc>
        <w:tc>
          <w:tcPr>
            <w:tcW w:w="4405" w:type="dxa"/>
            <w:shd w:val="clear" w:color="auto" w:fill="E5DFEC" w:themeFill="accent4" w:themeFillTint="33"/>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Rezervaţii seminţe</w:t>
            </w:r>
          </w:p>
        </w:tc>
        <w:tc>
          <w:tcPr>
            <w:tcW w:w="4072" w:type="dxa"/>
            <w:shd w:val="clear" w:color="auto" w:fill="E5DFEC" w:themeFill="accent4" w:themeFillTint="33"/>
            <w:vAlign w:val="center"/>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47</w:t>
            </w:r>
          </w:p>
        </w:tc>
      </w:tr>
      <w:tr w:rsidR="00315335" w:rsidRPr="00315335" w:rsidTr="00916B06">
        <w:trPr>
          <w:jc w:val="center"/>
        </w:trPr>
        <w:tc>
          <w:tcPr>
            <w:tcW w:w="845" w:type="dxa"/>
            <w:shd w:val="clear" w:color="auto" w:fill="E5DFEC" w:themeFill="accent4" w:themeFillTint="33"/>
            <w:vAlign w:val="center"/>
          </w:tcPr>
          <w:p w:rsidR="00737DE6" w:rsidRPr="00315335" w:rsidRDefault="00737DE6" w:rsidP="0010044C">
            <w:pPr>
              <w:numPr>
                <w:ilvl w:val="0"/>
                <w:numId w:val="61"/>
              </w:numPr>
              <w:spacing w:after="0" w:line="240" w:lineRule="auto"/>
              <w:jc w:val="both"/>
              <w:rPr>
                <w:rFonts w:ascii="Arial" w:hAnsi="Arial" w:cs="Arial"/>
                <w:sz w:val="24"/>
                <w:szCs w:val="24"/>
              </w:rPr>
            </w:pPr>
          </w:p>
        </w:tc>
        <w:tc>
          <w:tcPr>
            <w:tcW w:w="4405" w:type="dxa"/>
            <w:shd w:val="clear" w:color="auto" w:fill="E5DFEC" w:themeFill="accent4" w:themeFillTint="33"/>
            <w:hideMark/>
          </w:tcPr>
          <w:p w:rsidR="00737DE6" w:rsidRPr="00315335" w:rsidRDefault="00737DE6" w:rsidP="00916B06">
            <w:pPr>
              <w:spacing w:after="0" w:line="240" w:lineRule="auto"/>
              <w:jc w:val="both"/>
              <w:rPr>
                <w:rFonts w:ascii="Arial" w:hAnsi="Arial" w:cs="Arial"/>
                <w:sz w:val="24"/>
                <w:szCs w:val="24"/>
                <w:lang w:val="it-IT"/>
              </w:rPr>
            </w:pPr>
            <w:r w:rsidRPr="00315335">
              <w:rPr>
                <w:rFonts w:ascii="Arial" w:hAnsi="Arial" w:cs="Arial"/>
                <w:sz w:val="24"/>
                <w:szCs w:val="24"/>
                <w:lang w:val="it-IT"/>
              </w:rPr>
              <w:t>Destinate ocrotirii unor specii de faună</w:t>
            </w:r>
          </w:p>
        </w:tc>
        <w:tc>
          <w:tcPr>
            <w:tcW w:w="4072" w:type="dxa"/>
            <w:shd w:val="clear" w:color="auto" w:fill="E5DFEC" w:themeFill="accent4" w:themeFillTint="33"/>
            <w:vAlign w:val="center"/>
            <w:hideMark/>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14585</w:t>
            </w:r>
          </w:p>
        </w:tc>
      </w:tr>
    </w:tbl>
    <w:p w:rsidR="00737DE6" w:rsidRPr="00315335" w:rsidRDefault="00737DE6" w:rsidP="00737DE6">
      <w:pPr>
        <w:spacing w:after="0" w:line="240" w:lineRule="auto"/>
        <w:rPr>
          <w:rFonts w:ascii="Arial" w:hAnsi="Arial" w:cs="Arial"/>
          <w:sz w:val="24"/>
          <w:szCs w:val="24"/>
          <w:lang w:val="en-US"/>
        </w:rPr>
      </w:pPr>
    </w:p>
    <w:p w:rsidR="00737DE6" w:rsidRPr="00315335" w:rsidRDefault="00737DE6" w:rsidP="00737DE6">
      <w:pPr>
        <w:spacing w:after="0" w:line="240" w:lineRule="auto"/>
        <w:jc w:val="center"/>
        <w:rPr>
          <w:rFonts w:ascii="Arial" w:hAnsi="Arial" w:cs="Arial"/>
          <w:sz w:val="24"/>
          <w:szCs w:val="24"/>
          <w:lang w:val="en-US"/>
        </w:rPr>
      </w:pPr>
      <w:r w:rsidRPr="00315335">
        <w:rPr>
          <w:rFonts w:ascii="Arial" w:hAnsi="Arial" w:cs="Arial"/>
          <w:noProof/>
          <w:sz w:val="24"/>
          <w:szCs w:val="24"/>
        </w:rPr>
        <w:drawing>
          <wp:inline distT="0" distB="0" distL="0" distR="0" wp14:anchorId="77141859" wp14:editId="58F70431">
            <wp:extent cx="3648075" cy="2200275"/>
            <wp:effectExtent l="0" t="0" r="9525" b="9525"/>
            <wp:docPr id="2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37DE6" w:rsidRPr="00315335" w:rsidRDefault="00737DE6" w:rsidP="00737DE6">
      <w:pPr>
        <w:spacing w:after="0" w:line="240" w:lineRule="auto"/>
        <w:jc w:val="center"/>
        <w:rPr>
          <w:rFonts w:ascii="Arial" w:hAnsi="Arial" w:cs="Arial"/>
          <w:sz w:val="24"/>
          <w:szCs w:val="24"/>
          <w:lang w:val="en-US"/>
        </w:rPr>
      </w:pPr>
      <w:r w:rsidRPr="00315335">
        <w:rPr>
          <w:rFonts w:ascii="Arial" w:hAnsi="Arial" w:cs="Arial"/>
          <w:sz w:val="24"/>
          <w:szCs w:val="24"/>
          <w:lang w:val="en-US"/>
        </w:rPr>
        <w:t xml:space="preserve">Figura nr. </w:t>
      </w:r>
      <w:r w:rsidRPr="00315335">
        <w:rPr>
          <w:rFonts w:ascii="Arial" w:hAnsi="Arial" w:cs="Arial"/>
          <w:b/>
          <w:sz w:val="24"/>
          <w:szCs w:val="24"/>
          <w:lang w:val="en-US"/>
        </w:rPr>
        <w:t xml:space="preserve">VI.1.2. -1 </w:t>
      </w:r>
      <w:r w:rsidRPr="00315335">
        <w:rPr>
          <w:rFonts w:ascii="Arial" w:hAnsi="Arial" w:cs="Arial"/>
          <w:sz w:val="24"/>
          <w:szCs w:val="24"/>
        </w:rPr>
        <w:t xml:space="preserve">Distribuţia pădurilor </w:t>
      </w:r>
      <w:r w:rsidRPr="00315335">
        <w:rPr>
          <w:rFonts w:ascii="Arial" w:hAnsi="Arial" w:cs="Arial"/>
          <w:sz w:val="24"/>
          <w:szCs w:val="24"/>
          <w:lang w:val="it-IT"/>
        </w:rPr>
        <w:t>cu funcţii speciale de protecţie</w:t>
      </w:r>
    </w:p>
    <w:p w:rsidR="00737DE6" w:rsidRPr="00315335" w:rsidRDefault="00737DE6" w:rsidP="00737DE6">
      <w:pPr>
        <w:spacing w:after="0" w:line="240" w:lineRule="auto"/>
        <w:rPr>
          <w:rFonts w:ascii="Arial" w:hAnsi="Arial" w:cs="Arial"/>
          <w:b/>
          <w:i/>
          <w:sz w:val="24"/>
          <w:szCs w:val="24"/>
          <w:lang w:val="en-US"/>
        </w:rPr>
      </w:pPr>
      <w:r w:rsidRPr="00315335">
        <w:rPr>
          <w:rFonts w:ascii="Arial" w:hAnsi="Arial" w:cs="Arial"/>
          <w:b/>
          <w:i/>
          <w:sz w:val="24"/>
          <w:szCs w:val="24"/>
          <w:lang w:val="en-US"/>
        </w:rPr>
        <w:t xml:space="preserve">  </w:t>
      </w:r>
    </w:p>
    <w:p w:rsidR="00737DE6" w:rsidRPr="00315335" w:rsidRDefault="00737DE6" w:rsidP="00737DE6">
      <w:pPr>
        <w:spacing w:after="0" w:line="240" w:lineRule="auto"/>
        <w:rPr>
          <w:rFonts w:ascii="Arial" w:hAnsi="Arial" w:cs="Arial"/>
          <w:b/>
          <w:sz w:val="24"/>
          <w:szCs w:val="24"/>
          <w:lang w:val="en-US"/>
        </w:rPr>
      </w:pPr>
      <w:r w:rsidRPr="00315335">
        <w:rPr>
          <w:rFonts w:ascii="Arial" w:hAnsi="Arial" w:cs="Arial"/>
          <w:b/>
          <w:i/>
          <w:sz w:val="24"/>
          <w:szCs w:val="24"/>
          <w:lang w:val="en-US"/>
        </w:rPr>
        <w:t xml:space="preserve">         VI.1.3. Starea de sănătate a pădurilor</w:t>
      </w:r>
    </w:p>
    <w:p w:rsidR="00737DE6" w:rsidRPr="00315335" w:rsidRDefault="00737DE6" w:rsidP="00737DE6">
      <w:pPr>
        <w:pStyle w:val="Default"/>
        <w:ind w:firstLine="708"/>
        <w:jc w:val="both"/>
        <w:rPr>
          <w:rFonts w:ascii="Arial" w:hAnsi="Arial" w:cs="Arial"/>
          <w:color w:val="auto"/>
        </w:rPr>
      </w:pPr>
      <w:r w:rsidRPr="00315335">
        <w:rPr>
          <w:rFonts w:ascii="Arial" w:hAnsi="Arial" w:cs="Arial"/>
          <w:color w:val="auto"/>
        </w:rPr>
        <w:t xml:space="preserve">Masa lemnoasă uscată/moartă afectează în mod semnificativ fluxul de materie, energie şi nutrienţi în ecosistem. Lemnul mort este un indicator pentru biodiversitatea nevetrebratelor. De asemenea, joacă un rol important în reciclarea nutrienţilor şi a materiei organice, ca şi în crearea unei mari varietăţi de microhabitate pentru regenerarea speciilor de plante şi pentru alte organisme. Este un foarte bun indicator pentru valoarea de conservare a unei păduri. </w:t>
      </w:r>
    </w:p>
    <w:p w:rsidR="00737DE6" w:rsidRPr="00315335" w:rsidRDefault="00737DE6" w:rsidP="00737DE6">
      <w:pPr>
        <w:pStyle w:val="Default"/>
        <w:jc w:val="both"/>
        <w:rPr>
          <w:rFonts w:ascii="Arial" w:hAnsi="Arial" w:cs="Arial"/>
          <w:color w:val="auto"/>
        </w:rPr>
      </w:pPr>
      <w:r w:rsidRPr="00315335">
        <w:rPr>
          <w:rFonts w:ascii="Arial" w:hAnsi="Arial" w:cs="Arial"/>
          <w:color w:val="auto"/>
        </w:rPr>
        <w:lastRenderedPageBreak/>
        <w:t xml:space="preserve">Lemnul mort din păduri reprezintă un sistem de microhabitate care evoluează continuu în timp, până la degradare. Cantitatea de lemn mort din păduri depinde de compoziţia speciilor de arbori, de tipul şi frecvenţa perturbărilor naturale din zonă, de sol şi de condiţiile climatice şi de tipul de gestiune forestieră (EEA, 2008). Cantitatea variază considerabil între pădurile naturale, virgine şi cele gestionate. În pădurile virgine există o mare cantitate şi varietate de lemn mort. În general, lemnul mort căzut la pământ este mai bogat în specii decât cel pe picior. Dar ambele tipuri de lemn mort sunt importante. Creşterea cantităţii de lemn mort în păduri este considerată o măsură potenţială pentru creşterea biodiversităţii. </w:t>
      </w:r>
    </w:p>
    <w:p w:rsidR="00737DE6"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În general, în majoritatea ţărilor europene, cantitatea de lemn mort are o tendinţă crescătoare în ultimii ani. Această tendinţă poate fi datorată fie efectelor politicii de gestiune a pădurilor care stimulează managementul forestier orientat pe păstrarea naturaleţii pădurilor şi menţinerea pădurilor necurăţate de lemnul mort, fie unor perturbări puternice cum ar fi furtunile.În viitor, o sursă importantă de date va redeveni Inventarul Forestier Naţional, administrat de ICAS, care urmează să colecteze şi prelucreze inclusiv date referitoare la lemnul mort din păduri. Acest indicator este important şi pentru că reprezintă una din rezervele de carbon din păduri, gestionate de inventarul LULUCF. </w:t>
      </w:r>
    </w:p>
    <w:p w:rsidR="002636BF" w:rsidRPr="00315335" w:rsidRDefault="002636BF"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rPr>
          <w:rFonts w:ascii="Arial" w:hAnsi="Arial" w:cs="Arial"/>
          <w:b/>
          <w:sz w:val="24"/>
          <w:szCs w:val="24"/>
          <w:lang w:val="en-US"/>
        </w:rPr>
      </w:pPr>
      <w:r w:rsidRPr="00315335">
        <w:rPr>
          <w:rFonts w:ascii="Arial" w:hAnsi="Arial" w:cs="Arial"/>
          <w:b/>
          <w:sz w:val="24"/>
          <w:szCs w:val="24"/>
          <w:lang w:val="en-US"/>
        </w:rPr>
        <w:t xml:space="preserve">               </w:t>
      </w:r>
      <w:r w:rsidRPr="00315335">
        <w:rPr>
          <w:rFonts w:ascii="Arial" w:hAnsi="Arial" w:cs="Arial"/>
          <w:b/>
          <w:i/>
          <w:sz w:val="24"/>
          <w:szCs w:val="24"/>
          <w:lang w:val="en-US"/>
        </w:rPr>
        <w:t>VI.1.4. Suprafeţe de păduri regenerate</w:t>
      </w:r>
    </w:p>
    <w:p w:rsidR="00737DE6"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Conform datelor furnizate de către Garda Forestieră Focşani, în anul 2018 în judeţul Brăila a  fost împădurită o suprafaţă de 365 ha, cu 35 ha mai mult faţă de anul 2017, iar prin regenerare naturală s-a împădurit suprafaţa de 151 ha.</w:t>
      </w:r>
    </w:p>
    <w:p w:rsidR="002636BF" w:rsidRPr="00315335" w:rsidRDefault="002636BF" w:rsidP="00737DE6">
      <w:pPr>
        <w:spacing w:after="0" w:line="240" w:lineRule="auto"/>
        <w:rPr>
          <w:rFonts w:ascii="Arial" w:hAnsi="Arial" w:cs="Arial"/>
          <w:sz w:val="24"/>
          <w:szCs w:val="24"/>
          <w:lang w:val="en-US"/>
        </w:rPr>
      </w:pP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Tabelul nr.</w:t>
      </w:r>
      <w:r w:rsidRPr="00315335">
        <w:rPr>
          <w:rFonts w:ascii="Arial" w:hAnsi="Arial" w:cs="Arial"/>
          <w:b/>
          <w:sz w:val="24"/>
          <w:szCs w:val="24"/>
          <w:lang w:val="en-US"/>
        </w:rPr>
        <w:t xml:space="preserve"> VI.1.4. -1 </w:t>
      </w:r>
      <w:r w:rsidRPr="00315335">
        <w:rPr>
          <w:rFonts w:ascii="Arial" w:hAnsi="Arial" w:cs="Arial"/>
          <w:sz w:val="24"/>
          <w:szCs w:val="24"/>
          <w:lang w:val="en-US"/>
        </w:rPr>
        <w:t xml:space="preserve"> Evoluţia suprafeţelor de păduri regenerate la nivel judeţean (ha)</w:t>
      </w:r>
    </w:p>
    <w:tbl>
      <w:tblPr>
        <w:tblStyle w:val="Tabelgril"/>
        <w:tblW w:w="0" w:type="auto"/>
        <w:jc w:val="center"/>
        <w:shd w:val="clear" w:color="auto" w:fill="E5DFEC" w:themeFill="accent4" w:themeFillTint="33"/>
        <w:tblLayout w:type="fixed"/>
        <w:tblLook w:val="04A0" w:firstRow="1" w:lastRow="0" w:firstColumn="1" w:lastColumn="0" w:noHBand="0" w:noVBand="1"/>
      </w:tblPr>
      <w:tblGrid>
        <w:gridCol w:w="2476"/>
        <w:gridCol w:w="1417"/>
        <w:gridCol w:w="1418"/>
        <w:gridCol w:w="1289"/>
        <w:gridCol w:w="1120"/>
        <w:gridCol w:w="1418"/>
      </w:tblGrid>
      <w:tr w:rsidR="00737DE6" w:rsidRPr="00315335" w:rsidTr="00916B06">
        <w:trPr>
          <w:jc w:val="center"/>
        </w:trPr>
        <w:tc>
          <w:tcPr>
            <w:tcW w:w="2476" w:type="dxa"/>
            <w:tcBorders>
              <w:bottom w:val="nil"/>
            </w:tcBorders>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Tip</w:t>
            </w:r>
          </w:p>
        </w:tc>
        <w:tc>
          <w:tcPr>
            <w:tcW w:w="1417" w:type="dxa"/>
            <w:tcBorders>
              <w:bottom w:val="nil"/>
            </w:tcBorders>
            <w:shd w:val="clear" w:color="auto" w:fill="E5DFEC" w:themeFill="accent4" w:themeFillTint="33"/>
          </w:tcPr>
          <w:p w:rsidR="00737DE6" w:rsidRPr="00315335" w:rsidRDefault="00737DE6" w:rsidP="00916B06">
            <w:pPr>
              <w:jc w:val="center"/>
              <w:rPr>
                <w:rFonts w:ascii="Arial" w:hAnsi="Arial" w:cs="Arial"/>
                <w:b/>
                <w:sz w:val="24"/>
                <w:szCs w:val="24"/>
              </w:rPr>
            </w:pPr>
            <w:r w:rsidRPr="00315335">
              <w:rPr>
                <w:rFonts w:ascii="Arial" w:hAnsi="Arial" w:cs="Arial"/>
                <w:b/>
                <w:sz w:val="24"/>
                <w:szCs w:val="24"/>
              </w:rPr>
              <w:t>2014</w:t>
            </w:r>
          </w:p>
        </w:tc>
        <w:tc>
          <w:tcPr>
            <w:tcW w:w="1418" w:type="dxa"/>
            <w:tcBorders>
              <w:bottom w:val="nil"/>
            </w:tcBorders>
            <w:shd w:val="clear" w:color="auto" w:fill="E5DFEC" w:themeFill="accent4" w:themeFillTint="33"/>
          </w:tcPr>
          <w:p w:rsidR="00737DE6" w:rsidRPr="00315335" w:rsidRDefault="00737DE6" w:rsidP="00916B06">
            <w:pPr>
              <w:jc w:val="center"/>
              <w:rPr>
                <w:rFonts w:ascii="Arial" w:hAnsi="Arial" w:cs="Arial"/>
                <w:b/>
                <w:sz w:val="24"/>
                <w:szCs w:val="24"/>
              </w:rPr>
            </w:pPr>
            <w:r w:rsidRPr="00315335">
              <w:rPr>
                <w:rFonts w:ascii="Arial" w:hAnsi="Arial" w:cs="Arial"/>
                <w:b/>
                <w:sz w:val="24"/>
                <w:szCs w:val="24"/>
              </w:rPr>
              <w:t>2015</w:t>
            </w:r>
          </w:p>
        </w:tc>
        <w:tc>
          <w:tcPr>
            <w:tcW w:w="1289" w:type="dxa"/>
            <w:tcBorders>
              <w:bottom w:val="nil"/>
            </w:tcBorders>
            <w:shd w:val="clear" w:color="auto" w:fill="E5DFEC" w:themeFill="accent4" w:themeFillTint="33"/>
          </w:tcPr>
          <w:p w:rsidR="00737DE6" w:rsidRPr="00315335" w:rsidRDefault="00737DE6" w:rsidP="00916B06">
            <w:pPr>
              <w:jc w:val="center"/>
              <w:rPr>
                <w:rFonts w:ascii="Arial" w:hAnsi="Arial" w:cs="Arial"/>
                <w:b/>
                <w:sz w:val="24"/>
                <w:szCs w:val="24"/>
              </w:rPr>
            </w:pPr>
            <w:r w:rsidRPr="00315335">
              <w:rPr>
                <w:rFonts w:ascii="Arial" w:hAnsi="Arial" w:cs="Arial"/>
                <w:b/>
                <w:sz w:val="24"/>
                <w:szCs w:val="24"/>
              </w:rPr>
              <w:t>2016</w:t>
            </w:r>
          </w:p>
        </w:tc>
        <w:tc>
          <w:tcPr>
            <w:tcW w:w="1120" w:type="dxa"/>
            <w:tcBorders>
              <w:bottom w:val="nil"/>
            </w:tcBorders>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2017</w:t>
            </w:r>
          </w:p>
        </w:tc>
        <w:tc>
          <w:tcPr>
            <w:tcW w:w="1418" w:type="dxa"/>
            <w:tcBorders>
              <w:bottom w:val="nil"/>
            </w:tcBorders>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2018</w:t>
            </w:r>
          </w:p>
        </w:tc>
      </w:tr>
      <w:tr w:rsidR="00737DE6" w:rsidRPr="00315335" w:rsidTr="00916B06">
        <w:trPr>
          <w:jc w:val="center"/>
        </w:trPr>
        <w:tc>
          <w:tcPr>
            <w:tcW w:w="2476" w:type="dxa"/>
            <w:tcBorders>
              <w:top w:val="nil"/>
            </w:tcBorders>
            <w:shd w:val="clear" w:color="auto" w:fill="E5DFEC" w:themeFill="accent4" w:themeFillTint="33"/>
          </w:tcPr>
          <w:p w:rsidR="00737DE6" w:rsidRPr="00315335" w:rsidRDefault="00737DE6" w:rsidP="00916B06">
            <w:pPr>
              <w:rPr>
                <w:rFonts w:ascii="Arial" w:hAnsi="Arial" w:cs="Arial"/>
                <w:b/>
                <w:sz w:val="24"/>
                <w:szCs w:val="24"/>
              </w:rPr>
            </w:pPr>
          </w:p>
        </w:tc>
        <w:tc>
          <w:tcPr>
            <w:tcW w:w="1417" w:type="dxa"/>
            <w:tcBorders>
              <w:top w:val="nil"/>
            </w:tcBorders>
            <w:shd w:val="clear" w:color="auto" w:fill="E5DFEC" w:themeFill="accent4" w:themeFillTint="33"/>
          </w:tcPr>
          <w:p w:rsidR="00737DE6" w:rsidRPr="00315335" w:rsidRDefault="00737DE6" w:rsidP="00916B06">
            <w:pPr>
              <w:rPr>
                <w:rFonts w:ascii="Arial" w:hAnsi="Arial" w:cs="Arial"/>
                <w:b/>
                <w:sz w:val="24"/>
                <w:szCs w:val="24"/>
              </w:rPr>
            </w:pPr>
          </w:p>
        </w:tc>
        <w:tc>
          <w:tcPr>
            <w:tcW w:w="1418" w:type="dxa"/>
            <w:tcBorders>
              <w:top w:val="nil"/>
            </w:tcBorders>
            <w:shd w:val="clear" w:color="auto" w:fill="E5DFEC" w:themeFill="accent4" w:themeFillTint="33"/>
          </w:tcPr>
          <w:p w:rsidR="00737DE6" w:rsidRPr="00315335" w:rsidRDefault="00737DE6" w:rsidP="00916B06">
            <w:pPr>
              <w:rPr>
                <w:rFonts w:ascii="Arial" w:hAnsi="Arial" w:cs="Arial"/>
                <w:b/>
                <w:sz w:val="24"/>
                <w:szCs w:val="24"/>
              </w:rPr>
            </w:pPr>
          </w:p>
        </w:tc>
        <w:tc>
          <w:tcPr>
            <w:tcW w:w="1289" w:type="dxa"/>
            <w:tcBorders>
              <w:top w:val="nil"/>
            </w:tcBorders>
            <w:shd w:val="clear" w:color="auto" w:fill="E5DFEC" w:themeFill="accent4" w:themeFillTint="33"/>
          </w:tcPr>
          <w:p w:rsidR="00737DE6" w:rsidRPr="00315335" w:rsidRDefault="00737DE6" w:rsidP="00916B06">
            <w:pPr>
              <w:rPr>
                <w:rFonts w:ascii="Arial" w:hAnsi="Arial" w:cs="Arial"/>
                <w:b/>
                <w:sz w:val="24"/>
                <w:szCs w:val="24"/>
              </w:rPr>
            </w:pPr>
          </w:p>
        </w:tc>
        <w:tc>
          <w:tcPr>
            <w:tcW w:w="1120" w:type="dxa"/>
            <w:tcBorders>
              <w:top w:val="nil"/>
            </w:tcBorders>
            <w:shd w:val="clear" w:color="auto" w:fill="E5DFEC" w:themeFill="accent4" w:themeFillTint="33"/>
          </w:tcPr>
          <w:p w:rsidR="00737DE6" w:rsidRPr="00315335" w:rsidRDefault="00737DE6" w:rsidP="00916B06">
            <w:pPr>
              <w:rPr>
                <w:rFonts w:ascii="Arial" w:hAnsi="Arial" w:cs="Arial"/>
                <w:b/>
                <w:sz w:val="24"/>
                <w:szCs w:val="24"/>
              </w:rPr>
            </w:pPr>
          </w:p>
        </w:tc>
        <w:tc>
          <w:tcPr>
            <w:tcW w:w="1418" w:type="dxa"/>
            <w:tcBorders>
              <w:top w:val="nil"/>
            </w:tcBorders>
            <w:shd w:val="clear" w:color="auto" w:fill="E5DFEC" w:themeFill="accent4" w:themeFillTint="33"/>
          </w:tcPr>
          <w:p w:rsidR="00737DE6" w:rsidRPr="00315335" w:rsidRDefault="00737DE6" w:rsidP="00916B06">
            <w:pPr>
              <w:rPr>
                <w:rFonts w:ascii="Arial" w:hAnsi="Arial" w:cs="Arial"/>
                <w:b/>
                <w:sz w:val="24"/>
                <w:szCs w:val="24"/>
              </w:rPr>
            </w:pPr>
          </w:p>
        </w:tc>
      </w:tr>
      <w:tr w:rsidR="00737DE6" w:rsidRPr="00315335" w:rsidTr="00916B06">
        <w:trPr>
          <w:jc w:val="center"/>
        </w:trPr>
        <w:tc>
          <w:tcPr>
            <w:tcW w:w="2476"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Impădurire</w:t>
            </w:r>
          </w:p>
        </w:tc>
        <w:tc>
          <w:tcPr>
            <w:tcW w:w="1417"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280</w:t>
            </w:r>
          </w:p>
        </w:tc>
        <w:tc>
          <w:tcPr>
            <w:tcW w:w="1418"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444</w:t>
            </w:r>
          </w:p>
        </w:tc>
        <w:tc>
          <w:tcPr>
            <w:tcW w:w="1289"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324</w:t>
            </w:r>
          </w:p>
        </w:tc>
        <w:tc>
          <w:tcPr>
            <w:tcW w:w="1120"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330</w:t>
            </w:r>
          </w:p>
        </w:tc>
        <w:tc>
          <w:tcPr>
            <w:tcW w:w="1418"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365</w:t>
            </w:r>
          </w:p>
        </w:tc>
      </w:tr>
      <w:tr w:rsidR="00737DE6" w:rsidRPr="00315335" w:rsidTr="00916B06">
        <w:trPr>
          <w:jc w:val="center"/>
        </w:trPr>
        <w:tc>
          <w:tcPr>
            <w:tcW w:w="2476"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Regenerare naturală</w:t>
            </w:r>
          </w:p>
        </w:tc>
        <w:tc>
          <w:tcPr>
            <w:tcW w:w="1417"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191</w:t>
            </w:r>
          </w:p>
        </w:tc>
        <w:tc>
          <w:tcPr>
            <w:tcW w:w="1418"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130</w:t>
            </w:r>
          </w:p>
        </w:tc>
        <w:tc>
          <w:tcPr>
            <w:tcW w:w="1289"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121</w:t>
            </w:r>
          </w:p>
        </w:tc>
        <w:tc>
          <w:tcPr>
            <w:tcW w:w="1120"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125</w:t>
            </w:r>
          </w:p>
        </w:tc>
        <w:tc>
          <w:tcPr>
            <w:tcW w:w="1418"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151</w:t>
            </w:r>
          </w:p>
        </w:tc>
      </w:tr>
      <w:tr w:rsidR="00737DE6" w:rsidRPr="00315335" w:rsidTr="00916B06">
        <w:trPr>
          <w:jc w:val="center"/>
        </w:trPr>
        <w:tc>
          <w:tcPr>
            <w:tcW w:w="2476"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Total suprafeţe regenerate</w:t>
            </w:r>
          </w:p>
        </w:tc>
        <w:tc>
          <w:tcPr>
            <w:tcW w:w="1417"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471</w:t>
            </w:r>
          </w:p>
        </w:tc>
        <w:tc>
          <w:tcPr>
            <w:tcW w:w="1418"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574</w:t>
            </w:r>
          </w:p>
        </w:tc>
        <w:tc>
          <w:tcPr>
            <w:tcW w:w="1289"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445</w:t>
            </w:r>
          </w:p>
        </w:tc>
        <w:tc>
          <w:tcPr>
            <w:tcW w:w="1120" w:type="dxa"/>
            <w:shd w:val="clear" w:color="auto" w:fill="E5DFEC" w:themeFill="accent4" w:themeFillTint="33"/>
          </w:tcPr>
          <w:p w:rsidR="00737DE6" w:rsidRPr="00315335" w:rsidRDefault="00737DE6" w:rsidP="00916B06">
            <w:pPr>
              <w:jc w:val="center"/>
              <w:rPr>
                <w:rFonts w:ascii="Arial" w:eastAsia="Calibri" w:hAnsi="Arial" w:cs="Arial"/>
                <w:sz w:val="24"/>
                <w:szCs w:val="24"/>
              </w:rPr>
            </w:pPr>
            <w:r w:rsidRPr="00315335">
              <w:rPr>
                <w:rFonts w:ascii="Arial" w:eastAsia="Calibri" w:hAnsi="Arial" w:cs="Arial"/>
                <w:sz w:val="24"/>
                <w:szCs w:val="24"/>
              </w:rPr>
              <w:t>455</w:t>
            </w:r>
          </w:p>
        </w:tc>
        <w:tc>
          <w:tcPr>
            <w:tcW w:w="1418" w:type="dxa"/>
            <w:shd w:val="clear" w:color="auto" w:fill="E5DFEC" w:themeFill="accent4" w:themeFillTint="33"/>
          </w:tcPr>
          <w:p w:rsidR="00737DE6" w:rsidRPr="00315335" w:rsidRDefault="00737DE6" w:rsidP="00916B06">
            <w:pPr>
              <w:tabs>
                <w:tab w:val="left" w:pos="1890"/>
              </w:tabs>
              <w:jc w:val="center"/>
              <w:rPr>
                <w:rFonts w:ascii="Arial" w:eastAsia="Calibri" w:hAnsi="Arial" w:cs="Arial"/>
                <w:sz w:val="24"/>
                <w:szCs w:val="24"/>
              </w:rPr>
            </w:pPr>
            <w:r w:rsidRPr="00315335">
              <w:rPr>
                <w:rFonts w:ascii="Arial" w:eastAsia="Calibri" w:hAnsi="Arial" w:cs="Arial"/>
                <w:sz w:val="24"/>
                <w:szCs w:val="24"/>
              </w:rPr>
              <w:t>516</w:t>
            </w:r>
          </w:p>
          <w:p w:rsidR="00737DE6" w:rsidRPr="00315335" w:rsidRDefault="00737DE6" w:rsidP="00916B06">
            <w:pPr>
              <w:tabs>
                <w:tab w:val="left" w:pos="1890"/>
              </w:tabs>
              <w:jc w:val="center"/>
              <w:rPr>
                <w:rFonts w:ascii="Arial" w:eastAsia="Calibri" w:hAnsi="Arial" w:cs="Arial"/>
                <w:sz w:val="24"/>
                <w:szCs w:val="24"/>
              </w:rPr>
            </w:pPr>
          </w:p>
        </w:tc>
      </w:tr>
    </w:tbl>
    <w:p w:rsidR="00737DE6" w:rsidRPr="00315335" w:rsidRDefault="00737DE6" w:rsidP="00737DE6">
      <w:pPr>
        <w:spacing w:after="0" w:line="240" w:lineRule="auto"/>
        <w:rPr>
          <w:rFonts w:ascii="Arial" w:hAnsi="Arial" w:cs="Arial"/>
          <w:b/>
          <w:sz w:val="24"/>
          <w:szCs w:val="24"/>
          <w:lang w:val="en-US"/>
        </w:rPr>
      </w:pPr>
    </w:p>
    <w:p w:rsidR="00737DE6" w:rsidRPr="00315335" w:rsidRDefault="00737DE6" w:rsidP="00737DE6">
      <w:pPr>
        <w:spacing w:after="0" w:line="240" w:lineRule="auto"/>
        <w:jc w:val="center"/>
        <w:rPr>
          <w:rFonts w:ascii="Arial" w:hAnsi="Arial" w:cs="Arial"/>
          <w:b/>
          <w:sz w:val="24"/>
          <w:szCs w:val="24"/>
          <w:lang w:val="en-US"/>
        </w:rPr>
      </w:pPr>
      <w:r w:rsidRPr="00315335">
        <w:rPr>
          <w:rFonts w:ascii="Arial" w:hAnsi="Arial" w:cs="Arial"/>
          <w:noProof/>
          <w:sz w:val="24"/>
          <w:szCs w:val="24"/>
        </w:rPr>
        <w:drawing>
          <wp:inline distT="0" distB="0" distL="0" distR="0" wp14:anchorId="1768C15E" wp14:editId="28CEE667">
            <wp:extent cx="3905250" cy="2247900"/>
            <wp:effectExtent l="0" t="0" r="0" b="0"/>
            <wp:docPr id="24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315335">
        <w:rPr>
          <w:rFonts w:ascii="Arial" w:hAnsi="Arial" w:cs="Arial"/>
          <w:b/>
          <w:sz w:val="24"/>
          <w:szCs w:val="24"/>
          <w:lang w:val="en-US"/>
        </w:rPr>
        <w:t xml:space="preserve">                                                   </w:t>
      </w:r>
    </w:p>
    <w:p w:rsidR="002636BF" w:rsidRDefault="002636BF" w:rsidP="00737DE6">
      <w:pPr>
        <w:spacing w:after="0" w:line="240" w:lineRule="auto"/>
        <w:ind w:firstLine="708"/>
        <w:rPr>
          <w:rFonts w:ascii="Arial" w:hAnsi="Arial" w:cs="Arial"/>
          <w:b/>
          <w:sz w:val="24"/>
          <w:szCs w:val="24"/>
          <w:lang w:val="en-US"/>
        </w:rPr>
      </w:pPr>
    </w:p>
    <w:p w:rsidR="00737DE6" w:rsidRDefault="00737DE6" w:rsidP="00737DE6">
      <w:pPr>
        <w:spacing w:after="0" w:line="240" w:lineRule="auto"/>
        <w:ind w:firstLine="708"/>
        <w:rPr>
          <w:rFonts w:ascii="Arial" w:hAnsi="Arial" w:cs="Arial"/>
          <w:sz w:val="24"/>
          <w:szCs w:val="24"/>
          <w:lang w:val="en-US"/>
        </w:rPr>
      </w:pPr>
      <w:r w:rsidRPr="00315335">
        <w:rPr>
          <w:rFonts w:ascii="Arial" w:hAnsi="Arial" w:cs="Arial"/>
          <w:b/>
          <w:sz w:val="24"/>
          <w:szCs w:val="24"/>
          <w:lang w:val="en-US"/>
        </w:rPr>
        <w:t>Figura nr. VI.1.4. – 1</w:t>
      </w:r>
      <w:r w:rsidRPr="00315335">
        <w:rPr>
          <w:rFonts w:ascii="Arial" w:hAnsi="Arial" w:cs="Arial"/>
          <w:sz w:val="24"/>
          <w:szCs w:val="24"/>
          <w:lang w:val="en-US"/>
        </w:rPr>
        <w:t xml:space="preserve"> Evoluţia suprafeţelor de păduri regenerate la nivel judeţean</w:t>
      </w:r>
    </w:p>
    <w:p w:rsidR="002636BF" w:rsidRPr="00315335" w:rsidRDefault="002636BF" w:rsidP="00737DE6">
      <w:pPr>
        <w:spacing w:after="0" w:line="240" w:lineRule="auto"/>
        <w:ind w:firstLine="708"/>
        <w:rPr>
          <w:rFonts w:ascii="Arial" w:hAnsi="Arial" w:cs="Arial"/>
          <w:b/>
          <w:sz w:val="24"/>
          <w:szCs w:val="24"/>
          <w:lang w:val="en-US"/>
        </w:rPr>
      </w:pPr>
    </w:p>
    <w:p w:rsidR="00737DE6" w:rsidRPr="00315335" w:rsidRDefault="00737DE6" w:rsidP="00737DE6">
      <w:pPr>
        <w:spacing w:after="0" w:line="240" w:lineRule="auto"/>
        <w:rPr>
          <w:rFonts w:ascii="Arial" w:hAnsi="Arial" w:cs="Arial"/>
          <w:b/>
          <w:sz w:val="24"/>
          <w:szCs w:val="24"/>
          <w:lang w:val="en-US"/>
        </w:rPr>
      </w:pPr>
      <w:r w:rsidRPr="00315335">
        <w:rPr>
          <w:rFonts w:ascii="Arial" w:hAnsi="Arial" w:cs="Arial"/>
          <w:b/>
          <w:sz w:val="24"/>
          <w:szCs w:val="24"/>
          <w:lang w:val="en-US"/>
        </w:rPr>
        <w:t xml:space="preserve">       </w:t>
      </w:r>
      <w:r w:rsidRPr="00315335">
        <w:rPr>
          <w:rFonts w:ascii="Arial" w:hAnsi="Arial" w:cs="Arial"/>
          <w:b/>
          <w:i/>
          <w:sz w:val="24"/>
          <w:szCs w:val="24"/>
          <w:lang w:val="en-US"/>
        </w:rPr>
        <w:t>VI.1.5. Zone cu deficit de vegetaţie forestieră şi disponibilităţi de împădurire</w:t>
      </w:r>
    </w:p>
    <w:p w:rsidR="00737DE6" w:rsidRPr="00315335" w:rsidRDefault="00737DE6" w:rsidP="00737DE6">
      <w:pPr>
        <w:pStyle w:val="Corptext"/>
        <w:spacing w:after="0" w:line="240" w:lineRule="auto"/>
        <w:jc w:val="both"/>
        <w:rPr>
          <w:rFonts w:ascii="Arial" w:hAnsi="Arial" w:cs="Arial"/>
          <w:sz w:val="24"/>
          <w:szCs w:val="24"/>
          <w:lang w:val="ro-RO"/>
        </w:rPr>
      </w:pPr>
      <w:r w:rsidRPr="00315335">
        <w:rPr>
          <w:rFonts w:ascii="Arial" w:hAnsi="Arial" w:cs="Arial"/>
          <w:sz w:val="24"/>
          <w:szCs w:val="24"/>
          <w:lang w:val="ro-RO"/>
        </w:rPr>
        <w:t>Judeţul Brăila este zonă deficitară în păduri deoarece suprafaţa acestora reprezintă numai 5,93% din suprafaţa totală a judeţului.</w:t>
      </w:r>
    </w:p>
    <w:p w:rsidR="00737DE6" w:rsidRDefault="00737DE6" w:rsidP="00737DE6">
      <w:pPr>
        <w:spacing w:after="0" w:line="240" w:lineRule="auto"/>
        <w:rPr>
          <w:rFonts w:ascii="Arial" w:hAnsi="Arial" w:cs="Arial"/>
          <w:b/>
          <w:sz w:val="24"/>
          <w:szCs w:val="24"/>
          <w:lang w:val="en-US"/>
        </w:rPr>
      </w:pPr>
      <w:r w:rsidRPr="00315335">
        <w:rPr>
          <w:rFonts w:ascii="Arial" w:hAnsi="Arial" w:cs="Arial"/>
          <w:b/>
          <w:sz w:val="24"/>
          <w:szCs w:val="24"/>
          <w:lang w:val="en-US"/>
        </w:rPr>
        <w:t>Tabelul nr. VI.1.5. -1 Zone cu deficit de vegetaţie forestieră şi disponibilităţi de împădurire</w:t>
      </w:r>
    </w:p>
    <w:p w:rsidR="002636BF" w:rsidRPr="00315335" w:rsidRDefault="002636BF" w:rsidP="00737DE6">
      <w:pPr>
        <w:spacing w:after="0" w:line="240" w:lineRule="auto"/>
        <w:rPr>
          <w:rFonts w:ascii="Arial" w:hAnsi="Arial" w:cs="Arial"/>
          <w:b/>
          <w:sz w:val="24"/>
          <w:szCs w:val="24"/>
          <w:lang w:val="en-US"/>
        </w:rPr>
      </w:pPr>
    </w:p>
    <w:tbl>
      <w:tblPr>
        <w:tblStyle w:val="Tabelgril"/>
        <w:tblW w:w="0" w:type="auto"/>
        <w:jc w:val="center"/>
        <w:shd w:val="clear" w:color="auto" w:fill="E5DFEC" w:themeFill="accent4" w:themeFillTint="33"/>
        <w:tblLook w:val="04A0" w:firstRow="1" w:lastRow="0" w:firstColumn="1" w:lastColumn="0" w:noHBand="0" w:noVBand="1"/>
      </w:tblPr>
      <w:tblGrid>
        <w:gridCol w:w="1418"/>
        <w:gridCol w:w="4394"/>
      </w:tblGrid>
      <w:tr w:rsidR="00315335" w:rsidRPr="00315335" w:rsidTr="00916B06">
        <w:trPr>
          <w:jc w:val="center"/>
        </w:trPr>
        <w:tc>
          <w:tcPr>
            <w:tcW w:w="141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Judeţ</w:t>
            </w:r>
          </w:p>
        </w:tc>
        <w:tc>
          <w:tcPr>
            <w:tcW w:w="439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Procent de ocupare cu păduri (%)</w:t>
            </w:r>
          </w:p>
        </w:tc>
      </w:tr>
      <w:tr w:rsidR="00315335" w:rsidRPr="00315335" w:rsidTr="00916B06">
        <w:trPr>
          <w:jc w:val="center"/>
        </w:trPr>
        <w:tc>
          <w:tcPr>
            <w:tcW w:w="141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Brăila</w:t>
            </w:r>
          </w:p>
        </w:tc>
        <w:tc>
          <w:tcPr>
            <w:tcW w:w="4394"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5,93</w:t>
            </w:r>
          </w:p>
          <w:p w:rsidR="00737DE6" w:rsidRPr="00315335" w:rsidRDefault="00737DE6" w:rsidP="00916B06">
            <w:pPr>
              <w:jc w:val="center"/>
              <w:rPr>
                <w:rFonts w:ascii="Arial" w:hAnsi="Arial" w:cs="Arial"/>
                <w:sz w:val="24"/>
                <w:szCs w:val="24"/>
              </w:rPr>
            </w:pPr>
          </w:p>
        </w:tc>
      </w:tr>
    </w:tbl>
    <w:p w:rsidR="00737DE6" w:rsidRPr="00315335" w:rsidRDefault="00737DE6" w:rsidP="00737DE6">
      <w:pPr>
        <w:spacing w:after="0" w:line="240" w:lineRule="auto"/>
        <w:rPr>
          <w:rFonts w:ascii="Arial" w:hAnsi="Arial" w:cs="Arial"/>
          <w:b/>
          <w:sz w:val="24"/>
          <w:szCs w:val="24"/>
          <w:lang w:val="en-US"/>
        </w:rPr>
      </w:pPr>
    </w:p>
    <w:p w:rsidR="002636BF" w:rsidRDefault="002636BF" w:rsidP="00737DE6">
      <w:pPr>
        <w:spacing w:after="0" w:line="240" w:lineRule="auto"/>
        <w:rPr>
          <w:rFonts w:ascii="Arial" w:hAnsi="Arial" w:cs="Arial"/>
          <w:b/>
          <w:sz w:val="24"/>
          <w:szCs w:val="24"/>
          <w:lang w:val="en-US"/>
        </w:rPr>
      </w:pPr>
    </w:p>
    <w:p w:rsidR="00737DE6" w:rsidRPr="00315335" w:rsidRDefault="00737DE6" w:rsidP="00737DE6">
      <w:pPr>
        <w:spacing w:after="0" w:line="240" w:lineRule="auto"/>
        <w:rPr>
          <w:rFonts w:ascii="Arial" w:hAnsi="Arial" w:cs="Arial"/>
          <w:b/>
          <w:sz w:val="24"/>
          <w:szCs w:val="24"/>
          <w:lang w:val="en-US"/>
        </w:rPr>
      </w:pPr>
      <w:r w:rsidRPr="00315335">
        <w:rPr>
          <w:rFonts w:ascii="Arial" w:hAnsi="Arial" w:cs="Arial"/>
          <w:b/>
          <w:sz w:val="24"/>
          <w:szCs w:val="24"/>
          <w:lang w:val="en-US"/>
        </w:rPr>
        <w:lastRenderedPageBreak/>
        <w:t>VI.2. Ameninţări şi presiuni exercitate asupra pădurilor, anul 2018</w:t>
      </w:r>
    </w:p>
    <w:p w:rsidR="00737DE6" w:rsidRPr="00315335" w:rsidRDefault="00737DE6" w:rsidP="00737DE6">
      <w:pPr>
        <w:pStyle w:val="Default"/>
        <w:rPr>
          <w:rFonts w:ascii="Arial" w:hAnsi="Arial" w:cs="Arial"/>
          <w:color w:val="auto"/>
        </w:rPr>
      </w:pPr>
      <w:r w:rsidRPr="00315335">
        <w:rPr>
          <w:rFonts w:ascii="Arial" w:hAnsi="Arial" w:cs="Arial"/>
          <w:color w:val="auto"/>
        </w:rPr>
        <w:t xml:space="preserve">Principalele ameninţări care afectează pădurile sunt: </w:t>
      </w:r>
    </w:p>
    <w:p w:rsidR="00737DE6" w:rsidRPr="00315335" w:rsidRDefault="00737DE6" w:rsidP="0010044C">
      <w:pPr>
        <w:pStyle w:val="Default"/>
        <w:numPr>
          <w:ilvl w:val="0"/>
          <w:numId w:val="85"/>
        </w:numPr>
        <w:rPr>
          <w:rFonts w:ascii="Arial" w:hAnsi="Arial" w:cs="Arial"/>
          <w:color w:val="auto"/>
        </w:rPr>
      </w:pPr>
      <w:r w:rsidRPr="00315335">
        <w:rPr>
          <w:rFonts w:ascii="Arial" w:hAnsi="Arial" w:cs="Arial"/>
          <w:color w:val="auto"/>
        </w:rPr>
        <w:t xml:space="preserve">defrişările (în exces, în scopuri industriale sau pentru obţinerea de energie </w:t>
      </w:r>
      <w:r w:rsidRPr="00315335">
        <w:rPr>
          <w:rFonts w:ascii="Arial" w:hAnsi="Arial" w:cs="Arial"/>
          <w:b/>
          <w:bCs/>
          <w:color w:val="auto"/>
        </w:rPr>
        <w:t xml:space="preserve"> </w:t>
      </w:r>
      <w:r w:rsidRPr="00315335">
        <w:rPr>
          <w:rFonts w:ascii="Arial" w:hAnsi="Arial" w:cs="Arial"/>
          <w:color w:val="auto"/>
        </w:rPr>
        <w:t xml:space="preserve">biocombustibili, dar mai ales cele ilegale; de asemenea, tăierile datorate conversiei pădurilor la terenuri agricole au rol important) </w:t>
      </w:r>
    </w:p>
    <w:p w:rsidR="00737DE6" w:rsidRPr="00315335" w:rsidRDefault="00737DE6" w:rsidP="0010044C">
      <w:pPr>
        <w:pStyle w:val="Default"/>
        <w:numPr>
          <w:ilvl w:val="0"/>
          <w:numId w:val="60"/>
        </w:numPr>
        <w:rPr>
          <w:rFonts w:ascii="Arial" w:hAnsi="Arial" w:cs="Arial"/>
          <w:color w:val="auto"/>
        </w:rPr>
      </w:pPr>
      <w:r w:rsidRPr="00315335">
        <w:rPr>
          <w:rFonts w:ascii="Arial" w:hAnsi="Arial" w:cs="Arial"/>
          <w:color w:val="auto"/>
        </w:rPr>
        <w:t xml:space="preserve">fragmentarea ecosistemelor </w:t>
      </w:r>
    </w:p>
    <w:p w:rsidR="00737DE6" w:rsidRPr="00315335" w:rsidRDefault="00737DE6" w:rsidP="0010044C">
      <w:pPr>
        <w:pStyle w:val="Default"/>
        <w:numPr>
          <w:ilvl w:val="0"/>
          <w:numId w:val="60"/>
        </w:numPr>
        <w:rPr>
          <w:rFonts w:ascii="Arial" w:hAnsi="Arial" w:cs="Arial"/>
          <w:color w:val="auto"/>
        </w:rPr>
      </w:pPr>
      <w:r w:rsidRPr="00315335">
        <w:rPr>
          <w:rFonts w:ascii="Arial" w:hAnsi="Arial" w:cs="Arial"/>
          <w:color w:val="auto"/>
        </w:rPr>
        <w:t xml:space="preserve">degradarea pădurilor, din cauza dăunătorilor sau bolilor sau a speciilor invazive </w:t>
      </w:r>
    </w:p>
    <w:p w:rsidR="00737DE6" w:rsidRPr="00315335" w:rsidRDefault="00737DE6" w:rsidP="0010044C">
      <w:pPr>
        <w:pStyle w:val="Default"/>
        <w:numPr>
          <w:ilvl w:val="0"/>
          <w:numId w:val="60"/>
        </w:numPr>
        <w:rPr>
          <w:rFonts w:ascii="Arial" w:hAnsi="Arial" w:cs="Arial"/>
          <w:color w:val="auto"/>
        </w:rPr>
      </w:pPr>
      <w:r w:rsidRPr="00315335">
        <w:rPr>
          <w:rFonts w:ascii="Arial" w:hAnsi="Arial" w:cs="Arial"/>
          <w:color w:val="auto"/>
        </w:rPr>
        <w:t xml:space="preserve">schimbările climatice, inclusiv incendiile de pădure </w:t>
      </w:r>
    </w:p>
    <w:p w:rsidR="00737DE6" w:rsidRPr="00315335" w:rsidRDefault="00737DE6" w:rsidP="0010044C">
      <w:pPr>
        <w:pStyle w:val="Default"/>
        <w:numPr>
          <w:ilvl w:val="0"/>
          <w:numId w:val="60"/>
        </w:numPr>
        <w:rPr>
          <w:rFonts w:ascii="Arial" w:hAnsi="Arial" w:cs="Arial"/>
          <w:color w:val="auto"/>
        </w:rPr>
      </w:pPr>
      <w:r w:rsidRPr="00315335">
        <w:rPr>
          <w:rFonts w:ascii="Arial" w:hAnsi="Arial" w:cs="Arial"/>
          <w:color w:val="auto"/>
        </w:rPr>
        <w:t xml:space="preserve">turismul negestionat. </w:t>
      </w:r>
    </w:p>
    <w:p w:rsidR="00737DE6" w:rsidRPr="00315335" w:rsidRDefault="00737DE6" w:rsidP="00737DE6">
      <w:pPr>
        <w:pStyle w:val="Titlu1"/>
        <w:spacing w:before="0" w:after="0"/>
        <w:ind w:firstLine="720"/>
        <w:rPr>
          <w:b w:val="0"/>
          <w:sz w:val="24"/>
          <w:szCs w:val="24"/>
          <w:lang w:val="ro-RO"/>
        </w:rPr>
      </w:pPr>
    </w:p>
    <w:p w:rsidR="00737DE6" w:rsidRPr="00315335" w:rsidRDefault="00737DE6" w:rsidP="00737DE6">
      <w:pPr>
        <w:pStyle w:val="Titlu1"/>
        <w:spacing w:before="0" w:after="0"/>
        <w:rPr>
          <w:sz w:val="24"/>
          <w:szCs w:val="24"/>
          <w:lang w:val="ro-RO"/>
        </w:rPr>
      </w:pPr>
      <w:r w:rsidRPr="00315335">
        <w:rPr>
          <w:sz w:val="24"/>
          <w:szCs w:val="24"/>
          <w:lang w:val="ro-RO"/>
        </w:rPr>
        <w:t>Sensibilizarea publicului</w:t>
      </w:r>
    </w:p>
    <w:p w:rsidR="00DF426D"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Metodele folosite pentru informarea publicului asupra rolului şi importanţei pădurii pentru societatea omenească au constat în amplasarea de panouri informative şi de conştientizare, confecţionarea de pliante informative şi distribuirea acestora, precum şi acţiuni de patrulare ale personalului silvic în zonele de turism de week-end, în scopul prevenirii şi combaterii fenomenelor de agresiune asupra zonelor împădurite. Informarea publică se amplifică în perioada 15 martie - 15 aprilie, când se desfăşoară acţiuni specifice Lunii Pădurii la nivel naţional. Pentru prevenirea, descoperirea şi sancţionarea infracţiunilor şi contravenţiilor silvice referitoare la tăieri ilegale de arbori, braconaj, păşunat abuziv şi altele, personalul silvic în colaborare cu organele de poliţie organizează permanent acţiuni de patrulare, pânde fixe şi controale ale circulaţiei materialului lemnos.</w:t>
      </w:r>
    </w:p>
    <w:p w:rsidR="00737DE6" w:rsidRPr="00315335" w:rsidRDefault="00737DE6" w:rsidP="00737DE6">
      <w:pPr>
        <w:spacing w:after="0" w:line="240" w:lineRule="auto"/>
        <w:ind w:firstLine="708"/>
        <w:jc w:val="both"/>
        <w:rPr>
          <w:rFonts w:ascii="Arial" w:hAnsi="Arial" w:cs="Arial"/>
          <w:b/>
          <w:sz w:val="24"/>
          <w:szCs w:val="24"/>
          <w:lang w:val="en-US"/>
        </w:rPr>
      </w:pPr>
      <w:r w:rsidRPr="00315335">
        <w:rPr>
          <w:rFonts w:ascii="Arial" w:hAnsi="Arial" w:cs="Arial"/>
          <w:sz w:val="24"/>
          <w:szCs w:val="24"/>
        </w:rPr>
        <w:t xml:space="preserve"> </w:t>
      </w:r>
    </w:p>
    <w:p w:rsidR="00737DE6" w:rsidRDefault="00737DE6" w:rsidP="00737DE6">
      <w:pPr>
        <w:spacing w:after="0" w:line="240" w:lineRule="auto"/>
        <w:rPr>
          <w:rFonts w:ascii="Arial" w:hAnsi="Arial" w:cs="Arial"/>
          <w:b/>
          <w:i/>
          <w:sz w:val="24"/>
          <w:szCs w:val="24"/>
          <w:lang w:val="en-US"/>
        </w:rPr>
      </w:pPr>
      <w:r w:rsidRPr="00315335">
        <w:rPr>
          <w:rFonts w:ascii="Arial" w:hAnsi="Arial" w:cs="Arial"/>
          <w:b/>
          <w:i/>
          <w:sz w:val="24"/>
          <w:szCs w:val="24"/>
          <w:lang w:val="en-US"/>
        </w:rPr>
        <w:t xml:space="preserve">        VI.2.1. Suprafeţe de pădure parcurse cu tăieri</w:t>
      </w:r>
    </w:p>
    <w:p w:rsidR="00DF426D" w:rsidRPr="00315335" w:rsidRDefault="00DF426D" w:rsidP="00737DE6">
      <w:pPr>
        <w:spacing w:after="0" w:line="240" w:lineRule="auto"/>
        <w:rPr>
          <w:rFonts w:ascii="Arial" w:hAnsi="Arial" w:cs="Arial"/>
          <w:b/>
          <w:sz w:val="24"/>
          <w:szCs w:val="24"/>
          <w:lang w:val="en-US"/>
        </w:rPr>
      </w:pP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Tabelul nr.</w:t>
      </w:r>
      <w:r w:rsidRPr="00315335">
        <w:rPr>
          <w:rFonts w:ascii="Arial" w:hAnsi="Arial" w:cs="Arial"/>
          <w:b/>
          <w:sz w:val="24"/>
          <w:szCs w:val="24"/>
          <w:lang w:val="en-US"/>
        </w:rPr>
        <w:t xml:space="preserve"> VI.2.1. -1 </w:t>
      </w:r>
      <w:r w:rsidRPr="00315335">
        <w:rPr>
          <w:rFonts w:ascii="Arial" w:hAnsi="Arial" w:cs="Arial"/>
          <w:sz w:val="24"/>
          <w:szCs w:val="24"/>
          <w:lang w:val="en-US"/>
        </w:rPr>
        <w:t xml:space="preserve"> Suprafaţa parcursă de tăieri pe tipul de tăieri în perioada 2014-2018</w:t>
      </w:r>
    </w:p>
    <w:tbl>
      <w:tblPr>
        <w:tblStyle w:val="Tabelgril"/>
        <w:tblW w:w="0" w:type="auto"/>
        <w:jc w:val="center"/>
        <w:shd w:val="clear" w:color="auto" w:fill="E5DFEC" w:themeFill="accent4" w:themeFillTint="33"/>
        <w:tblLayout w:type="fixed"/>
        <w:tblLook w:val="04A0" w:firstRow="1" w:lastRow="0" w:firstColumn="1" w:lastColumn="0" w:noHBand="0" w:noVBand="1"/>
      </w:tblPr>
      <w:tblGrid>
        <w:gridCol w:w="4111"/>
        <w:gridCol w:w="850"/>
        <w:gridCol w:w="992"/>
        <w:gridCol w:w="993"/>
        <w:gridCol w:w="992"/>
        <w:gridCol w:w="958"/>
      </w:tblGrid>
      <w:tr w:rsidR="00737DE6" w:rsidRPr="00315335" w:rsidTr="00916B06">
        <w:trPr>
          <w:jc w:val="center"/>
        </w:trPr>
        <w:tc>
          <w:tcPr>
            <w:tcW w:w="4111" w:type="dxa"/>
            <w:tcBorders>
              <w:bottom w:val="nil"/>
            </w:tcBorders>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Tipul de tăieri</w:t>
            </w:r>
          </w:p>
        </w:tc>
        <w:tc>
          <w:tcPr>
            <w:tcW w:w="4785" w:type="dxa"/>
            <w:gridSpan w:val="5"/>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Suprafața parcursă cu tăieri (ha)</w:t>
            </w:r>
          </w:p>
        </w:tc>
      </w:tr>
      <w:tr w:rsidR="00737DE6" w:rsidRPr="00315335" w:rsidTr="00916B06">
        <w:trPr>
          <w:jc w:val="center"/>
        </w:trPr>
        <w:tc>
          <w:tcPr>
            <w:tcW w:w="4111" w:type="dxa"/>
            <w:tcBorders>
              <w:top w:val="nil"/>
            </w:tcBorders>
            <w:shd w:val="clear" w:color="auto" w:fill="E5DFEC" w:themeFill="accent4" w:themeFillTint="33"/>
          </w:tcPr>
          <w:p w:rsidR="00737DE6" w:rsidRPr="00315335" w:rsidRDefault="00737DE6" w:rsidP="00916B06">
            <w:pPr>
              <w:rPr>
                <w:rFonts w:ascii="Arial" w:hAnsi="Arial" w:cs="Arial"/>
                <w:sz w:val="24"/>
                <w:szCs w:val="24"/>
              </w:rPr>
            </w:pPr>
          </w:p>
        </w:tc>
        <w:tc>
          <w:tcPr>
            <w:tcW w:w="850"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2014</w:t>
            </w:r>
          </w:p>
        </w:tc>
        <w:tc>
          <w:tcPr>
            <w:tcW w:w="99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2015</w:t>
            </w:r>
          </w:p>
        </w:tc>
        <w:tc>
          <w:tcPr>
            <w:tcW w:w="993"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2016</w:t>
            </w:r>
          </w:p>
        </w:tc>
        <w:tc>
          <w:tcPr>
            <w:tcW w:w="992"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2017</w:t>
            </w:r>
          </w:p>
        </w:tc>
        <w:tc>
          <w:tcPr>
            <w:tcW w:w="958"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2018</w:t>
            </w:r>
          </w:p>
        </w:tc>
      </w:tr>
      <w:tr w:rsidR="00737DE6" w:rsidRPr="00315335" w:rsidTr="00916B06">
        <w:trPr>
          <w:jc w:val="center"/>
        </w:trPr>
        <w:tc>
          <w:tcPr>
            <w:tcW w:w="4111"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Tăieri de regenerare în crâng</w:t>
            </w:r>
          </w:p>
        </w:tc>
        <w:tc>
          <w:tcPr>
            <w:tcW w:w="850"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64,8</w:t>
            </w:r>
          </w:p>
        </w:tc>
        <w:tc>
          <w:tcPr>
            <w:tcW w:w="992"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47,7</w:t>
            </w:r>
          </w:p>
        </w:tc>
        <w:tc>
          <w:tcPr>
            <w:tcW w:w="993"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48</w:t>
            </w:r>
          </w:p>
        </w:tc>
        <w:tc>
          <w:tcPr>
            <w:tcW w:w="992"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47</w:t>
            </w:r>
          </w:p>
        </w:tc>
        <w:tc>
          <w:tcPr>
            <w:tcW w:w="958"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47</w:t>
            </w:r>
          </w:p>
        </w:tc>
      </w:tr>
      <w:tr w:rsidR="00737DE6" w:rsidRPr="00315335" w:rsidTr="00916B06">
        <w:trPr>
          <w:jc w:val="center"/>
        </w:trPr>
        <w:tc>
          <w:tcPr>
            <w:tcW w:w="4111"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Tăieri de substituiri-refacere a arboretelor slab productive şi degradate</w:t>
            </w:r>
          </w:p>
        </w:tc>
        <w:tc>
          <w:tcPr>
            <w:tcW w:w="850"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64,8</w:t>
            </w:r>
          </w:p>
        </w:tc>
        <w:tc>
          <w:tcPr>
            <w:tcW w:w="992"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47,7</w:t>
            </w:r>
          </w:p>
        </w:tc>
        <w:tc>
          <w:tcPr>
            <w:tcW w:w="993"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48</w:t>
            </w:r>
          </w:p>
        </w:tc>
        <w:tc>
          <w:tcPr>
            <w:tcW w:w="992"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47</w:t>
            </w:r>
          </w:p>
        </w:tc>
        <w:tc>
          <w:tcPr>
            <w:tcW w:w="958"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47</w:t>
            </w:r>
          </w:p>
        </w:tc>
      </w:tr>
      <w:tr w:rsidR="00737DE6" w:rsidRPr="00315335" w:rsidTr="00916B06">
        <w:trPr>
          <w:jc w:val="center"/>
        </w:trPr>
        <w:tc>
          <w:tcPr>
            <w:tcW w:w="4111"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Tăieri de conservare</w:t>
            </w:r>
          </w:p>
        </w:tc>
        <w:tc>
          <w:tcPr>
            <w:tcW w:w="850"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0</w:t>
            </w:r>
          </w:p>
        </w:tc>
        <w:tc>
          <w:tcPr>
            <w:tcW w:w="992"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0</w:t>
            </w:r>
          </w:p>
        </w:tc>
        <w:tc>
          <w:tcPr>
            <w:tcW w:w="993"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0</w:t>
            </w:r>
          </w:p>
        </w:tc>
        <w:tc>
          <w:tcPr>
            <w:tcW w:w="992"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0</w:t>
            </w:r>
          </w:p>
        </w:tc>
        <w:tc>
          <w:tcPr>
            <w:tcW w:w="958" w:type="dxa"/>
            <w:shd w:val="clear" w:color="auto" w:fill="E5DFEC" w:themeFill="accent4" w:themeFillTint="33"/>
          </w:tcPr>
          <w:p w:rsidR="00737DE6" w:rsidRPr="00315335" w:rsidRDefault="00737DE6" w:rsidP="00916B06">
            <w:pPr>
              <w:jc w:val="center"/>
              <w:rPr>
                <w:rFonts w:ascii="Arial" w:hAnsi="Arial" w:cs="Arial"/>
                <w:sz w:val="24"/>
                <w:szCs w:val="24"/>
              </w:rPr>
            </w:pPr>
            <w:r w:rsidRPr="00315335">
              <w:rPr>
                <w:rFonts w:ascii="Arial" w:hAnsi="Arial" w:cs="Arial"/>
                <w:sz w:val="24"/>
                <w:szCs w:val="24"/>
              </w:rPr>
              <w:t>0</w:t>
            </w:r>
          </w:p>
        </w:tc>
      </w:tr>
    </w:tbl>
    <w:p w:rsidR="00737DE6" w:rsidRPr="00315335" w:rsidRDefault="00737DE6" w:rsidP="00737DE6">
      <w:pPr>
        <w:spacing w:after="0" w:line="240" w:lineRule="auto"/>
        <w:rPr>
          <w:rFonts w:ascii="Arial" w:hAnsi="Arial" w:cs="Arial"/>
          <w:sz w:val="24"/>
          <w:szCs w:val="24"/>
          <w:lang w:val="en-US"/>
        </w:rPr>
      </w:pPr>
    </w:p>
    <w:p w:rsidR="00737DE6" w:rsidRPr="00315335" w:rsidRDefault="00737DE6" w:rsidP="00737DE6">
      <w:pPr>
        <w:spacing w:after="0" w:line="240" w:lineRule="auto"/>
        <w:jc w:val="center"/>
        <w:rPr>
          <w:rFonts w:ascii="Arial" w:hAnsi="Arial" w:cs="Arial"/>
          <w:b/>
          <w:sz w:val="24"/>
          <w:szCs w:val="24"/>
        </w:rPr>
      </w:pPr>
      <w:r w:rsidRPr="00315335">
        <w:rPr>
          <w:rFonts w:ascii="Arial" w:hAnsi="Arial" w:cs="Arial"/>
          <w:b/>
          <w:noProof/>
          <w:sz w:val="24"/>
          <w:szCs w:val="24"/>
        </w:rPr>
        <w:drawing>
          <wp:inline distT="0" distB="0" distL="0" distR="0" wp14:anchorId="2469BA30" wp14:editId="071882D5">
            <wp:extent cx="3905250" cy="2609850"/>
            <wp:effectExtent l="0" t="0" r="0" b="0"/>
            <wp:docPr id="24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37DE6" w:rsidRDefault="00737DE6" w:rsidP="00737DE6">
      <w:pPr>
        <w:spacing w:after="0" w:line="240" w:lineRule="auto"/>
        <w:rPr>
          <w:rFonts w:ascii="Arial" w:hAnsi="Arial" w:cs="Arial"/>
          <w:sz w:val="24"/>
          <w:szCs w:val="24"/>
          <w:lang w:val="en-US"/>
        </w:rPr>
      </w:pPr>
      <w:r w:rsidRPr="00315335">
        <w:rPr>
          <w:rFonts w:ascii="Arial" w:hAnsi="Arial" w:cs="Arial"/>
          <w:b/>
          <w:sz w:val="24"/>
          <w:szCs w:val="24"/>
          <w:lang w:val="en-US"/>
        </w:rPr>
        <w:t xml:space="preserve">                 Figura nr. </w:t>
      </w:r>
      <w:r w:rsidRPr="00315335">
        <w:rPr>
          <w:rFonts w:ascii="Arial" w:hAnsi="Arial" w:cs="Arial"/>
          <w:sz w:val="24"/>
          <w:szCs w:val="24"/>
          <w:lang w:val="en-US"/>
        </w:rPr>
        <w:t>.</w:t>
      </w:r>
      <w:r w:rsidRPr="00315335">
        <w:rPr>
          <w:rFonts w:ascii="Arial" w:hAnsi="Arial" w:cs="Arial"/>
          <w:b/>
          <w:sz w:val="24"/>
          <w:szCs w:val="24"/>
          <w:lang w:val="en-US"/>
        </w:rPr>
        <w:t xml:space="preserve"> VI.2.1. -1 </w:t>
      </w:r>
      <w:r w:rsidRPr="00315335">
        <w:rPr>
          <w:rFonts w:ascii="Arial" w:hAnsi="Arial" w:cs="Arial"/>
          <w:sz w:val="24"/>
          <w:szCs w:val="24"/>
          <w:lang w:val="en-US"/>
        </w:rPr>
        <w:t xml:space="preserve"> Suprafaţa parcursă de tăieri pe tipul de tăieri</w:t>
      </w:r>
    </w:p>
    <w:p w:rsidR="00DF426D" w:rsidRPr="00315335" w:rsidRDefault="00DF426D" w:rsidP="00737DE6">
      <w:pPr>
        <w:spacing w:after="0" w:line="240" w:lineRule="auto"/>
        <w:rPr>
          <w:rFonts w:ascii="Arial" w:hAnsi="Arial" w:cs="Arial"/>
          <w:sz w:val="24"/>
          <w:szCs w:val="24"/>
          <w:lang w:val="en-US"/>
        </w:rPr>
      </w:pPr>
    </w:p>
    <w:p w:rsidR="00737DE6" w:rsidRPr="00315335" w:rsidRDefault="00737DE6" w:rsidP="00737DE6">
      <w:pPr>
        <w:spacing w:after="0" w:line="240" w:lineRule="auto"/>
        <w:ind w:firstLine="708"/>
        <w:rPr>
          <w:rFonts w:ascii="Arial" w:hAnsi="Arial" w:cs="Arial"/>
          <w:b/>
          <w:i/>
          <w:sz w:val="24"/>
          <w:szCs w:val="24"/>
          <w:lang w:val="en-US"/>
        </w:rPr>
      </w:pPr>
      <w:r w:rsidRPr="00315335">
        <w:rPr>
          <w:rFonts w:ascii="Arial" w:hAnsi="Arial" w:cs="Arial"/>
          <w:b/>
          <w:i/>
          <w:sz w:val="24"/>
          <w:szCs w:val="24"/>
          <w:lang w:val="en-US"/>
        </w:rPr>
        <w:t>VI.2.2. Schimbarea utilizării terenurilor</w:t>
      </w:r>
    </w:p>
    <w:p w:rsidR="00737DE6" w:rsidRPr="00315335" w:rsidRDefault="00737DE6" w:rsidP="00737DE6">
      <w:pPr>
        <w:spacing w:after="0" w:line="240" w:lineRule="auto"/>
        <w:ind w:firstLine="708"/>
        <w:rPr>
          <w:rFonts w:ascii="Arial" w:hAnsi="Arial" w:cs="Arial"/>
          <w:b/>
          <w:sz w:val="24"/>
          <w:szCs w:val="24"/>
          <w:lang w:val="en-US"/>
        </w:rPr>
      </w:pPr>
      <w:r w:rsidRPr="00315335">
        <w:rPr>
          <w:rFonts w:ascii="Arial" w:hAnsi="Arial" w:cs="Arial"/>
          <w:b/>
          <w:sz w:val="24"/>
          <w:szCs w:val="24"/>
          <w:lang w:val="en-US"/>
        </w:rPr>
        <w:t xml:space="preserve">         VI.2.2.1. Fragmentarea ecosistemelor (arealelor naturale şi seminaturale)</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Pr="00315335">
        <w:rPr>
          <w:rFonts w:ascii="Arial" w:hAnsi="Arial" w:cs="Arial"/>
          <w:i/>
          <w:iCs/>
          <w:sz w:val="24"/>
          <w:szCs w:val="24"/>
        </w:rPr>
        <w:t xml:space="preserve">conversia terenurilor </w:t>
      </w:r>
      <w:r w:rsidRPr="00315335">
        <w:rPr>
          <w:rFonts w:ascii="Arial" w:hAnsi="Arial" w:cs="Arial"/>
          <w:sz w:val="24"/>
          <w:szCs w:val="24"/>
        </w:rPr>
        <w:t xml:space="preserve">în </w:t>
      </w:r>
      <w:r w:rsidRPr="00315335">
        <w:rPr>
          <w:rFonts w:ascii="Arial" w:hAnsi="Arial" w:cs="Arial"/>
          <w:sz w:val="24"/>
          <w:szCs w:val="24"/>
        </w:rPr>
        <w:lastRenderedPageBreak/>
        <w:t>scopul extinderii urbane, dezvoltării infrastructurii de transport, dezvoltării industriale, agricole, turistice.</w:t>
      </w:r>
    </w:p>
    <w:p w:rsidR="00737DE6" w:rsidRDefault="00737DE6" w:rsidP="00737DE6">
      <w:pPr>
        <w:spacing w:after="0" w:line="240" w:lineRule="auto"/>
        <w:ind w:firstLine="708"/>
        <w:jc w:val="both"/>
        <w:rPr>
          <w:rFonts w:ascii="Arial" w:hAnsi="Arial" w:cs="Arial"/>
          <w:i/>
          <w:iCs/>
          <w:sz w:val="24"/>
          <w:szCs w:val="24"/>
        </w:rPr>
      </w:pPr>
      <w:r w:rsidRPr="00315335">
        <w:rPr>
          <w:rFonts w:ascii="Arial" w:hAnsi="Arial" w:cs="Arial"/>
          <w:iCs/>
          <w:sz w:val="24"/>
          <w:szCs w:val="24"/>
        </w:rPr>
        <w:t>Datele privind schimbarea utilizării terenurilor agricole vor fi disponibile pe geo-portalul INSPIRE al României (http://geoportal.ancpi.ro/geoportal/catalog/main/home.page), coordonat de ANCPI conform Ordonanţei Guvernului nr. 4/2010 cu modificările şi completările ulterioare, ce a transpus în legislaţia naţională prevederile Directivei 2007/2/CE a Parlamentului European şi a Consiliului de instituire a unei infrastructuri pentru informaţii spaţiale în Comunitatea Europeană (INSPIRE). Agenţia Naţională de Cadastru şi Publicitate Imobiliară (ANCPI) în colaborare cu alte instituţii reponsabile pentru anumite teme de date spaţiale conforme cu INSPIRE - MMSC (acoperirea terenurilor), INS (repartizarea populaţiei demografice), MDRT (utilizarea terenurilor), MT (reţele de transport) - este responsabilă pentru realizarea seturilor de date spaţiale din România.</w:t>
      </w:r>
      <w:r w:rsidRPr="00315335">
        <w:rPr>
          <w:rFonts w:ascii="Arial" w:hAnsi="Arial" w:cs="Arial"/>
          <w:i/>
          <w:iCs/>
          <w:sz w:val="24"/>
          <w:szCs w:val="24"/>
        </w:rPr>
        <w:t xml:space="preserve"> </w:t>
      </w:r>
    </w:p>
    <w:p w:rsidR="00DF426D" w:rsidRPr="00315335" w:rsidRDefault="00DF426D" w:rsidP="00737DE6">
      <w:pPr>
        <w:spacing w:after="0" w:line="240" w:lineRule="auto"/>
        <w:ind w:firstLine="708"/>
        <w:jc w:val="both"/>
        <w:rPr>
          <w:rFonts w:ascii="Arial" w:hAnsi="Arial" w:cs="Arial"/>
          <w:b/>
          <w:i/>
          <w:sz w:val="24"/>
          <w:szCs w:val="24"/>
          <w:lang w:val="en-US"/>
        </w:rPr>
      </w:pPr>
    </w:p>
    <w:p w:rsidR="00737DE6" w:rsidRPr="00315335" w:rsidRDefault="00737DE6" w:rsidP="00737DE6">
      <w:pPr>
        <w:spacing w:after="0" w:line="240" w:lineRule="auto"/>
        <w:ind w:firstLine="708"/>
        <w:rPr>
          <w:rFonts w:ascii="Arial" w:hAnsi="Arial" w:cs="Arial"/>
          <w:b/>
          <w:sz w:val="24"/>
          <w:szCs w:val="24"/>
          <w:lang w:val="en-US"/>
        </w:rPr>
      </w:pPr>
      <w:r w:rsidRPr="00315335">
        <w:rPr>
          <w:rFonts w:ascii="Arial" w:hAnsi="Arial" w:cs="Arial"/>
          <w:b/>
          <w:i/>
          <w:sz w:val="24"/>
          <w:szCs w:val="24"/>
          <w:lang w:val="en-US"/>
        </w:rPr>
        <w:t>VI.2.3. Schimbările climatice</w:t>
      </w:r>
    </w:p>
    <w:p w:rsidR="00737DE6"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Evoluţia suprafeţei forestiere din judeţul Brăila parcurse de incendiile de pădure 2014-2018</w:t>
      </w:r>
    </w:p>
    <w:p w:rsidR="00DF426D" w:rsidRPr="00315335" w:rsidRDefault="00DF426D" w:rsidP="00737DE6">
      <w:pPr>
        <w:spacing w:after="0" w:line="240" w:lineRule="auto"/>
        <w:rPr>
          <w:rFonts w:ascii="Arial" w:hAnsi="Arial" w:cs="Arial"/>
          <w:sz w:val="24"/>
          <w:szCs w:val="24"/>
          <w:lang w:val="en-US"/>
        </w:rPr>
      </w:pP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Tabelul nr.</w:t>
      </w:r>
      <w:r w:rsidRPr="00315335">
        <w:rPr>
          <w:rFonts w:ascii="Arial" w:hAnsi="Arial" w:cs="Arial"/>
          <w:b/>
          <w:sz w:val="24"/>
          <w:szCs w:val="24"/>
          <w:lang w:val="en-US"/>
        </w:rPr>
        <w:t xml:space="preserve"> VI.2.3. -1 </w:t>
      </w:r>
      <w:r w:rsidRPr="00315335">
        <w:rPr>
          <w:rFonts w:ascii="Arial" w:hAnsi="Arial" w:cs="Arial"/>
          <w:sz w:val="24"/>
          <w:szCs w:val="24"/>
          <w:lang w:val="en-US"/>
        </w:rPr>
        <w:t xml:space="preserve"> Evoluția suprafețelor parcurse cu incendii de pădure în anii 2014-2018</w:t>
      </w:r>
    </w:p>
    <w:tbl>
      <w:tblPr>
        <w:tblStyle w:val="Tabelgril"/>
        <w:tblW w:w="0" w:type="auto"/>
        <w:jc w:val="center"/>
        <w:shd w:val="clear" w:color="auto" w:fill="E5DFEC" w:themeFill="accent4" w:themeFillTint="33"/>
        <w:tblLook w:val="04A0" w:firstRow="1" w:lastRow="0" w:firstColumn="1" w:lastColumn="0" w:noHBand="0" w:noVBand="1"/>
      </w:tblPr>
      <w:tblGrid>
        <w:gridCol w:w="4644"/>
        <w:gridCol w:w="928"/>
        <w:gridCol w:w="929"/>
        <w:gridCol w:w="929"/>
        <w:gridCol w:w="929"/>
        <w:gridCol w:w="929"/>
      </w:tblGrid>
      <w:tr w:rsidR="00315335" w:rsidRPr="00315335" w:rsidTr="00916B06">
        <w:trPr>
          <w:jc w:val="center"/>
        </w:trPr>
        <w:tc>
          <w:tcPr>
            <w:tcW w:w="4644" w:type="dxa"/>
            <w:shd w:val="clear" w:color="auto" w:fill="E5DFEC" w:themeFill="accent4" w:themeFillTint="33"/>
          </w:tcPr>
          <w:p w:rsidR="00737DE6" w:rsidRPr="00315335" w:rsidRDefault="00737DE6" w:rsidP="00916B06">
            <w:pPr>
              <w:rPr>
                <w:rFonts w:ascii="Arial" w:hAnsi="Arial" w:cs="Arial"/>
                <w:sz w:val="24"/>
                <w:szCs w:val="24"/>
              </w:rPr>
            </w:pPr>
          </w:p>
        </w:tc>
        <w:tc>
          <w:tcPr>
            <w:tcW w:w="928"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2014</w:t>
            </w:r>
          </w:p>
        </w:tc>
        <w:tc>
          <w:tcPr>
            <w:tcW w:w="929"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2015</w:t>
            </w:r>
          </w:p>
        </w:tc>
        <w:tc>
          <w:tcPr>
            <w:tcW w:w="929"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2016</w:t>
            </w:r>
          </w:p>
        </w:tc>
        <w:tc>
          <w:tcPr>
            <w:tcW w:w="929"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2017</w:t>
            </w:r>
          </w:p>
        </w:tc>
        <w:tc>
          <w:tcPr>
            <w:tcW w:w="929" w:type="dxa"/>
            <w:shd w:val="clear" w:color="auto" w:fill="E5DFEC" w:themeFill="accent4" w:themeFillTint="33"/>
          </w:tcPr>
          <w:p w:rsidR="00737DE6" w:rsidRPr="00315335" w:rsidRDefault="00737DE6" w:rsidP="00916B06">
            <w:pPr>
              <w:rPr>
                <w:rFonts w:ascii="Arial" w:hAnsi="Arial" w:cs="Arial"/>
                <w:b/>
                <w:sz w:val="24"/>
                <w:szCs w:val="24"/>
              </w:rPr>
            </w:pPr>
            <w:r w:rsidRPr="00315335">
              <w:rPr>
                <w:rFonts w:ascii="Arial" w:hAnsi="Arial" w:cs="Arial"/>
                <w:b/>
                <w:sz w:val="24"/>
                <w:szCs w:val="24"/>
              </w:rPr>
              <w:t>2018</w:t>
            </w:r>
          </w:p>
        </w:tc>
      </w:tr>
      <w:tr w:rsidR="00315335" w:rsidRPr="00315335" w:rsidTr="00916B06">
        <w:trPr>
          <w:jc w:val="center"/>
        </w:trPr>
        <w:tc>
          <w:tcPr>
            <w:tcW w:w="4644" w:type="dxa"/>
            <w:shd w:val="clear" w:color="auto" w:fill="E5DFEC" w:themeFill="accent4" w:themeFillTint="33"/>
          </w:tcPr>
          <w:p w:rsidR="00737DE6" w:rsidRPr="00315335" w:rsidRDefault="00737DE6" w:rsidP="00916B06">
            <w:pPr>
              <w:rPr>
                <w:rFonts w:ascii="Arial" w:hAnsi="Arial" w:cs="Arial"/>
                <w:sz w:val="24"/>
                <w:szCs w:val="24"/>
              </w:rPr>
            </w:pPr>
            <w:r w:rsidRPr="00315335">
              <w:rPr>
                <w:rFonts w:ascii="Arial" w:hAnsi="Arial" w:cs="Arial"/>
                <w:sz w:val="24"/>
                <w:szCs w:val="24"/>
              </w:rPr>
              <w:t>Suprafaţa forestieră afectată (ha)</w:t>
            </w:r>
          </w:p>
        </w:tc>
        <w:tc>
          <w:tcPr>
            <w:tcW w:w="928" w:type="dxa"/>
            <w:shd w:val="clear" w:color="auto" w:fill="E5DFEC" w:themeFill="accent4" w:themeFillTint="33"/>
          </w:tcPr>
          <w:p w:rsidR="00737DE6" w:rsidRPr="00315335" w:rsidRDefault="00737DE6" w:rsidP="00916B06">
            <w:pPr>
              <w:tabs>
                <w:tab w:val="left" w:pos="1890"/>
              </w:tabs>
              <w:jc w:val="center"/>
              <w:rPr>
                <w:rFonts w:ascii="Arial" w:eastAsia="Calibri" w:hAnsi="Arial" w:cs="Arial"/>
                <w:sz w:val="24"/>
                <w:szCs w:val="24"/>
              </w:rPr>
            </w:pPr>
            <w:r w:rsidRPr="00315335">
              <w:rPr>
                <w:rFonts w:ascii="Arial" w:hAnsi="Arial" w:cs="Arial"/>
                <w:sz w:val="24"/>
                <w:szCs w:val="24"/>
              </w:rPr>
              <w:t>2,2</w:t>
            </w:r>
          </w:p>
        </w:tc>
        <w:tc>
          <w:tcPr>
            <w:tcW w:w="929" w:type="dxa"/>
            <w:shd w:val="clear" w:color="auto" w:fill="E5DFEC" w:themeFill="accent4" w:themeFillTint="33"/>
          </w:tcPr>
          <w:p w:rsidR="00737DE6" w:rsidRPr="00315335" w:rsidRDefault="00737DE6" w:rsidP="00916B06">
            <w:pPr>
              <w:tabs>
                <w:tab w:val="left" w:pos="1890"/>
              </w:tabs>
              <w:jc w:val="center"/>
              <w:rPr>
                <w:rFonts w:ascii="Arial" w:eastAsia="Calibri" w:hAnsi="Arial" w:cs="Arial"/>
                <w:sz w:val="24"/>
                <w:szCs w:val="24"/>
              </w:rPr>
            </w:pPr>
            <w:r w:rsidRPr="00315335">
              <w:rPr>
                <w:rFonts w:ascii="Arial" w:eastAsia="Calibri" w:hAnsi="Arial" w:cs="Arial"/>
                <w:sz w:val="24"/>
                <w:szCs w:val="24"/>
              </w:rPr>
              <w:t>0,2</w:t>
            </w:r>
          </w:p>
        </w:tc>
        <w:tc>
          <w:tcPr>
            <w:tcW w:w="929" w:type="dxa"/>
            <w:shd w:val="clear" w:color="auto" w:fill="E5DFEC" w:themeFill="accent4" w:themeFillTint="33"/>
          </w:tcPr>
          <w:p w:rsidR="00737DE6" w:rsidRPr="00315335" w:rsidRDefault="00737DE6" w:rsidP="00916B06">
            <w:pPr>
              <w:tabs>
                <w:tab w:val="left" w:pos="1890"/>
              </w:tabs>
              <w:jc w:val="center"/>
              <w:rPr>
                <w:rFonts w:ascii="Arial" w:eastAsia="Calibri" w:hAnsi="Arial" w:cs="Arial"/>
                <w:sz w:val="24"/>
                <w:szCs w:val="24"/>
              </w:rPr>
            </w:pPr>
            <w:r w:rsidRPr="00315335">
              <w:rPr>
                <w:rFonts w:ascii="Arial" w:eastAsia="Calibri" w:hAnsi="Arial" w:cs="Arial"/>
                <w:sz w:val="24"/>
                <w:szCs w:val="24"/>
              </w:rPr>
              <w:t>0,0</w:t>
            </w:r>
          </w:p>
        </w:tc>
        <w:tc>
          <w:tcPr>
            <w:tcW w:w="929" w:type="dxa"/>
            <w:shd w:val="clear" w:color="auto" w:fill="E5DFEC" w:themeFill="accent4" w:themeFillTint="33"/>
          </w:tcPr>
          <w:p w:rsidR="00737DE6" w:rsidRPr="00315335" w:rsidRDefault="00737DE6" w:rsidP="00916B06">
            <w:pPr>
              <w:tabs>
                <w:tab w:val="left" w:pos="1890"/>
              </w:tabs>
              <w:jc w:val="center"/>
              <w:rPr>
                <w:rFonts w:ascii="Arial" w:eastAsia="Calibri" w:hAnsi="Arial" w:cs="Arial"/>
                <w:sz w:val="24"/>
                <w:szCs w:val="24"/>
              </w:rPr>
            </w:pPr>
            <w:r w:rsidRPr="00315335">
              <w:rPr>
                <w:rFonts w:ascii="Arial" w:eastAsia="Calibri" w:hAnsi="Arial" w:cs="Arial"/>
                <w:sz w:val="24"/>
                <w:szCs w:val="24"/>
              </w:rPr>
              <w:t>0,0</w:t>
            </w:r>
          </w:p>
        </w:tc>
        <w:tc>
          <w:tcPr>
            <w:tcW w:w="929" w:type="dxa"/>
            <w:shd w:val="clear" w:color="auto" w:fill="E5DFEC" w:themeFill="accent4" w:themeFillTint="33"/>
          </w:tcPr>
          <w:p w:rsidR="00737DE6" w:rsidRPr="00315335" w:rsidRDefault="00737DE6" w:rsidP="00916B06">
            <w:pPr>
              <w:tabs>
                <w:tab w:val="left" w:pos="1890"/>
              </w:tabs>
              <w:jc w:val="center"/>
              <w:rPr>
                <w:rFonts w:ascii="Arial" w:eastAsia="Calibri" w:hAnsi="Arial" w:cs="Arial"/>
                <w:sz w:val="24"/>
                <w:szCs w:val="24"/>
              </w:rPr>
            </w:pPr>
            <w:r w:rsidRPr="00315335">
              <w:rPr>
                <w:rFonts w:ascii="Arial" w:eastAsia="Calibri" w:hAnsi="Arial" w:cs="Arial"/>
                <w:sz w:val="24"/>
                <w:szCs w:val="24"/>
              </w:rPr>
              <w:t>2,5</w:t>
            </w:r>
          </w:p>
        </w:tc>
      </w:tr>
    </w:tbl>
    <w:p w:rsidR="00737DE6" w:rsidRPr="00315335" w:rsidRDefault="00737DE6" w:rsidP="00737DE6">
      <w:pPr>
        <w:spacing w:after="0" w:line="240" w:lineRule="auto"/>
        <w:rPr>
          <w:rFonts w:ascii="Arial" w:hAnsi="Arial" w:cs="Arial"/>
          <w:sz w:val="24"/>
          <w:szCs w:val="24"/>
          <w:lang w:val="en-US"/>
        </w:rPr>
      </w:pPr>
    </w:p>
    <w:p w:rsidR="00737DE6" w:rsidRPr="00315335" w:rsidRDefault="00737DE6" w:rsidP="00737DE6">
      <w:pPr>
        <w:spacing w:after="0" w:line="240" w:lineRule="auto"/>
        <w:jc w:val="center"/>
        <w:rPr>
          <w:rFonts w:ascii="Arial" w:hAnsi="Arial" w:cs="Arial"/>
          <w:sz w:val="24"/>
          <w:szCs w:val="24"/>
          <w:lang w:val="en-US"/>
        </w:rPr>
      </w:pPr>
      <w:r w:rsidRPr="00315335">
        <w:rPr>
          <w:rFonts w:ascii="Arial" w:hAnsi="Arial" w:cs="Arial"/>
          <w:noProof/>
          <w:sz w:val="24"/>
          <w:szCs w:val="24"/>
        </w:rPr>
        <w:drawing>
          <wp:inline distT="0" distB="0" distL="0" distR="0" wp14:anchorId="525FCC1E" wp14:editId="40267137">
            <wp:extent cx="4038600" cy="2238375"/>
            <wp:effectExtent l="0" t="0" r="0" b="9525"/>
            <wp:docPr id="24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 xml:space="preserve">Figura nr. </w:t>
      </w:r>
      <w:r w:rsidRPr="00315335">
        <w:rPr>
          <w:rFonts w:ascii="Arial" w:hAnsi="Arial" w:cs="Arial"/>
          <w:b/>
          <w:sz w:val="24"/>
          <w:szCs w:val="24"/>
          <w:lang w:val="en-US"/>
        </w:rPr>
        <w:t xml:space="preserve">VI.2.3. – 1 </w:t>
      </w:r>
      <w:r w:rsidRPr="00315335">
        <w:rPr>
          <w:rFonts w:ascii="Arial" w:hAnsi="Arial" w:cs="Arial"/>
          <w:sz w:val="24"/>
          <w:szCs w:val="24"/>
          <w:lang w:val="en-US"/>
        </w:rPr>
        <w:t>Evoluţia suprafeţei forestiere parcurse de incendiile de pădure 2014-2018</w:t>
      </w:r>
    </w:p>
    <w:p w:rsidR="00737DE6" w:rsidRPr="00315335" w:rsidRDefault="00737DE6" w:rsidP="00737DE6">
      <w:pPr>
        <w:tabs>
          <w:tab w:val="left" w:pos="1204"/>
          <w:tab w:val="left" w:leader="dot" w:pos="9356"/>
        </w:tabs>
        <w:spacing w:after="0" w:line="240" w:lineRule="auto"/>
        <w:ind w:left="426"/>
        <w:jc w:val="both"/>
        <w:rPr>
          <w:rFonts w:ascii="Arial" w:hAnsi="Arial" w:cs="Arial"/>
          <w:b/>
          <w:sz w:val="24"/>
          <w:szCs w:val="24"/>
        </w:rPr>
      </w:pPr>
    </w:p>
    <w:p w:rsidR="00DF426D" w:rsidRDefault="00DF426D" w:rsidP="00737DE6">
      <w:pPr>
        <w:spacing w:after="0" w:line="240" w:lineRule="auto"/>
        <w:jc w:val="both"/>
        <w:rPr>
          <w:rFonts w:ascii="Arial" w:hAnsi="Arial" w:cs="Arial"/>
          <w:b/>
          <w:sz w:val="24"/>
          <w:szCs w:val="24"/>
        </w:rPr>
      </w:pPr>
    </w:p>
    <w:p w:rsidR="00737DE6" w:rsidRPr="00315335" w:rsidRDefault="00737DE6" w:rsidP="00737DE6">
      <w:pPr>
        <w:spacing w:after="0" w:line="240" w:lineRule="auto"/>
        <w:jc w:val="both"/>
        <w:rPr>
          <w:rFonts w:ascii="Arial" w:hAnsi="Arial" w:cs="Arial"/>
          <w:sz w:val="24"/>
          <w:szCs w:val="24"/>
        </w:rPr>
      </w:pPr>
      <w:r w:rsidRPr="00315335">
        <w:rPr>
          <w:rFonts w:ascii="Arial" w:hAnsi="Arial" w:cs="Arial"/>
          <w:b/>
          <w:sz w:val="24"/>
          <w:szCs w:val="24"/>
        </w:rPr>
        <w:t>VII. RESURSELE MATERIALE ȘI DEȘEURILE</w:t>
      </w:r>
    </w:p>
    <w:p w:rsidR="00737DE6" w:rsidRPr="00315335" w:rsidRDefault="00737DE6" w:rsidP="00737DE6">
      <w:pPr>
        <w:spacing w:after="0" w:line="240" w:lineRule="auto"/>
        <w:jc w:val="both"/>
        <w:rPr>
          <w:rFonts w:ascii="Arial" w:hAnsi="Arial" w:cs="Arial"/>
          <w:b/>
          <w:sz w:val="24"/>
          <w:szCs w:val="24"/>
        </w:rPr>
      </w:pPr>
      <w:r w:rsidRPr="00315335">
        <w:rPr>
          <w:rFonts w:ascii="Arial" w:hAnsi="Arial" w:cs="Arial"/>
          <w:sz w:val="24"/>
          <w:szCs w:val="24"/>
        </w:rPr>
        <w:t xml:space="preserve">    </w:t>
      </w:r>
      <w:r w:rsidRPr="00315335">
        <w:rPr>
          <w:rFonts w:ascii="Arial" w:hAnsi="Arial" w:cs="Arial"/>
          <w:b/>
          <w:sz w:val="24"/>
          <w:szCs w:val="24"/>
        </w:rPr>
        <w:t>VII.1. Generarea şi gestionarea deşeurilor: tendinţe, impacturi şi prognoze</w:t>
      </w:r>
    </w:p>
    <w:p w:rsidR="00737DE6" w:rsidRPr="00315335" w:rsidRDefault="00737DE6" w:rsidP="00737DE6">
      <w:pPr>
        <w:tabs>
          <w:tab w:val="left" w:pos="9000"/>
        </w:tabs>
        <w:spacing w:after="0" w:line="240" w:lineRule="auto"/>
        <w:jc w:val="both"/>
        <w:outlineLvl w:val="0"/>
        <w:rPr>
          <w:rFonts w:ascii="Arial" w:hAnsi="Arial" w:cs="Arial"/>
          <w:b/>
          <w:bCs/>
          <w:sz w:val="24"/>
          <w:szCs w:val="24"/>
        </w:rPr>
      </w:pPr>
      <w:r w:rsidRPr="00315335">
        <w:rPr>
          <w:rFonts w:ascii="Arial" w:hAnsi="Arial" w:cs="Arial"/>
          <w:b/>
          <w:bCs/>
          <w:sz w:val="24"/>
          <w:szCs w:val="24"/>
        </w:rPr>
        <w:t>Date generale</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lang w:val="en-US"/>
        </w:rPr>
        <w:t xml:space="preserve">Deşeurile reprezintă una din problemele cele mai acute legate de protecţia mediului. </w:t>
      </w:r>
      <w:r w:rsidRPr="00315335">
        <w:rPr>
          <w:rFonts w:ascii="Arial" w:hAnsi="Arial" w:cs="Arial"/>
          <w:sz w:val="24"/>
          <w:szCs w:val="24"/>
        </w:rPr>
        <w:t>Generarea deşeurilor urmează, de obicei, tendinţele de consum şi de producţie, generarea deşeurilor menajere (cantitate/locuitor) a crescut odată cu creşterea nivelului de trai. Aproximativ jumătate din volumul ocupat de deşeuri este format din ambalaje.</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Gestionarea deşeurilor cuprinde toate activităţile de colectare, transport, tratare, valorificare şi eliminare a deşeurilor, inclusiv supravegherea acestor operaţii şi îngrijirea zonelor de depozitare după închiderea acestora. </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De la 1 ianuarie 2014 a intrat în vigoare Strategia Națională de Gestionare a Deșeurilor 2014-2020, document ce a fost aprobat prin HG 870/2013. Care asigură cadrul naţional de planificare necesar pentru dezvoltarea şi implementarea unui management integrat/durabil al deşeurilor pentru toate tipurile de deșeuri reglementate prin Legea 211/2011 privind regimul deșeurilor, republicată cu modificările ulterioare, respectiv:</w:t>
      </w:r>
    </w:p>
    <w:p w:rsidR="00737DE6" w:rsidRPr="00315335" w:rsidRDefault="00737DE6" w:rsidP="00737DE6">
      <w:pPr>
        <w:autoSpaceDE w:val="0"/>
        <w:autoSpaceDN w:val="0"/>
        <w:adjustRightInd w:val="0"/>
        <w:spacing w:after="0" w:line="240" w:lineRule="auto"/>
        <w:ind w:firstLine="708"/>
        <w:jc w:val="both"/>
        <w:rPr>
          <w:rFonts w:ascii="Arial" w:hAnsi="Arial" w:cs="Arial"/>
          <w:b/>
          <w:bCs/>
          <w:sz w:val="24"/>
          <w:szCs w:val="24"/>
        </w:rPr>
      </w:pPr>
      <w:r w:rsidRPr="00315335">
        <w:rPr>
          <w:rFonts w:ascii="Arial" w:hAnsi="Arial" w:cs="Arial"/>
          <w:bCs/>
          <w:sz w:val="24"/>
          <w:szCs w:val="24"/>
        </w:rPr>
        <w:t xml:space="preserve">- </w:t>
      </w:r>
      <w:r w:rsidRPr="00315335">
        <w:rPr>
          <w:rFonts w:ascii="Arial" w:hAnsi="Arial" w:cs="Arial"/>
          <w:sz w:val="24"/>
          <w:szCs w:val="24"/>
          <w:lang w:val="en-US"/>
        </w:rPr>
        <w:t>deşeuri municipale – deșeuri amestecate şi deşeuri colectate separat de la gospodării şi din alte surse, similare ca natură şi compoziţie cu deşeurile menajere</w:t>
      </w:r>
      <w:r w:rsidRPr="00315335">
        <w:rPr>
          <w:rFonts w:ascii="Arial" w:hAnsi="Arial" w:cs="Arial"/>
          <w:bCs/>
          <w:sz w:val="24"/>
          <w:szCs w:val="24"/>
        </w:rPr>
        <w:t xml:space="preserve"> (din comerţ, industrie, instituţii)</w:t>
      </w:r>
    </w:p>
    <w:p w:rsidR="00737DE6" w:rsidRPr="00315335" w:rsidRDefault="00737DE6" w:rsidP="00737DE6">
      <w:pPr>
        <w:autoSpaceDE w:val="0"/>
        <w:autoSpaceDN w:val="0"/>
        <w:adjustRightInd w:val="0"/>
        <w:spacing w:after="0" w:line="240" w:lineRule="auto"/>
        <w:ind w:firstLine="708"/>
        <w:jc w:val="both"/>
        <w:rPr>
          <w:rFonts w:ascii="Arial" w:hAnsi="Arial" w:cs="Arial"/>
          <w:b/>
          <w:bCs/>
          <w:sz w:val="24"/>
          <w:szCs w:val="24"/>
        </w:rPr>
      </w:pPr>
      <w:r w:rsidRPr="00315335">
        <w:rPr>
          <w:rFonts w:ascii="Arial" w:hAnsi="Arial" w:cs="Arial"/>
          <w:bCs/>
          <w:sz w:val="24"/>
          <w:szCs w:val="24"/>
        </w:rPr>
        <w:t xml:space="preserve">- fluxuri speciale de deșeuri: biodeşeuri, deşeuri de ambalaje, deşeuri din construcţii şi demolări, vehicule scoase din uz, deşeuri de echipamente electrice şi electronice, deșeuri de </w:t>
      </w:r>
      <w:r w:rsidRPr="00315335">
        <w:rPr>
          <w:rFonts w:ascii="Arial" w:hAnsi="Arial" w:cs="Arial"/>
          <w:bCs/>
          <w:sz w:val="24"/>
          <w:szCs w:val="24"/>
        </w:rPr>
        <w:lastRenderedPageBreak/>
        <w:t>baterii şi acumulatori uzaţi, uleiuri uzate, anvelope uzate, deşeuri cu conţinut de PCB/PCT, deşeuri cu conţinut de azbest, deşeuri rezultate din activităţi medicale şi activităţi conexe.</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Există o ierarhie a opţiunilor de gestionare a deşeurilor care se aplică ca ordine de prioritate în cadrul legislaţiei şi politicii de prevenire a generării şi de gestionare a deşeurilor:</w:t>
      </w:r>
    </w:p>
    <w:bookmarkStart w:id="1" w:name="do|ca4|ar4|al1|lia"/>
    <w:p w:rsidR="00737DE6" w:rsidRPr="00315335" w:rsidRDefault="00737DE6" w:rsidP="0010044C">
      <w:pPr>
        <w:pStyle w:val="Listparagraf"/>
        <w:numPr>
          <w:ilvl w:val="0"/>
          <w:numId w:val="69"/>
        </w:numPr>
        <w:jc w:val="both"/>
        <w:rPr>
          <w:rFonts w:ascii="Arial" w:hAnsi="Arial" w:cs="Arial"/>
          <w:b/>
        </w:rPr>
      </w:pPr>
      <w:r w:rsidRPr="00315335">
        <w:rPr>
          <w:rFonts w:ascii="Arial" w:hAnsi="Arial" w:cs="Arial"/>
          <w:b/>
        </w:rPr>
        <w:fldChar w:fldCharType="begin"/>
      </w:r>
      <w:r w:rsidRPr="00315335">
        <w:rPr>
          <w:rFonts w:ascii="Arial" w:hAnsi="Arial" w:cs="Arial"/>
        </w:rPr>
        <w:instrText xml:space="preserve"> HYPERLINK "file:///C:\\Documents%20and%20Settings\\Administrator\\Sintact%202.0\\cache\\Legislatie\\temp\\00144158.HTM" \l "#" </w:instrText>
      </w:r>
      <w:r w:rsidRPr="00315335">
        <w:rPr>
          <w:rFonts w:ascii="Arial" w:hAnsi="Arial" w:cs="Arial"/>
          <w:b/>
        </w:rPr>
        <w:fldChar w:fldCharType="end"/>
      </w:r>
      <w:bookmarkEnd w:id="1"/>
      <w:r w:rsidRPr="00315335">
        <w:rPr>
          <w:rFonts w:ascii="Arial" w:hAnsi="Arial" w:cs="Arial"/>
        </w:rPr>
        <w:t>prevenirea ( minimizarea cantităţilor generate);</w:t>
      </w:r>
    </w:p>
    <w:bookmarkStart w:id="2" w:name="do|ca4|ar4|al1|lib"/>
    <w:p w:rsidR="00737DE6" w:rsidRPr="00315335" w:rsidRDefault="00737DE6" w:rsidP="0010044C">
      <w:pPr>
        <w:pStyle w:val="Listparagraf"/>
        <w:numPr>
          <w:ilvl w:val="0"/>
          <w:numId w:val="69"/>
        </w:numPr>
        <w:jc w:val="both"/>
        <w:rPr>
          <w:rFonts w:ascii="Arial" w:hAnsi="Arial" w:cs="Arial"/>
          <w:b/>
        </w:rPr>
      </w:pPr>
      <w:r w:rsidRPr="00315335">
        <w:rPr>
          <w:rFonts w:ascii="Arial" w:hAnsi="Arial" w:cs="Arial"/>
          <w:b/>
        </w:rPr>
        <w:fldChar w:fldCharType="begin"/>
      </w:r>
      <w:r w:rsidRPr="00315335">
        <w:rPr>
          <w:rFonts w:ascii="Arial" w:hAnsi="Arial" w:cs="Arial"/>
        </w:rPr>
        <w:instrText xml:space="preserve"> HYPERLINK "file:///C:\\Documents%20and%20Settings\\Administrator\\Sintact%202.0\\cache\\Legislatie\\temp\\00144158.HTM" \l "#" </w:instrText>
      </w:r>
      <w:r w:rsidRPr="00315335">
        <w:rPr>
          <w:rFonts w:ascii="Arial" w:hAnsi="Arial" w:cs="Arial"/>
          <w:b/>
        </w:rPr>
        <w:fldChar w:fldCharType="end"/>
      </w:r>
      <w:bookmarkEnd w:id="2"/>
      <w:r w:rsidRPr="00315335">
        <w:rPr>
          <w:rFonts w:ascii="Arial" w:hAnsi="Arial" w:cs="Arial"/>
        </w:rPr>
        <w:t>pregătirea pentru reutilizare;</w:t>
      </w:r>
    </w:p>
    <w:bookmarkStart w:id="3" w:name="do|ca4|ar4|al1|lic"/>
    <w:p w:rsidR="00737DE6" w:rsidRPr="00315335" w:rsidRDefault="00737DE6" w:rsidP="0010044C">
      <w:pPr>
        <w:pStyle w:val="Listparagraf"/>
        <w:numPr>
          <w:ilvl w:val="0"/>
          <w:numId w:val="69"/>
        </w:numPr>
        <w:rPr>
          <w:rFonts w:ascii="Arial" w:hAnsi="Arial" w:cs="Arial"/>
          <w:b/>
        </w:rPr>
      </w:pPr>
      <w:r w:rsidRPr="00315335">
        <w:rPr>
          <w:rFonts w:ascii="Arial" w:hAnsi="Arial" w:cs="Arial"/>
          <w:b/>
        </w:rPr>
        <w:fldChar w:fldCharType="begin"/>
      </w:r>
      <w:r w:rsidRPr="00315335">
        <w:rPr>
          <w:rFonts w:ascii="Arial" w:hAnsi="Arial" w:cs="Arial"/>
        </w:rPr>
        <w:instrText xml:space="preserve"> HYPERLINK "file:///C:\\Documents%20and%20Settings\\Administrator\\Sintact%202.0\\cache\\Legislatie\\temp\\00144158.HTM" \l "#" </w:instrText>
      </w:r>
      <w:r w:rsidRPr="00315335">
        <w:rPr>
          <w:rFonts w:ascii="Arial" w:hAnsi="Arial" w:cs="Arial"/>
          <w:b/>
        </w:rPr>
        <w:fldChar w:fldCharType="end"/>
      </w:r>
      <w:bookmarkEnd w:id="3"/>
      <w:r w:rsidRPr="00315335">
        <w:rPr>
          <w:rFonts w:ascii="Arial" w:hAnsi="Arial" w:cs="Arial"/>
        </w:rPr>
        <w:t>reciclarea;</w:t>
      </w:r>
    </w:p>
    <w:bookmarkStart w:id="4" w:name="do|ca4|ar4|al1|lid"/>
    <w:p w:rsidR="00737DE6" w:rsidRPr="00315335" w:rsidRDefault="00737DE6" w:rsidP="0010044C">
      <w:pPr>
        <w:pStyle w:val="Listparagraf"/>
        <w:numPr>
          <w:ilvl w:val="0"/>
          <w:numId w:val="69"/>
        </w:numPr>
        <w:rPr>
          <w:rFonts w:ascii="Arial" w:hAnsi="Arial" w:cs="Arial"/>
          <w:b/>
        </w:rPr>
      </w:pPr>
      <w:r w:rsidRPr="00315335">
        <w:rPr>
          <w:rFonts w:ascii="Arial" w:hAnsi="Arial" w:cs="Arial"/>
          <w:b/>
        </w:rPr>
        <w:fldChar w:fldCharType="begin"/>
      </w:r>
      <w:r w:rsidRPr="00315335">
        <w:rPr>
          <w:rFonts w:ascii="Arial" w:hAnsi="Arial" w:cs="Arial"/>
        </w:rPr>
        <w:instrText xml:space="preserve"> HYPERLINK "file:///C:\\Documents%20and%20Settings\\Administrator\\Sintact%202.0\\cache\\Legislatie\\temp\\00144158.HTM" \l "#" </w:instrText>
      </w:r>
      <w:r w:rsidRPr="00315335">
        <w:rPr>
          <w:rFonts w:ascii="Arial" w:hAnsi="Arial" w:cs="Arial"/>
          <w:b/>
        </w:rPr>
        <w:fldChar w:fldCharType="end"/>
      </w:r>
      <w:bookmarkEnd w:id="4"/>
      <w:r w:rsidRPr="00315335">
        <w:rPr>
          <w:rFonts w:ascii="Arial" w:hAnsi="Arial" w:cs="Arial"/>
        </w:rPr>
        <w:t>alte operaţiuni de valorificare, de exemplu valorificarea energetică;</w:t>
      </w:r>
    </w:p>
    <w:bookmarkStart w:id="5" w:name="do|ca4|ar4|al1|lie"/>
    <w:p w:rsidR="00737DE6" w:rsidRPr="00315335" w:rsidRDefault="00737DE6" w:rsidP="0010044C">
      <w:pPr>
        <w:pStyle w:val="Listparagraf"/>
        <w:numPr>
          <w:ilvl w:val="0"/>
          <w:numId w:val="69"/>
        </w:numPr>
        <w:rPr>
          <w:rFonts w:ascii="Arial" w:hAnsi="Arial" w:cs="Arial"/>
          <w:b/>
        </w:rPr>
      </w:pPr>
      <w:r w:rsidRPr="00315335">
        <w:rPr>
          <w:rFonts w:ascii="Arial" w:hAnsi="Arial" w:cs="Arial"/>
          <w:b/>
        </w:rPr>
        <w:fldChar w:fldCharType="begin"/>
      </w:r>
      <w:r w:rsidRPr="00315335">
        <w:rPr>
          <w:rFonts w:ascii="Arial" w:hAnsi="Arial" w:cs="Arial"/>
        </w:rPr>
        <w:instrText xml:space="preserve"> HYPERLINK "file:///C:\\Documents%20and%20Settings\\Administrator\\Sintact%202.0\\cache\\Legislatie\\temp\\00144158.HTM" \l "#" </w:instrText>
      </w:r>
      <w:r w:rsidRPr="00315335">
        <w:rPr>
          <w:rFonts w:ascii="Arial" w:hAnsi="Arial" w:cs="Arial"/>
          <w:b/>
        </w:rPr>
        <w:fldChar w:fldCharType="end"/>
      </w:r>
      <w:bookmarkEnd w:id="5"/>
      <w:r w:rsidRPr="00315335">
        <w:rPr>
          <w:rFonts w:ascii="Arial" w:hAnsi="Arial" w:cs="Arial"/>
        </w:rPr>
        <w:t>eliminarea (depozitarea).</w:t>
      </w:r>
    </w:p>
    <w:p w:rsidR="00737DE6" w:rsidRPr="00315335" w:rsidRDefault="00737DE6" w:rsidP="00737DE6">
      <w:pPr>
        <w:autoSpaceDE w:val="0"/>
        <w:autoSpaceDN w:val="0"/>
        <w:adjustRightInd w:val="0"/>
        <w:spacing w:after="0" w:line="240" w:lineRule="auto"/>
        <w:jc w:val="both"/>
        <w:rPr>
          <w:rFonts w:ascii="Arial" w:hAnsi="Arial" w:cs="Arial"/>
          <w:sz w:val="24"/>
          <w:szCs w:val="24"/>
          <w:lang w:val="it-IT"/>
        </w:rPr>
      </w:pP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lang w:val="it-IT"/>
        </w:rPr>
      </w:pPr>
      <w:r w:rsidRPr="00315335">
        <w:rPr>
          <w:rFonts w:ascii="Arial" w:hAnsi="Arial" w:cs="Arial"/>
          <w:sz w:val="24"/>
          <w:szCs w:val="24"/>
          <w:lang w:val="it-IT"/>
        </w:rPr>
        <w:t xml:space="preserve">Responsabilitatea pentru activităţile de gestionare a deşeurilor revine: </w:t>
      </w:r>
    </w:p>
    <w:p w:rsidR="00737DE6" w:rsidRPr="00315335" w:rsidRDefault="00737DE6" w:rsidP="0010044C">
      <w:pPr>
        <w:pStyle w:val="Listparagraf"/>
        <w:numPr>
          <w:ilvl w:val="0"/>
          <w:numId w:val="70"/>
        </w:numPr>
        <w:jc w:val="both"/>
        <w:rPr>
          <w:rFonts w:ascii="Arial" w:hAnsi="Arial" w:cs="Arial"/>
          <w:b/>
        </w:rPr>
      </w:pPr>
      <w:r w:rsidRPr="00315335">
        <w:rPr>
          <w:rFonts w:ascii="Arial" w:hAnsi="Arial" w:cs="Arial"/>
        </w:rPr>
        <w:t>generatorilor acestora în conformitate cu principiul “poluatorul plăteşte” și</w:t>
      </w:r>
    </w:p>
    <w:p w:rsidR="00737DE6" w:rsidRPr="00315335" w:rsidRDefault="00737DE6" w:rsidP="0010044C">
      <w:pPr>
        <w:pStyle w:val="Listparagraf"/>
        <w:numPr>
          <w:ilvl w:val="0"/>
          <w:numId w:val="70"/>
        </w:numPr>
        <w:jc w:val="both"/>
        <w:rPr>
          <w:rFonts w:ascii="Arial" w:hAnsi="Arial" w:cs="Arial"/>
          <w:b/>
        </w:rPr>
      </w:pPr>
      <w:r w:rsidRPr="00315335">
        <w:rPr>
          <w:rFonts w:ascii="Arial" w:hAnsi="Arial" w:cs="Arial"/>
        </w:rPr>
        <w:t>producătorilor, în conformitate cu principiul “responsabilitatea producătorului”.</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În vederea realizării raportărilor statistice către comisia statistică a Uniunii Europene EUROSTAT, privind gestionarea deșeurilor, începând cu anul 2005, Agenţia Naţională pentru Protecţia Mediului a implementat o bază de date națională privind generarea și gestionarea deșeurilor în cadrul Sistemului Integrat de Mediu, componenta Statistica deșeurilor. Colectarea datelor se realizează prin 5 tipuri de chestionare care trebuie completate de operatorii economici, astfel:</w:t>
      </w:r>
    </w:p>
    <w:p w:rsidR="00737DE6" w:rsidRPr="00315335" w:rsidRDefault="00737DE6" w:rsidP="0010044C">
      <w:pPr>
        <w:pStyle w:val="Listparagraf"/>
        <w:numPr>
          <w:ilvl w:val="0"/>
          <w:numId w:val="71"/>
        </w:numPr>
        <w:suppressAutoHyphens/>
        <w:autoSpaceDE w:val="0"/>
        <w:autoSpaceDN w:val="0"/>
        <w:adjustRightInd w:val="0"/>
        <w:jc w:val="both"/>
        <w:rPr>
          <w:rFonts w:ascii="Arial" w:hAnsi="Arial" w:cs="Arial"/>
          <w:b/>
        </w:rPr>
      </w:pPr>
      <w:r w:rsidRPr="00315335">
        <w:rPr>
          <w:rFonts w:ascii="Arial" w:hAnsi="Arial" w:cs="Arial"/>
        </w:rPr>
        <w:t>PRODDES – pentru generatorii de deşeuri</w:t>
      </w:r>
    </w:p>
    <w:p w:rsidR="00737DE6" w:rsidRPr="00315335" w:rsidRDefault="00737DE6" w:rsidP="0010044C">
      <w:pPr>
        <w:pStyle w:val="Listparagraf"/>
        <w:numPr>
          <w:ilvl w:val="0"/>
          <w:numId w:val="71"/>
        </w:numPr>
        <w:suppressAutoHyphens/>
        <w:autoSpaceDE w:val="0"/>
        <w:autoSpaceDN w:val="0"/>
        <w:adjustRightInd w:val="0"/>
        <w:jc w:val="both"/>
        <w:rPr>
          <w:rFonts w:ascii="Arial" w:hAnsi="Arial" w:cs="Arial"/>
          <w:b/>
        </w:rPr>
      </w:pPr>
      <w:r w:rsidRPr="00315335">
        <w:rPr>
          <w:rFonts w:ascii="Arial" w:hAnsi="Arial" w:cs="Arial"/>
        </w:rPr>
        <w:t>MUN –pentru operatorii de salubritate</w:t>
      </w:r>
    </w:p>
    <w:p w:rsidR="00737DE6" w:rsidRPr="00315335" w:rsidRDefault="00737DE6" w:rsidP="0010044C">
      <w:pPr>
        <w:pStyle w:val="Listparagraf"/>
        <w:numPr>
          <w:ilvl w:val="0"/>
          <w:numId w:val="71"/>
        </w:numPr>
        <w:suppressAutoHyphens/>
        <w:autoSpaceDE w:val="0"/>
        <w:autoSpaceDN w:val="0"/>
        <w:adjustRightInd w:val="0"/>
        <w:jc w:val="both"/>
        <w:rPr>
          <w:rFonts w:ascii="Arial" w:hAnsi="Arial" w:cs="Arial"/>
          <w:b/>
        </w:rPr>
      </w:pPr>
      <w:r w:rsidRPr="00315335">
        <w:rPr>
          <w:rFonts w:ascii="Arial" w:hAnsi="Arial" w:cs="Arial"/>
        </w:rPr>
        <w:t>TRAT- se adresează operatorilor economici care dețin instalații de tratare a deşeurilor</w:t>
      </w:r>
    </w:p>
    <w:p w:rsidR="00737DE6" w:rsidRPr="00315335" w:rsidRDefault="00737DE6" w:rsidP="0010044C">
      <w:pPr>
        <w:pStyle w:val="Listparagraf"/>
        <w:numPr>
          <w:ilvl w:val="0"/>
          <w:numId w:val="71"/>
        </w:numPr>
        <w:autoSpaceDE w:val="0"/>
        <w:autoSpaceDN w:val="0"/>
        <w:adjustRightInd w:val="0"/>
        <w:jc w:val="both"/>
        <w:rPr>
          <w:rFonts w:ascii="Arial" w:hAnsi="Arial" w:cs="Arial"/>
          <w:b/>
        </w:rPr>
      </w:pPr>
      <w:r w:rsidRPr="00315335">
        <w:rPr>
          <w:rFonts w:ascii="Arial" w:hAnsi="Arial" w:cs="Arial"/>
        </w:rPr>
        <w:t>COLECTARE/TRATARE- pentru operatorii economici autorizați să desfășoare activități sub codurile CAEN rev. 3811,3812, 3821, 3822 și 4677.</w:t>
      </w:r>
    </w:p>
    <w:p w:rsidR="00737DE6" w:rsidRPr="00315335" w:rsidRDefault="00737DE6" w:rsidP="0010044C">
      <w:pPr>
        <w:pStyle w:val="Listparagraf"/>
        <w:numPr>
          <w:ilvl w:val="0"/>
          <w:numId w:val="71"/>
        </w:numPr>
        <w:autoSpaceDE w:val="0"/>
        <w:autoSpaceDN w:val="0"/>
        <w:adjustRightInd w:val="0"/>
        <w:jc w:val="both"/>
        <w:rPr>
          <w:rFonts w:ascii="Arial" w:hAnsi="Arial" w:cs="Arial"/>
          <w:b/>
        </w:rPr>
      </w:pPr>
      <w:r w:rsidRPr="00315335">
        <w:rPr>
          <w:rFonts w:ascii="Arial" w:hAnsi="Arial" w:cs="Arial"/>
        </w:rPr>
        <w:t>NĂMOL- pentru deținătorii de staţii de epurare orăşeneşti și industriale, din a căror activitate rezultă nămoluri.</w:t>
      </w:r>
    </w:p>
    <w:p w:rsidR="00737DE6" w:rsidRPr="00315335" w:rsidRDefault="00737DE6" w:rsidP="00737DE6">
      <w:pPr>
        <w:pStyle w:val="Listparagraf"/>
        <w:autoSpaceDE w:val="0"/>
        <w:autoSpaceDN w:val="0"/>
        <w:adjustRightInd w:val="0"/>
        <w:ind w:left="0"/>
        <w:jc w:val="both"/>
        <w:rPr>
          <w:rFonts w:ascii="Arial" w:hAnsi="Arial" w:cs="Arial"/>
          <w:b/>
        </w:rPr>
      </w:pP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Pentru realizarea acestui capitol au fost folosite datele validate pentru anul 2017 de către Agenția pentru Protecția Mediului Brăila rezultate din aplicația Statistica deșeurilor precum și din alte raportări ale operatorilor economici .</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autoSpaceDE w:val="0"/>
        <w:autoSpaceDN w:val="0"/>
        <w:adjustRightInd w:val="0"/>
        <w:spacing w:after="0" w:line="240" w:lineRule="auto"/>
        <w:jc w:val="both"/>
        <w:rPr>
          <w:rFonts w:ascii="Arial" w:hAnsi="Arial" w:cs="Arial"/>
          <w:b/>
          <w:sz w:val="24"/>
          <w:szCs w:val="24"/>
        </w:rPr>
      </w:pPr>
      <w:r w:rsidRPr="00315335">
        <w:rPr>
          <w:rFonts w:ascii="Arial" w:hAnsi="Arial" w:cs="Arial"/>
          <w:b/>
          <w:sz w:val="24"/>
          <w:szCs w:val="24"/>
        </w:rPr>
        <w:t xml:space="preserve">        VII.1.1.  </w:t>
      </w:r>
      <w:r w:rsidRPr="00315335">
        <w:rPr>
          <w:rFonts w:ascii="Arial" w:hAnsi="Arial" w:cs="Arial"/>
          <w:b/>
          <w:i/>
          <w:sz w:val="24"/>
          <w:szCs w:val="24"/>
        </w:rPr>
        <w:t>Generarea şi gestionarea deşeurilor municipale</w:t>
      </w:r>
    </w:p>
    <w:p w:rsidR="00737DE6" w:rsidRPr="00315335" w:rsidRDefault="00737DE6" w:rsidP="00737DE6">
      <w:pPr>
        <w:autoSpaceDE w:val="0"/>
        <w:autoSpaceDN w:val="0"/>
        <w:adjustRightInd w:val="0"/>
        <w:spacing w:after="0" w:line="240" w:lineRule="auto"/>
        <w:jc w:val="both"/>
        <w:rPr>
          <w:rFonts w:ascii="Arial" w:hAnsi="Arial" w:cs="Arial"/>
          <w:b/>
          <w:sz w:val="24"/>
          <w:szCs w:val="24"/>
        </w:rPr>
      </w:pPr>
    </w:p>
    <w:p w:rsidR="00737DE6" w:rsidRPr="00315335" w:rsidRDefault="00737DE6" w:rsidP="00737DE6">
      <w:pPr>
        <w:autoSpaceDE w:val="0"/>
        <w:autoSpaceDN w:val="0"/>
        <w:adjustRightInd w:val="0"/>
        <w:spacing w:after="0" w:line="240" w:lineRule="auto"/>
        <w:jc w:val="both"/>
        <w:rPr>
          <w:rFonts w:ascii="Arial" w:hAnsi="Arial" w:cs="Arial"/>
          <w:b/>
          <w:sz w:val="24"/>
          <w:szCs w:val="24"/>
        </w:rPr>
      </w:pPr>
      <w:r w:rsidRPr="00315335">
        <w:rPr>
          <w:rFonts w:ascii="Arial" w:hAnsi="Arial" w:cs="Arial"/>
          <w:b/>
          <w:sz w:val="24"/>
          <w:szCs w:val="24"/>
        </w:rPr>
        <w:t>Cantităţi şi compoziţie</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Conform Legii 211/2011 privind regimul deșeurilor, deşeurile municipale sunt reprezentate de totalitatea deşeurilor generate în mediul urban şi rural din gospodării și activități de salubrizare, </w:t>
      </w:r>
      <w:r w:rsidRPr="00315335">
        <w:rPr>
          <w:rFonts w:ascii="Arial" w:hAnsi="Arial" w:cs="Arial"/>
          <w:bCs/>
          <w:sz w:val="24"/>
          <w:szCs w:val="24"/>
        </w:rPr>
        <w:t>comerţ, industrie, instituţii grupate în două categorii</w:t>
      </w:r>
      <w:r w:rsidRPr="00315335">
        <w:rPr>
          <w:rFonts w:ascii="Arial" w:hAnsi="Arial" w:cs="Arial"/>
          <w:sz w:val="24"/>
          <w:szCs w:val="24"/>
        </w:rPr>
        <w:t>:</w:t>
      </w:r>
    </w:p>
    <w:p w:rsidR="00737DE6" w:rsidRPr="00315335" w:rsidRDefault="00737DE6" w:rsidP="0010044C">
      <w:pPr>
        <w:pStyle w:val="Listparagraf"/>
        <w:numPr>
          <w:ilvl w:val="0"/>
          <w:numId w:val="86"/>
        </w:numPr>
        <w:autoSpaceDE w:val="0"/>
        <w:autoSpaceDN w:val="0"/>
        <w:adjustRightInd w:val="0"/>
        <w:jc w:val="both"/>
        <w:rPr>
          <w:rFonts w:ascii="Arial" w:hAnsi="Arial" w:cs="Arial"/>
          <w:iCs/>
        </w:rPr>
      </w:pPr>
      <w:r w:rsidRPr="00315335">
        <w:rPr>
          <w:rFonts w:ascii="Arial" w:hAnsi="Arial" w:cs="Arial"/>
          <w:iCs/>
        </w:rPr>
        <w:t>deşeuri amestecate şi deşeuri colectate separat de la gospodării, inclusiv hârtia şi cartonul, sticla, metalele, materialele plastice, biodeşeurile, lemnul, textilele, ambalajele, deşeurile de echipamente electrice şi electronice, deşeurile de baterii şi acumulatori şi deşeurile voluminoase, inclusiv saltelele şi mobila;</w:t>
      </w:r>
    </w:p>
    <w:p w:rsidR="00737DE6" w:rsidRPr="00315335" w:rsidRDefault="00737DE6" w:rsidP="0010044C">
      <w:pPr>
        <w:pStyle w:val="Listparagraf"/>
        <w:numPr>
          <w:ilvl w:val="0"/>
          <w:numId w:val="86"/>
        </w:numPr>
        <w:autoSpaceDE w:val="0"/>
        <w:autoSpaceDN w:val="0"/>
        <w:adjustRightInd w:val="0"/>
        <w:jc w:val="both"/>
        <w:rPr>
          <w:rFonts w:ascii="Arial" w:hAnsi="Arial" w:cs="Arial"/>
          <w:iCs/>
        </w:rPr>
      </w:pPr>
      <w:r w:rsidRPr="00315335">
        <w:rPr>
          <w:rFonts w:ascii="Arial" w:hAnsi="Arial" w:cs="Arial"/>
          <w:iCs/>
        </w:rPr>
        <w:t>deşeuri amestecate şi deşeuri colectate separat din alte surse în cazul în care deşeurile respective sunt similare ca natură şi compoziţie cu deşeurile menajere.</w:t>
      </w:r>
    </w:p>
    <w:p w:rsidR="00737DE6" w:rsidRPr="00315335" w:rsidRDefault="00737DE6" w:rsidP="00737DE6">
      <w:pPr>
        <w:autoSpaceDE w:val="0"/>
        <w:autoSpaceDN w:val="0"/>
        <w:adjustRightInd w:val="0"/>
        <w:spacing w:after="0" w:line="240" w:lineRule="auto"/>
        <w:rPr>
          <w:rFonts w:ascii="Arial" w:hAnsi="Arial" w:cs="Arial"/>
          <w:iCs/>
          <w:sz w:val="24"/>
          <w:szCs w:val="24"/>
        </w:rPr>
      </w:pPr>
      <w:r w:rsidRPr="00315335">
        <w:rPr>
          <w:rFonts w:ascii="Arial" w:hAnsi="Arial" w:cs="Arial"/>
          <w:iCs/>
          <w:sz w:val="24"/>
          <w:szCs w:val="24"/>
        </w:rPr>
        <w:t xml:space="preserve">    </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Deşeurile municipale nu includ deşeurile de producţie, agricultură, silvicultură, pescuit, fose septice şi reţeaua de canalizare şi tratare, inclusiv nămolul de epurare, vehiculele scoase din uz şi deşeurile provenite din activităţi de construcţie şi desfiinţări.</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Din totalul cantităţii de deşeuri municipale generate cel mai mare procentaj îl deţin deşeurile menajere şi asimilabile. Acestea au o varietate de surse de provenienţă dintre care cele mai importante ar fi gospodăriile, unităţile economice și instituţiile. </w:t>
      </w:r>
    </w:p>
    <w:p w:rsidR="00737DE6" w:rsidRPr="00315335" w:rsidRDefault="00737DE6" w:rsidP="00737DE6">
      <w:pPr>
        <w:spacing w:after="0" w:line="240" w:lineRule="auto"/>
        <w:ind w:firstLine="360"/>
        <w:jc w:val="both"/>
        <w:rPr>
          <w:rFonts w:ascii="Arial" w:hAnsi="Arial" w:cs="Arial"/>
          <w:b/>
          <w:sz w:val="24"/>
          <w:szCs w:val="24"/>
        </w:rPr>
      </w:pPr>
      <w:r w:rsidRPr="00315335">
        <w:rPr>
          <w:rFonts w:ascii="Arial" w:hAnsi="Arial" w:cs="Arial"/>
          <w:sz w:val="24"/>
          <w:szCs w:val="24"/>
        </w:rPr>
        <w:t xml:space="preserve">Deşeurile municipale şi asimilabile rezultate în judeţul Brăila sunt de tipul: </w:t>
      </w:r>
    </w:p>
    <w:p w:rsidR="00737DE6" w:rsidRPr="00315335" w:rsidRDefault="00737DE6" w:rsidP="0010044C">
      <w:pPr>
        <w:pStyle w:val="Listparagraf"/>
        <w:numPr>
          <w:ilvl w:val="0"/>
          <w:numId w:val="72"/>
        </w:numPr>
        <w:jc w:val="both"/>
        <w:rPr>
          <w:rFonts w:ascii="Arial" w:hAnsi="Arial" w:cs="Arial"/>
          <w:b/>
        </w:rPr>
      </w:pPr>
      <w:r w:rsidRPr="00315335">
        <w:rPr>
          <w:rFonts w:ascii="Arial" w:hAnsi="Arial" w:cs="Arial"/>
        </w:rPr>
        <w:t>deşeuri menajere colectate în amestec şi separat de la populaţie;</w:t>
      </w:r>
    </w:p>
    <w:p w:rsidR="00737DE6" w:rsidRPr="00315335" w:rsidRDefault="00737DE6" w:rsidP="0010044C">
      <w:pPr>
        <w:pStyle w:val="Listparagraf"/>
        <w:numPr>
          <w:ilvl w:val="0"/>
          <w:numId w:val="72"/>
        </w:numPr>
        <w:jc w:val="both"/>
        <w:rPr>
          <w:rFonts w:ascii="Arial" w:hAnsi="Arial" w:cs="Arial"/>
          <w:b/>
        </w:rPr>
      </w:pPr>
      <w:r w:rsidRPr="00315335">
        <w:rPr>
          <w:rFonts w:ascii="Arial" w:hAnsi="Arial" w:cs="Arial"/>
        </w:rPr>
        <w:t>deşeuri asimilabile celor menajere colectate din industrie, comerţ şi instituţii;</w:t>
      </w:r>
    </w:p>
    <w:p w:rsidR="00737DE6" w:rsidRPr="00315335" w:rsidRDefault="00737DE6" w:rsidP="0010044C">
      <w:pPr>
        <w:pStyle w:val="Listparagraf"/>
        <w:numPr>
          <w:ilvl w:val="0"/>
          <w:numId w:val="72"/>
        </w:numPr>
        <w:jc w:val="both"/>
        <w:rPr>
          <w:rFonts w:ascii="Arial" w:hAnsi="Arial" w:cs="Arial"/>
          <w:b/>
        </w:rPr>
      </w:pPr>
      <w:r w:rsidRPr="00315335">
        <w:rPr>
          <w:rFonts w:ascii="Arial" w:hAnsi="Arial" w:cs="Arial"/>
        </w:rPr>
        <w:lastRenderedPageBreak/>
        <w:t>deşeuri stradale;</w:t>
      </w:r>
    </w:p>
    <w:p w:rsidR="00737DE6" w:rsidRPr="00315335" w:rsidRDefault="00737DE6" w:rsidP="0010044C">
      <w:pPr>
        <w:pStyle w:val="Listparagraf"/>
        <w:numPr>
          <w:ilvl w:val="0"/>
          <w:numId w:val="72"/>
        </w:numPr>
        <w:jc w:val="both"/>
        <w:rPr>
          <w:rFonts w:ascii="Arial" w:hAnsi="Arial" w:cs="Arial"/>
          <w:b/>
        </w:rPr>
      </w:pPr>
      <w:r w:rsidRPr="00315335">
        <w:rPr>
          <w:rFonts w:ascii="Arial" w:hAnsi="Arial" w:cs="Arial"/>
        </w:rPr>
        <w:t>deşeuri din pieţe;</w:t>
      </w:r>
    </w:p>
    <w:p w:rsidR="00737DE6" w:rsidRPr="00315335" w:rsidRDefault="00737DE6" w:rsidP="0010044C">
      <w:pPr>
        <w:pStyle w:val="Listparagraf"/>
        <w:numPr>
          <w:ilvl w:val="0"/>
          <w:numId w:val="72"/>
        </w:numPr>
        <w:jc w:val="both"/>
        <w:rPr>
          <w:rFonts w:ascii="Arial" w:hAnsi="Arial" w:cs="Arial"/>
          <w:b/>
        </w:rPr>
      </w:pPr>
      <w:r w:rsidRPr="00315335">
        <w:rPr>
          <w:rFonts w:ascii="Arial" w:hAnsi="Arial" w:cs="Arial"/>
        </w:rPr>
        <w:t>deşeuri din grădini şi parcuri</w:t>
      </w:r>
    </w:p>
    <w:p w:rsidR="00737DE6" w:rsidRPr="00DF426D" w:rsidRDefault="00737DE6" w:rsidP="00631723">
      <w:pPr>
        <w:pStyle w:val="Listparagraf"/>
        <w:numPr>
          <w:ilvl w:val="0"/>
          <w:numId w:val="72"/>
        </w:numPr>
        <w:autoSpaceDE w:val="0"/>
        <w:autoSpaceDN w:val="0"/>
        <w:adjustRightInd w:val="0"/>
        <w:jc w:val="both"/>
        <w:rPr>
          <w:rFonts w:ascii="Arial" w:hAnsi="Arial" w:cs="Arial"/>
          <w:b/>
        </w:rPr>
      </w:pPr>
      <w:r w:rsidRPr="00DF426D">
        <w:rPr>
          <w:rFonts w:ascii="Arial" w:hAnsi="Arial" w:cs="Arial"/>
        </w:rPr>
        <w:t>deşeuri din construcţii şi demolări.</w:t>
      </w:r>
    </w:p>
    <w:p w:rsidR="00737DE6" w:rsidRPr="00315335" w:rsidRDefault="00737DE6" w:rsidP="00737DE6">
      <w:pPr>
        <w:spacing w:after="0" w:line="240" w:lineRule="auto"/>
        <w:ind w:firstLine="708"/>
        <w:jc w:val="both"/>
        <w:rPr>
          <w:rFonts w:ascii="Arial" w:hAnsi="Arial" w:cs="Arial"/>
          <w:b/>
          <w:sz w:val="24"/>
          <w:szCs w:val="24"/>
        </w:rPr>
      </w:pPr>
      <w:r w:rsidRPr="00315335">
        <w:rPr>
          <w:rFonts w:ascii="Arial" w:hAnsi="Arial" w:cs="Arial"/>
          <w:sz w:val="24"/>
          <w:szCs w:val="24"/>
        </w:rPr>
        <w:t xml:space="preserve">În tabelul VII. 1.1.1 și figura VII.1.1.1 este prezentată evoluția generării deșeurilor municipale în județul Brăila pentru perioada 2011-2017, anul 2017 fiind ultimul an pentru care există date validate de către ANPM. Astfel, la nivelul anului 2017, în judeţul Brăila au fost colectate </w:t>
      </w:r>
      <w:r w:rsidRPr="00315335">
        <w:rPr>
          <w:rFonts w:ascii="Arial" w:hAnsi="Arial" w:cs="Arial"/>
          <w:b/>
          <w:sz w:val="24"/>
          <w:szCs w:val="24"/>
        </w:rPr>
        <w:t>91790</w:t>
      </w:r>
      <w:r w:rsidRPr="00315335">
        <w:rPr>
          <w:rFonts w:ascii="Arial" w:hAnsi="Arial" w:cs="Arial"/>
          <w:sz w:val="24"/>
          <w:szCs w:val="24"/>
        </w:rPr>
        <w:t xml:space="preserve"> tone de deşeuri municipale, în amestec şi separat de la populaţie şi operatori economici.</w:t>
      </w:r>
    </w:p>
    <w:p w:rsidR="00737DE6" w:rsidRPr="00315335" w:rsidRDefault="00737DE6" w:rsidP="00737DE6">
      <w:pPr>
        <w:spacing w:after="0" w:line="240" w:lineRule="auto"/>
        <w:jc w:val="both"/>
        <w:rPr>
          <w:rFonts w:ascii="Arial" w:hAnsi="Arial" w:cs="Arial"/>
          <w:b/>
          <w:sz w:val="24"/>
          <w:szCs w:val="24"/>
        </w:rPr>
      </w:pPr>
      <w:r w:rsidRPr="00315335">
        <w:rPr>
          <w:rFonts w:ascii="Arial" w:hAnsi="Arial" w:cs="Arial"/>
          <w:bCs/>
          <w:iCs/>
          <w:sz w:val="24"/>
          <w:szCs w:val="24"/>
        </w:rPr>
        <w:t>Tabel VII.1.1.1</w:t>
      </w:r>
      <w:r w:rsidRPr="00315335">
        <w:rPr>
          <w:rFonts w:ascii="Arial" w:hAnsi="Arial" w:cs="Arial"/>
          <w:bCs/>
          <w:i/>
          <w:iCs/>
          <w:sz w:val="24"/>
          <w:szCs w:val="24"/>
        </w:rPr>
        <w:t xml:space="preserve">  </w:t>
      </w:r>
      <w:r w:rsidRPr="00315335">
        <w:rPr>
          <w:rFonts w:ascii="Arial" w:hAnsi="Arial" w:cs="Arial"/>
          <w:sz w:val="24"/>
          <w:szCs w:val="24"/>
        </w:rPr>
        <w:t>Cantități de d</w:t>
      </w:r>
      <w:r w:rsidRPr="00315335">
        <w:rPr>
          <w:rFonts w:ascii="Arial" w:hAnsi="Arial" w:cs="Arial"/>
          <w:bCs/>
          <w:sz w:val="24"/>
          <w:szCs w:val="24"/>
        </w:rPr>
        <w:t xml:space="preserve">eşeuri municipale generate în perioada 2011-2017 </w:t>
      </w:r>
      <w:r w:rsidRPr="00315335">
        <w:rPr>
          <w:rFonts w:ascii="Arial" w:hAnsi="Arial" w:cs="Arial"/>
          <w:sz w:val="24"/>
          <w:szCs w:val="24"/>
        </w:rPr>
        <w:t>(mii tone)</w:t>
      </w:r>
    </w:p>
    <w:tbl>
      <w:tblPr>
        <w:tblpPr w:leftFromText="180" w:rightFromText="180" w:vertAnchor="text" w:horzAnchor="margin" w:tblpY="442"/>
        <w:tblW w:w="9918"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1E0" w:firstRow="1" w:lastRow="1" w:firstColumn="1" w:lastColumn="1" w:noHBand="0" w:noVBand="0"/>
      </w:tblPr>
      <w:tblGrid>
        <w:gridCol w:w="675"/>
        <w:gridCol w:w="2493"/>
        <w:gridCol w:w="1080"/>
        <w:gridCol w:w="900"/>
        <w:gridCol w:w="990"/>
        <w:gridCol w:w="990"/>
        <w:gridCol w:w="990"/>
        <w:gridCol w:w="900"/>
        <w:gridCol w:w="900"/>
      </w:tblGrid>
      <w:tr w:rsidR="00737DE6" w:rsidRPr="00315335" w:rsidTr="00916B06">
        <w:trPr>
          <w:trHeight w:val="258"/>
        </w:trPr>
        <w:tc>
          <w:tcPr>
            <w:tcW w:w="675" w:type="dxa"/>
          </w:tcPr>
          <w:p w:rsidR="00737DE6" w:rsidRPr="00315335" w:rsidRDefault="00737DE6" w:rsidP="00916B06">
            <w:pPr>
              <w:spacing w:after="0" w:line="240" w:lineRule="auto"/>
              <w:rPr>
                <w:rFonts w:ascii="Arial" w:hAnsi="Arial" w:cs="Arial"/>
                <w:sz w:val="24"/>
                <w:szCs w:val="24"/>
              </w:rPr>
            </w:pPr>
          </w:p>
        </w:tc>
        <w:tc>
          <w:tcPr>
            <w:tcW w:w="2493"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Deşeuri municipale</w:t>
            </w:r>
          </w:p>
        </w:tc>
        <w:tc>
          <w:tcPr>
            <w:tcW w:w="108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2011</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2012</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2013</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2014</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2015</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2016</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2017</w:t>
            </w:r>
          </w:p>
        </w:tc>
      </w:tr>
      <w:tr w:rsidR="00737DE6" w:rsidRPr="00315335" w:rsidTr="00916B06">
        <w:trPr>
          <w:trHeight w:val="273"/>
        </w:trPr>
        <w:tc>
          <w:tcPr>
            <w:tcW w:w="675"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w:t>
            </w:r>
          </w:p>
        </w:tc>
        <w:tc>
          <w:tcPr>
            <w:tcW w:w="2493"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Deşeuri menajere colectate</w:t>
            </w:r>
          </w:p>
        </w:tc>
        <w:tc>
          <w:tcPr>
            <w:tcW w:w="108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50.7</w:t>
            </w:r>
          </w:p>
        </w:tc>
        <w:tc>
          <w:tcPr>
            <w:tcW w:w="90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49.3</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53.8</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46.9</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53.03</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56,82</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58.32</w:t>
            </w:r>
          </w:p>
        </w:tc>
      </w:tr>
      <w:tr w:rsidR="00737DE6" w:rsidRPr="00315335" w:rsidTr="00916B06">
        <w:trPr>
          <w:trHeight w:val="273"/>
        </w:trPr>
        <w:tc>
          <w:tcPr>
            <w:tcW w:w="675"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1.1</w:t>
            </w:r>
          </w:p>
        </w:tc>
        <w:tc>
          <w:tcPr>
            <w:tcW w:w="2493" w:type="dxa"/>
          </w:tcPr>
          <w:p w:rsidR="00737DE6" w:rsidRPr="00315335" w:rsidRDefault="00737DE6" w:rsidP="0010044C">
            <w:pPr>
              <w:numPr>
                <w:ilvl w:val="0"/>
                <w:numId w:val="62"/>
              </w:numPr>
              <w:spacing w:after="0" w:line="240" w:lineRule="auto"/>
              <w:rPr>
                <w:rFonts w:ascii="Arial" w:hAnsi="Arial" w:cs="Arial"/>
                <w:b/>
                <w:sz w:val="24"/>
                <w:szCs w:val="24"/>
              </w:rPr>
            </w:pPr>
            <w:r w:rsidRPr="00315335">
              <w:rPr>
                <w:rFonts w:ascii="Arial" w:hAnsi="Arial" w:cs="Arial"/>
                <w:b/>
                <w:sz w:val="24"/>
                <w:szCs w:val="24"/>
              </w:rPr>
              <w:t>în amestec</w:t>
            </w:r>
          </w:p>
        </w:tc>
        <w:tc>
          <w:tcPr>
            <w:tcW w:w="108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50.6</w:t>
            </w:r>
          </w:p>
        </w:tc>
        <w:tc>
          <w:tcPr>
            <w:tcW w:w="90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49.2</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53.7</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46.8</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52.9</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56,8</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57.43</w:t>
            </w:r>
          </w:p>
        </w:tc>
      </w:tr>
      <w:tr w:rsidR="00737DE6" w:rsidRPr="00315335" w:rsidTr="00916B06">
        <w:trPr>
          <w:trHeight w:val="288"/>
        </w:trPr>
        <w:tc>
          <w:tcPr>
            <w:tcW w:w="675"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1.2</w:t>
            </w:r>
          </w:p>
        </w:tc>
        <w:tc>
          <w:tcPr>
            <w:tcW w:w="2493" w:type="dxa"/>
          </w:tcPr>
          <w:p w:rsidR="00737DE6" w:rsidRPr="00315335" w:rsidRDefault="00737DE6" w:rsidP="0010044C">
            <w:pPr>
              <w:numPr>
                <w:ilvl w:val="0"/>
                <w:numId w:val="62"/>
              </w:numPr>
              <w:spacing w:after="0" w:line="240" w:lineRule="auto"/>
              <w:rPr>
                <w:rFonts w:ascii="Arial" w:hAnsi="Arial" w:cs="Arial"/>
                <w:b/>
                <w:sz w:val="24"/>
                <w:szCs w:val="24"/>
              </w:rPr>
            </w:pPr>
            <w:r w:rsidRPr="00315335">
              <w:rPr>
                <w:rFonts w:ascii="Arial" w:hAnsi="Arial" w:cs="Arial"/>
                <w:b/>
                <w:sz w:val="24"/>
                <w:szCs w:val="24"/>
              </w:rPr>
              <w:t>selectiv</w:t>
            </w:r>
          </w:p>
        </w:tc>
        <w:tc>
          <w:tcPr>
            <w:tcW w:w="108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0.1</w:t>
            </w:r>
          </w:p>
        </w:tc>
        <w:tc>
          <w:tcPr>
            <w:tcW w:w="90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0.1</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0.1</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0.1</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0.1</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0,02</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0.89</w:t>
            </w:r>
          </w:p>
        </w:tc>
      </w:tr>
      <w:tr w:rsidR="00737DE6" w:rsidRPr="00315335" w:rsidTr="00916B06">
        <w:trPr>
          <w:trHeight w:val="819"/>
        </w:trPr>
        <w:tc>
          <w:tcPr>
            <w:tcW w:w="675"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2</w:t>
            </w:r>
          </w:p>
        </w:tc>
        <w:tc>
          <w:tcPr>
            <w:tcW w:w="2493"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Deşeuri din servicii municipale (stradale, pieţe, grădini, parcuri şi spaţii verzi)</w:t>
            </w:r>
          </w:p>
        </w:tc>
        <w:tc>
          <w:tcPr>
            <w:tcW w:w="108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14.1</w:t>
            </w:r>
          </w:p>
        </w:tc>
        <w:tc>
          <w:tcPr>
            <w:tcW w:w="90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16.7</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18.8</w:t>
            </w:r>
          </w:p>
          <w:p w:rsidR="00737DE6" w:rsidRPr="00315335" w:rsidRDefault="00737DE6" w:rsidP="00916B06">
            <w:pPr>
              <w:spacing w:after="0" w:line="240" w:lineRule="auto"/>
              <w:jc w:val="center"/>
              <w:rPr>
                <w:rFonts w:ascii="Arial" w:hAnsi="Arial" w:cs="Arial"/>
                <w:b/>
                <w:sz w:val="24"/>
                <w:szCs w:val="24"/>
              </w:rPr>
            </w:pPr>
          </w:p>
        </w:tc>
        <w:tc>
          <w:tcPr>
            <w:tcW w:w="99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18.6</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19.6</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22,01</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18.01</w:t>
            </w:r>
          </w:p>
        </w:tc>
      </w:tr>
      <w:tr w:rsidR="00737DE6" w:rsidRPr="00315335" w:rsidTr="00916B06">
        <w:trPr>
          <w:trHeight w:val="258"/>
        </w:trPr>
        <w:tc>
          <w:tcPr>
            <w:tcW w:w="675"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3</w:t>
            </w:r>
          </w:p>
        </w:tc>
        <w:tc>
          <w:tcPr>
            <w:tcW w:w="2493"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Deşeuri din construcţii şi demolări</w:t>
            </w:r>
          </w:p>
        </w:tc>
        <w:tc>
          <w:tcPr>
            <w:tcW w:w="108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10</w:t>
            </w:r>
          </w:p>
        </w:tc>
        <w:tc>
          <w:tcPr>
            <w:tcW w:w="90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4.9</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4.4</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30.5</w:t>
            </w:r>
          </w:p>
          <w:p w:rsidR="00737DE6" w:rsidRPr="00315335" w:rsidRDefault="00737DE6" w:rsidP="00916B06">
            <w:pPr>
              <w:spacing w:after="0" w:line="240" w:lineRule="auto"/>
              <w:jc w:val="center"/>
              <w:rPr>
                <w:rFonts w:ascii="Arial" w:hAnsi="Arial" w:cs="Arial"/>
                <w:sz w:val="24"/>
                <w:szCs w:val="24"/>
              </w:rPr>
            </w:pP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28.7</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4,21</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3.68</w:t>
            </w:r>
          </w:p>
        </w:tc>
      </w:tr>
      <w:tr w:rsidR="00737DE6" w:rsidRPr="00315335" w:rsidTr="00916B06">
        <w:trPr>
          <w:trHeight w:val="546"/>
        </w:trPr>
        <w:tc>
          <w:tcPr>
            <w:tcW w:w="675"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4=1+2+3</w:t>
            </w:r>
          </w:p>
        </w:tc>
        <w:tc>
          <w:tcPr>
            <w:tcW w:w="2493"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Total deşeuri municipale colectate</w:t>
            </w:r>
          </w:p>
        </w:tc>
        <w:tc>
          <w:tcPr>
            <w:tcW w:w="108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74.8</w:t>
            </w:r>
          </w:p>
        </w:tc>
        <w:tc>
          <w:tcPr>
            <w:tcW w:w="90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70.9</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77</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96</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101.3</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83,04</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80.01</w:t>
            </w:r>
          </w:p>
        </w:tc>
      </w:tr>
      <w:tr w:rsidR="00737DE6" w:rsidRPr="00315335" w:rsidTr="00916B06">
        <w:trPr>
          <w:trHeight w:val="546"/>
        </w:trPr>
        <w:tc>
          <w:tcPr>
            <w:tcW w:w="675"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5</w:t>
            </w:r>
          </w:p>
        </w:tc>
        <w:tc>
          <w:tcPr>
            <w:tcW w:w="2493"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Deşeuri menajere generate şi necolectate (estimat)*</w:t>
            </w:r>
          </w:p>
        </w:tc>
        <w:tc>
          <w:tcPr>
            <w:tcW w:w="108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9.6</w:t>
            </w:r>
          </w:p>
        </w:tc>
        <w:tc>
          <w:tcPr>
            <w:tcW w:w="90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7.3</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7.5</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10.1</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12.4</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11,46</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11.78</w:t>
            </w:r>
          </w:p>
        </w:tc>
      </w:tr>
      <w:tr w:rsidR="00737DE6" w:rsidRPr="00315335" w:rsidTr="00916B06">
        <w:trPr>
          <w:trHeight w:val="258"/>
        </w:trPr>
        <w:tc>
          <w:tcPr>
            <w:tcW w:w="675"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6= 4+5</w:t>
            </w:r>
          </w:p>
        </w:tc>
        <w:tc>
          <w:tcPr>
            <w:tcW w:w="2493"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Total deşeuri municipale generate</w:t>
            </w:r>
          </w:p>
        </w:tc>
        <w:tc>
          <w:tcPr>
            <w:tcW w:w="108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84.4</w:t>
            </w:r>
          </w:p>
        </w:tc>
        <w:tc>
          <w:tcPr>
            <w:tcW w:w="90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78.2</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84.5</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106.1</w:t>
            </w:r>
          </w:p>
        </w:tc>
        <w:tc>
          <w:tcPr>
            <w:tcW w:w="99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113.7</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94,5</w:t>
            </w:r>
          </w:p>
        </w:tc>
        <w:tc>
          <w:tcPr>
            <w:tcW w:w="90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91.79</w:t>
            </w:r>
          </w:p>
        </w:tc>
      </w:tr>
    </w:tbl>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Figura VII.1.1.1 Structura deșeurilor municipale generate în perioada 2011-2017</w:t>
      </w:r>
    </w:p>
    <w:p w:rsidR="00737DE6" w:rsidRPr="00315335" w:rsidRDefault="00737DE6" w:rsidP="00737DE6">
      <w:pPr>
        <w:spacing w:after="0" w:line="240" w:lineRule="auto"/>
        <w:rPr>
          <w:rFonts w:ascii="Arial" w:hAnsi="Arial" w:cs="Arial"/>
          <w:i/>
          <w:sz w:val="24"/>
          <w:szCs w:val="24"/>
        </w:rPr>
      </w:pPr>
    </w:p>
    <w:p w:rsidR="00737DE6" w:rsidRPr="00315335" w:rsidRDefault="00737DE6" w:rsidP="00737DE6">
      <w:pPr>
        <w:spacing w:after="0" w:line="240" w:lineRule="auto"/>
        <w:jc w:val="center"/>
        <w:rPr>
          <w:rFonts w:ascii="Arial" w:hAnsi="Arial" w:cs="Arial"/>
          <w:b/>
          <w:sz w:val="24"/>
          <w:szCs w:val="24"/>
          <w:highlight w:val="yellow"/>
        </w:rPr>
      </w:pPr>
      <w:r w:rsidRPr="00315335">
        <w:rPr>
          <w:rFonts w:ascii="Arial" w:hAnsi="Arial" w:cs="Arial"/>
          <w:b/>
          <w:noProof/>
          <w:sz w:val="24"/>
          <w:szCs w:val="24"/>
        </w:rPr>
        <w:drawing>
          <wp:inline distT="0" distB="0" distL="0" distR="0" wp14:anchorId="1DD22E6A" wp14:editId="234B4D69">
            <wp:extent cx="5909310" cy="2855595"/>
            <wp:effectExtent l="0" t="0" r="0" b="0"/>
            <wp:docPr id="246" name="Diagramă 2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b/>
          <w:i/>
          <w:sz w:val="24"/>
          <w:szCs w:val="24"/>
        </w:rPr>
      </w:pPr>
      <w:r w:rsidRPr="00315335">
        <w:rPr>
          <w:rFonts w:ascii="Arial" w:hAnsi="Arial" w:cs="Arial"/>
          <w:i/>
          <w:sz w:val="24"/>
          <w:szCs w:val="24"/>
        </w:rPr>
        <w:t>Sursa de date</w:t>
      </w:r>
      <w:r w:rsidRPr="00315335">
        <w:rPr>
          <w:rFonts w:ascii="Arial" w:hAnsi="Arial" w:cs="Arial"/>
          <w:i/>
          <w:sz w:val="24"/>
          <w:szCs w:val="24"/>
        </w:rPr>
        <w:sym w:font="Symbol" w:char="F03A"/>
      </w:r>
      <w:r w:rsidRPr="00315335">
        <w:rPr>
          <w:rFonts w:ascii="Arial" w:hAnsi="Arial" w:cs="Arial"/>
          <w:i/>
          <w:sz w:val="24"/>
          <w:szCs w:val="24"/>
        </w:rPr>
        <w:t xml:space="preserve">  Baza de date Medius si SIM-SD- Statistica deseurilor 2013-2017</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lastRenderedPageBreak/>
        <w:t>A fost estimată de asemenea, cantitatea de deșeuri generată dar necolectată din zonele județului care nu au fost deservite de servicii de salubrizare, utilizând următorii indicatori de generare stabiliţi de ANPM:</w:t>
      </w:r>
    </w:p>
    <w:p w:rsidR="00737DE6" w:rsidRPr="00315335" w:rsidRDefault="00737DE6" w:rsidP="0010044C">
      <w:pPr>
        <w:pStyle w:val="Listparagraf"/>
        <w:numPr>
          <w:ilvl w:val="0"/>
          <w:numId w:val="73"/>
        </w:numPr>
        <w:jc w:val="both"/>
        <w:rPr>
          <w:rFonts w:ascii="Arial" w:hAnsi="Arial" w:cs="Arial"/>
          <w:b/>
        </w:rPr>
      </w:pPr>
      <w:r w:rsidRPr="00315335">
        <w:rPr>
          <w:rFonts w:ascii="Arial" w:hAnsi="Arial" w:cs="Arial"/>
        </w:rPr>
        <w:t>mediul urban: 0,9 kg/loc./an</w:t>
      </w:r>
    </w:p>
    <w:p w:rsidR="00737DE6" w:rsidRPr="00315335" w:rsidRDefault="00737DE6" w:rsidP="0010044C">
      <w:pPr>
        <w:pStyle w:val="Listparagraf"/>
        <w:numPr>
          <w:ilvl w:val="0"/>
          <w:numId w:val="73"/>
        </w:numPr>
        <w:jc w:val="both"/>
        <w:rPr>
          <w:rFonts w:ascii="Arial" w:hAnsi="Arial" w:cs="Arial"/>
          <w:b/>
        </w:rPr>
      </w:pPr>
      <w:r w:rsidRPr="00315335">
        <w:rPr>
          <w:rFonts w:ascii="Arial" w:hAnsi="Arial" w:cs="Arial"/>
        </w:rPr>
        <w:t>mediul rural: 0,4 kg/loc./an</w:t>
      </w:r>
    </w:p>
    <w:p w:rsidR="00737DE6" w:rsidRPr="00315335" w:rsidRDefault="00737DE6" w:rsidP="00737DE6">
      <w:pPr>
        <w:spacing w:after="0" w:line="240" w:lineRule="auto"/>
        <w:jc w:val="both"/>
        <w:rPr>
          <w:rFonts w:ascii="Arial" w:hAnsi="Arial" w:cs="Arial"/>
          <w:b/>
          <w:i/>
          <w:sz w:val="24"/>
          <w:szCs w:val="24"/>
        </w:rPr>
      </w:pPr>
    </w:p>
    <w:p w:rsidR="00737DE6" w:rsidRPr="00315335" w:rsidRDefault="00737DE6" w:rsidP="00737DE6">
      <w:pPr>
        <w:spacing w:after="0" w:line="240" w:lineRule="auto"/>
        <w:ind w:firstLine="708"/>
        <w:jc w:val="both"/>
        <w:rPr>
          <w:rFonts w:ascii="Arial" w:hAnsi="Arial" w:cs="Arial"/>
          <w:b/>
          <w:sz w:val="24"/>
          <w:szCs w:val="24"/>
        </w:rPr>
      </w:pPr>
      <w:r w:rsidRPr="00315335">
        <w:rPr>
          <w:rFonts w:ascii="Arial" w:hAnsi="Arial" w:cs="Arial"/>
          <w:sz w:val="24"/>
          <w:szCs w:val="24"/>
        </w:rPr>
        <w:t xml:space="preserve">Compoziţia procentuală, pe tipuri de materiale, a deșeurilor menajere colectate în 2017 este ilustrată în tabelul și figura VII.1.1.2. Datele privind compoziţia deşeurilor menajere sunt estimate pe baza datelor primite de la operatorii de salubritate, nefiind determinată prin măsurători. </w:t>
      </w:r>
    </w:p>
    <w:p w:rsidR="00737DE6" w:rsidRPr="00315335" w:rsidRDefault="00737DE6" w:rsidP="00737DE6">
      <w:pPr>
        <w:spacing w:after="0" w:line="240" w:lineRule="auto"/>
        <w:rPr>
          <w:rFonts w:ascii="Arial" w:hAnsi="Arial" w:cs="Arial"/>
          <w:bCs/>
          <w:iCs/>
          <w:sz w:val="24"/>
          <w:szCs w:val="24"/>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bCs/>
          <w:iCs/>
          <w:sz w:val="24"/>
          <w:szCs w:val="24"/>
        </w:rPr>
        <w:t>Tabel VII.1.1.2</w:t>
      </w:r>
      <w:r w:rsidRPr="00315335">
        <w:rPr>
          <w:rFonts w:ascii="Arial" w:hAnsi="Arial" w:cs="Arial"/>
          <w:bCs/>
          <w:i/>
          <w:iCs/>
          <w:sz w:val="24"/>
          <w:szCs w:val="24"/>
        </w:rPr>
        <w:t xml:space="preserve">  </w:t>
      </w:r>
      <w:r w:rsidRPr="00315335">
        <w:rPr>
          <w:rFonts w:ascii="Arial" w:hAnsi="Arial" w:cs="Arial"/>
          <w:sz w:val="24"/>
          <w:szCs w:val="24"/>
        </w:rPr>
        <w:t>Compoziția deșeurilor menajere colectate de pe raza municipiului Brăila</w:t>
      </w: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3552"/>
        <w:gridCol w:w="3542"/>
      </w:tblGrid>
      <w:tr w:rsidR="00315335" w:rsidRPr="00315335" w:rsidTr="00916B06">
        <w:trPr>
          <w:jc w:val="center"/>
        </w:trPr>
        <w:tc>
          <w:tcPr>
            <w:tcW w:w="3552" w:type="dxa"/>
            <w:shd w:val="clear" w:color="auto" w:fill="EEECE1"/>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material</w:t>
            </w:r>
          </w:p>
        </w:tc>
        <w:tc>
          <w:tcPr>
            <w:tcW w:w="3542" w:type="dxa"/>
            <w:shd w:val="clear" w:color="auto" w:fill="EEECE1"/>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procent %</w:t>
            </w:r>
          </w:p>
        </w:tc>
      </w:tr>
      <w:tr w:rsidR="00315335" w:rsidRPr="00315335" w:rsidTr="00916B06">
        <w:trPr>
          <w:jc w:val="center"/>
        </w:trPr>
        <w:tc>
          <w:tcPr>
            <w:tcW w:w="3552" w:type="dxa"/>
            <w:shd w:val="clear" w:color="auto" w:fill="auto"/>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Hârtie/carton</w:t>
            </w:r>
          </w:p>
        </w:tc>
        <w:tc>
          <w:tcPr>
            <w:tcW w:w="354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11</w:t>
            </w:r>
          </w:p>
        </w:tc>
      </w:tr>
      <w:tr w:rsidR="00315335" w:rsidRPr="00315335" w:rsidTr="00916B06">
        <w:trPr>
          <w:jc w:val="center"/>
        </w:trPr>
        <w:tc>
          <w:tcPr>
            <w:tcW w:w="3552" w:type="dxa"/>
            <w:shd w:val="clear" w:color="auto" w:fill="auto"/>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Sticlă</w:t>
            </w:r>
          </w:p>
        </w:tc>
        <w:tc>
          <w:tcPr>
            <w:tcW w:w="354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5</w:t>
            </w:r>
          </w:p>
        </w:tc>
      </w:tr>
      <w:tr w:rsidR="00315335" w:rsidRPr="00315335" w:rsidTr="00916B06">
        <w:trPr>
          <w:jc w:val="center"/>
        </w:trPr>
        <w:tc>
          <w:tcPr>
            <w:tcW w:w="3552" w:type="dxa"/>
            <w:shd w:val="clear" w:color="auto" w:fill="auto"/>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Metale</w:t>
            </w:r>
          </w:p>
        </w:tc>
        <w:tc>
          <w:tcPr>
            <w:tcW w:w="354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5</w:t>
            </w:r>
          </w:p>
        </w:tc>
      </w:tr>
      <w:tr w:rsidR="00315335" w:rsidRPr="00315335" w:rsidTr="00916B06">
        <w:trPr>
          <w:jc w:val="center"/>
        </w:trPr>
        <w:tc>
          <w:tcPr>
            <w:tcW w:w="3552" w:type="dxa"/>
            <w:shd w:val="clear" w:color="auto" w:fill="auto"/>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Materiale plastice</w:t>
            </w:r>
          </w:p>
        </w:tc>
        <w:tc>
          <w:tcPr>
            <w:tcW w:w="354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10</w:t>
            </w:r>
          </w:p>
        </w:tc>
      </w:tr>
      <w:tr w:rsidR="00315335" w:rsidRPr="00315335" w:rsidTr="00916B06">
        <w:trPr>
          <w:jc w:val="center"/>
        </w:trPr>
        <w:tc>
          <w:tcPr>
            <w:tcW w:w="3552" w:type="dxa"/>
            <w:shd w:val="clear" w:color="auto" w:fill="auto"/>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Biodegradabile</w:t>
            </w:r>
          </w:p>
        </w:tc>
        <w:tc>
          <w:tcPr>
            <w:tcW w:w="354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52</w:t>
            </w:r>
          </w:p>
        </w:tc>
      </w:tr>
      <w:tr w:rsidR="00315335" w:rsidRPr="00315335" w:rsidTr="00916B06">
        <w:trPr>
          <w:jc w:val="center"/>
        </w:trPr>
        <w:tc>
          <w:tcPr>
            <w:tcW w:w="3552" w:type="dxa"/>
            <w:shd w:val="clear" w:color="auto" w:fill="auto"/>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Lemn</w:t>
            </w:r>
          </w:p>
        </w:tc>
        <w:tc>
          <w:tcPr>
            <w:tcW w:w="354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3</w:t>
            </w:r>
          </w:p>
        </w:tc>
      </w:tr>
      <w:tr w:rsidR="00315335" w:rsidRPr="00315335" w:rsidTr="00916B06">
        <w:trPr>
          <w:jc w:val="center"/>
        </w:trPr>
        <w:tc>
          <w:tcPr>
            <w:tcW w:w="3552" w:type="dxa"/>
            <w:shd w:val="clear" w:color="auto" w:fill="auto"/>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Inerte</w:t>
            </w:r>
          </w:p>
        </w:tc>
        <w:tc>
          <w:tcPr>
            <w:tcW w:w="354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w:t>
            </w:r>
          </w:p>
        </w:tc>
      </w:tr>
      <w:tr w:rsidR="00315335" w:rsidRPr="00315335" w:rsidTr="00916B06">
        <w:trPr>
          <w:jc w:val="center"/>
        </w:trPr>
        <w:tc>
          <w:tcPr>
            <w:tcW w:w="3552" w:type="dxa"/>
            <w:shd w:val="clear" w:color="auto" w:fill="auto"/>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Altele</w:t>
            </w:r>
          </w:p>
        </w:tc>
        <w:tc>
          <w:tcPr>
            <w:tcW w:w="354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12</w:t>
            </w:r>
          </w:p>
        </w:tc>
      </w:tr>
      <w:tr w:rsidR="00315335" w:rsidRPr="00315335" w:rsidTr="00916B06">
        <w:trPr>
          <w:jc w:val="center"/>
        </w:trPr>
        <w:tc>
          <w:tcPr>
            <w:tcW w:w="3552" w:type="dxa"/>
            <w:shd w:val="clear" w:color="auto" w:fill="auto"/>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Total</w:t>
            </w:r>
          </w:p>
        </w:tc>
        <w:tc>
          <w:tcPr>
            <w:tcW w:w="3542"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100</w:t>
            </w:r>
          </w:p>
        </w:tc>
      </w:tr>
    </w:tbl>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sz w:val="24"/>
          <w:szCs w:val="24"/>
        </w:rPr>
        <w:t xml:space="preserve">Figura VII.1.1.2 </w:t>
      </w:r>
      <w:r w:rsidRPr="00315335">
        <w:rPr>
          <w:rFonts w:ascii="Arial" w:hAnsi="Arial" w:cs="Arial"/>
          <w:iCs/>
          <w:sz w:val="24"/>
          <w:szCs w:val="24"/>
        </w:rPr>
        <w:t>Compoziţia procentuală, pe tip de material, a deșeurilor menajere colectate în 2017</w:t>
      </w:r>
    </w:p>
    <w:p w:rsidR="00737DE6" w:rsidRPr="00315335" w:rsidRDefault="00737DE6" w:rsidP="00737DE6">
      <w:pPr>
        <w:spacing w:after="0" w:line="240" w:lineRule="auto"/>
        <w:rPr>
          <w:rFonts w:ascii="Arial" w:hAnsi="Arial" w:cs="Arial"/>
          <w:sz w:val="24"/>
          <w:szCs w:val="24"/>
          <w:highlight w:val="yellow"/>
        </w:rPr>
      </w:pPr>
      <w:r w:rsidRPr="00315335">
        <w:rPr>
          <w:rFonts w:ascii="Arial" w:hAnsi="Arial" w:cs="Arial"/>
          <w:noProof/>
          <w:sz w:val="24"/>
          <w:szCs w:val="24"/>
        </w:rPr>
        <w:drawing>
          <wp:anchor distT="0" distB="0" distL="114300" distR="114300" simplePos="0" relativeHeight="251660800" behindDoc="0" locked="0" layoutInCell="1" allowOverlap="1" wp14:anchorId="1AE571C4" wp14:editId="6F4A1DA7">
            <wp:simplePos x="0" y="0"/>
            <wp:positionH relativeFrom="column">
              <wp:posOffset>723900</wp:posOffset>
            </wp:positionH>
            <wp:positionV relativeFrom="paragraph">
              <wp:posOffset>0</wp:posOffset>
            </wp:positionV>
            <wp:extent cx="4898390" cy="2602230"/>
            <wp:effectExtent l="0" t="0" r="0" b="0"/>
            <wp:wrapNone/>
            <wp:docPr id="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98390"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jc w:val="both"/>
        <w:rPr>
          <w:rFonts w:ascii="Arial" w:hAnsi="Arial" w:cs="Arial"/>
          <w:sz w:val="24"/>
          <w:szCs w:val="24"/>
          <w:highlight w:val="yellow"/>
        </w:rPr>
      </w:pPr>
    </w:p>
    <w:p w:rsidR="00737DE6" w:rsidRPr="00315335" w:rsidRDefault="00737DE6" w:rsidP="00737DE6">
      <w:pPr>
        <w:spacing w:after="0" w:line="240" w:lineRule="auto"/>
        <w:ind w:firstLine="708"/>
        <w:jc w:val="both"/>
        <w:rPr>
          <w:rFonts w:ascii="Arial" w:hAnsi="Arial" w:cs="Arial"/>
          <w:b/>
          <w:sz w:val="24"/>
          <w:szCs w:val="24"/>
        </w:rPr>
      </w:pPr>
      <w:r w:rsidRPr="00315335">
        <w:rPr>
          <w:rFonts w:ascii="Arial" w:hAnsi="Arial" w:cs="Arial"/>
          <w:sz w:val="24"/>
          <w:szCs w:val="24"/>
        </w:rPr>
        <w:t>Deșeurile menajere conțin aprox. 52% deșeuri biodegradabile iar  este majoritară în deșeurile menajere, ponderea deșeurilor reciclabile fiind de aprox. 30% din total, deșeuri ce ar fi trebuit să se regăsească în circuitul colectării selective. Deşeurile reprezintă o pierdere uriaşă de resurse sub formă de materiale şi energie. Cantitatea deşeurilor generate poate fi privită ca un indicator a cât de eficienţi suntem noi ca societate, în special cu privire la utilizarea resurselor naturale şi la operaţiile de tratare a deşeurilor. Deşeurile municipale sunt în prezent cel mai bun indicator disponibil pentru descrierea dezvoltării generale a generării şi tratării deşeurilor în România.</w:t>
      </w:r>
    </w:p>
    <w:tbl>
      <w:tblPr>
        <w:tblpPr w:leftFromText="180" w:rightFromText="180" w:vertAnchor="text" w:horzAnchor="margin" w:tblpX="136"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4A0" w:firstRow="1" w:lastRow="0" w:firstColumn="1" w:lastColumn="0" w:noHBand="0" w:noVBand="1"/>
      </w:tblPr>
      <w:tblGrid>
        <w:gridCol w:w="10037"/>
      </w:tblGrid>
      <w:tr w:rsidR="00737DE6" w:rsidRPr="00315335" w:rsidTr="00916B06">
        <w:tc>
          <w:tcPr>
            <w:tcW w:w="10037" w:type="dxa"/>
            <w:shd w:val="clear" w:color="auto" w:fill="C6D9F1"/>
          </w:tcPr>
          <w:p w:rsidR="00737DE6" w:rsidRPr="00315335" w:rsidRDefault="00737DE6" w:rsidP="00916B06">
            <w:pPr>
              <w:autoSpaceDE w:val="0"/>
              <w:autoSpaceDN w:val="0"/>
              <w:adjustRightInd w:val="0"/>
              <w:spacing w:after="0" w:line="240" w:lineRule="auto"/>
              <w:jc w:val="both"/>
              <w:rPr>
                <w:rFonts w:ascii="Arial" w:hAnsi="Arial" w:cs="Arial"/>
                <w:b/>
                <w:sz w:val="24"/>
                <w:szCs w:val="24"/>
              </w:rPr>
            </w:pPr>
            <w:r w:rsidRPr="00315335">
              <w:rPr>
                <w:rFonts w:ascii="Arial" w:hAnsi="Arial" w:cs="Arial"/>
                <w:b/>
                <w:sz w:val="24"/>
                <w:szCs w:val="24"/>
              </w:rPr>
              <w:t>Indicatorul RO 16 – Generarea deşeurilor municipale</w:t>
            </w:r>
          </w:p>
          <w:p w:rsidR="00737DE6" w:rsidRPr="00315335" w:rsidRDefault="00737DE6" w:rsidP="00916B06">
            <w:pPr>
              <w:autoSpaceDE w:val="0"/>
              <w:autoSpaceDN w:val="0"/>
              <w:adjustRightInd w:val="0"/>
              <w:spacing w:after="0" w:line="240" w:lineRule="auto"/>
              <w:jc w:val="both"/>
              <w:rPr>
                <w:rFonts w:ascii="Arial" w:hAnsi="Arial" w:cs="Arial"/>
                <w:b/>
                <w:sz w:val="24"/>
                <w:szCs w:val="24"/>
              </w:rPr>
            </w:pPr>
          </w:p>
          <w:p w:rsidR="00737DE6" w:rsidRPr="00315335" w:rsidRDefault="00737DE6" w:rsidP="00916B06">
            <w:pPr>
              <w:autoSpaceDE w:val="0"/>
              <w:autoSpaceDN w:val="0"/>
              <w:adjustRightInd w:val="0"/>
              <w:spacing w:after="0" w:line="240" w:lineRule="auto"/>
              <w:jc w:val="both"/>
              <w:rPr>
                <w:rFonts w:ascii="Arial" w:hAnsi="Arial" w:cs="Arial"/>
                <w:b/>
                <w:sz w:val="24"/>
                <w:szCs w:val="24"/>
              </w:rPr>
            </w:pPr>
            <w:r w:rsidRPr="00315335">
              <w:rPr>
                <w:rFonts w:ascii="Arial" w:hAnsi="Arial" w:cs="Arial"/>
                <w:sz w:val="24"/>
                <w:szCs w:val="24"/>
              </w:rPr>
              <w:t xml:space="preserve">Indicatorul prezintă generarea deşeurilor municipale, exprimată în kg/cap de locuitor. Deşeurile municipale reprezintă totalitatea deşeurilor generate în mediul urban şi rural din gospodării, instituţii, unităţi comerciale, unităţi economice (deşeuri menajere şi asimilabile), </w:t>
            </w:r>
            <w:r w:rsidRPr="00315335">
              <w:rPr>
                <w:rFonts w:ascii="Arial" w:hAnsi="Arial" w:cs="Arial"/>
                <w:sz w:val="24"/>
                <w:szCs w:val="24"/>
              </w:rPr>
              <w:lastRenderedPageBreak/>
              <w:t>deşeuri stradale colectate din spaţii publice, străzi, parcuri, spaţii verzi, precum şi deşeuri din construcţii şi demolări colectate de operatorii de salubrizare.</w:t>
            </w:r>
          </w:p>
        </w:tc>
      </w:tr>
    </w:tbl>
    <w:p w:rsidR="00737DE6" w:rsidRPr="00315335" w:rsidRDefault="00737DE6" w:rsidP="00737DE6">
      <w:pPr>
        <w:autoSpaceDE w:val="0"/>
        <w:autoSpaceDN w:val="0"/>
        <w:adjustRightInd w:val="0"/>
        <w:spacing w:after="0" w:line="240" w:lineRule="auto"/>
        <w:jc w:val="both"/>
        <w:rPr>
          <w:rFonts w:ascii="Arial" w:hAnsi="Arial" w:cs="Arial"/>
          <w:b/>
          <w:sz w:val="24"/>
          <w:szCs w:val="24"/>
        </w:rPr>
      </w:pP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Tabelul şi figura VII.1.1.3 reprezintă evoluţia indicatorului de generare a deşeurilor municipale la nivelul judeţului Brăila, comparativ cu situaţia la nivel naţional şi european.</w:t>
      </w:r>
    </w:p>
    <w:p w:rsidR="00737DE6" w:rsidRPr="00315335" w:rsidRDefault="00737DE6" w:rsidP="00737DE6">
      <w:pPr>
        <w:spacing w:after="0" w:line="240" w:lineRule="auto"/>
        <w:jc w:val="both"/>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 xml:space="preserve"> Tabel VII.1.1.3 Indicatorul de generare a deșeurilor municipale</w:t>
      </w:r>
    </w:p>
    <w:p w:rsidR="00737DE6" w:rsidRPr="00315335" w:rsidRDefault="00737DE6" w:rsidP="00737DE6">
      <w:pPr>
        <w:spacing w:after="0" w:line="240" w:lineRule="auto"/>
        <w:rPr>
          <w:rFonts w:ascii="Arial" w:hAnsi="Arial" w:cs="Arial"/>
          <w:sz w:val="24"/>
          <w:szCs w:val="24"/>
          <w:highlight w:val="yellow"/>
        </w:rPr>
      </w:pP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2784"/>
        <w:gridCol w:w="951"/>
        <w:gridCol w:w="951"/>
        <w:gridCol w:w="951"/>
        <w:gridCol w:w="981"/>
        <w:gridCol w:w="951"/>
        <w:gridCol w:w="951"/>
        <w:gridCol w:w="951"/>
        <w:gridCol w:w="951"/>
      </w:tblGrid>
      <w:tr w:rsidR="00315335" w:rsidRPr="00315335" w:rsidTr="00916B06">
        <w:trPr>
          <w:jc w:val="center"/>
        </w:trPr>
        <w:tc>
          <w:tcPr>
            <w:tcW w:w="3196" w:type="dxa"/>
            <w:shd w:val="clear" w:color="auto" w:fill="auto"/>
            <w:vAlign w:val="center"/>
          </w:tcPr>
          <w:p w:rsidR="00737DE6" w:rsidRPr="00315335" w:rsidRDefault="00737DE6" w:rsidP="00916B06">
            <w:pPr>
              <w:spacing w:after="0" w:line="240" w:lineRule="auto"/>
              <w:jc w:val="center"/>
              <w:rPr>
                <w:rFonts w:ascii="Arial" w:hAnsi="Arial" w:cs="Arial"/>
                <w:b/>
                <w:caps/>
                <w:sz w:val="24"/>
                <w:szCs w:val="24"/>
              </w:rPr>
            </w:pPr>
          </w:p>
        </w:tc>
        <w:tc>
          <w:tcPr>
            <w:tcW w:w="889" w:type="dxa"/>
            <w:shd w:val="clear" w:color="auto" w:fill="auto"/>
            <w:vAlign w:val="center"/>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2010</w:t>
            </w:r>
          </w:p>
        </w:tc>
        <w:tc>
          <w:tcPr>
            <w:tcW w:w="889" w:type="dxa"/>
            <w:shd w:val="clear" w:color="auto" w:fill="auto"/>
            <w:vAlign w:val="center"/>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2011</w:t>
            </w:r>
          </w:p>
        </w:tc>
        <w:tc>
          <w:tcPr>
            <w:tcW w:w="889" w:type="dxa"/>
            <w:vAlign w:val="center"/>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2012</w:t>
            </w:r>
          </w:p>
        </w:tc>
        <w:tc>
          <w:tcPr>
            <w:tcW w:w="990" w:type="dxa"/>
            <w:vAlign w:val="center"/>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2013</w:t>
            </w:r>
          </w:p>
        </w:tc>
        <w:tc>
          <w:tcPr>
            <w:tcW w:w="900" w:type="dxa"/>
            <w:vAlign w:val="center"/>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2014</w:t>
            </w:r>
          </w:p>
        </w:tc>
        <w:tc>
          <w:tcPr>
            <w:tcW w:w="889" w:type="dxa"/>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2015</w:t>
            </w:r>
          </w:p>
        </w:tc>
        <w:tc>
          <w:tcPr>
            <w:tcW w:w="889" w:type="dxa"/>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2016</w:t>
            </w:r>
          </w:p>
        </w:tc>
        <w:tc>
          <w:tcPr>
            <w:tcW w:w="889" w:type="dxa"/>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2017</w:t>
            </w:r>
          </w:p>
        </w:tc>
      </w:tr>
      <w:tr w:rsidR="00315335" w:rsidRPr="00315335" w:rsidTr="00916B06">
        <w:trPr>
          <w:jc w:val="center"/>
        </w:trPr>
        <w:tc>
          <w:tcPr>
            <w:tcW w:w="3196" w:type="dxa"/>
            <w:shd w:val="clear" w:color="auto" w:fill="auto"/>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Indicatorul RO 16: Generarea deșeurilor municipale</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Kg/loc/an</w:t>
            </w:r>
          </w:p>
        </w:tc>
        <w:tc>
          <w:tcPr>
            <w:tcW w:w="889" w:type="dxa"/>
            <w:shd w:val="clear" w:color="auto" w:fill="auto"/>
            <w:vAlign w:val="center"/>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164,35</w:t>
            </w:r>
          </w:p>
        </w:tc>
        <w:tc>
          <w:tcPr>
            <w:tcW w:w="889" w:type="dxa"/>
            <w:shd w:val="clear" w:color="auto" w:fill="auto"/>
            <w:vAlign w:val="center"/>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142,46</w:t>
            </w:r>
          </w:p>
        </w:tc>
        <w:tc>
          <w:tcPr>
            <w:tcW w:w="889" w:type="dxa"/>
            <w:vAlign w:val="center"/>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139,64</w:t>
            </w:r>
          </w:p>
        </w:tc>
        <w:tc>
          <w:tcPr>
            <w:tcW w:w="990" w:type="dxa"/>
            <w:vAlign w:val="center"/>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153,13</w:t>
            </w:r>
          </w:p>
        </w:tc>
        <w:tc>
          <w:tcPr>
            <w:tcW w:w="900" w:type="dxa"/>
            <w:vAlign w:val="center"/>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149,95</w:t>
            </w:r>
          </w:p>
        </w:tc>
        <w:tc>
          <w:tcPr>
            <w:tcW w:w="889" w:type="dxa"/>
          </w:tcPr>
          <w:p w:rsidR="00737DE6" w:rsidRPr="00315335" w:rsidRDefault="00737DE6" w:rsidP="00916B06">
            <w:pPr>
              <w:spacing w:after="0" w:line="240" w:lineRule="auto"/>
              <w:rPr>
                <w:rFonts w:ascii="Arial" w:hAnsi="Arial" w:cs="Arial"/>
                <w:b/>
                <w:sz w:val="24"/>
                <w:szCs w:val="24"/>
              </w:rPr>
            </w:pPr>
          </w:p>
          <w:p w:rsidR="00737DE6" w:rsidRPr="00315335" w:rsidRDefault="00737DE6" w:rsidP="00916B06">
            <w:pPr>
              <w:spacing w:after="0" w:line="240" w:lineRule="auto"/>
              <w:rPr>
                <w:rFonts w:ascii="Arial" w:hAnsi="Arial" w:cs="Arial"/>
                <w:b/>
                <w:sz w:val="24"/>
                <w:szCs w:val="24"/>
              </w:rPr>
            </w:pPr>
          </w:p>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171,65</w:t>
            </w:r>
          </w:p>
        </w:tc>
        <w:tc>
          <w:tcPr>
            <w:tcW w:w="889" w:type="dxa"/>
          </w:tcPr>
          <w:p w:rsidR="00737DE6" w:rsidRPr="00315335" w:rsidRDefault="00737DE6" w:rsidP="00916B06">
            <w:pPr>
              <w:spacing w:after="0" w:line="240" w:lineRule="auto"/>
              <w:rPr>
                <w:rFonts w:ascii="Arial" w:hAnsi="Arial" w:cs="Arial"/>
                <w:b/>
                <w:sz w:val="24"/>
                <w:szCs w:val="24"/>
              </w:rPr>
            </w:pPr>
          </w:p>
          <w:p w:rsidR="00737DE6" w:rsidRPr="00315335" w:rsidRDefault="00737DE6" w:rsidP="00916B06">
            <w:pPr>
              <w:spacing w:after="0" w:line="240" w:lineRule="auto"/>
              <w:rPr>
                <w:rFonts w:ascii="Arial" w:hAnsi="Arial" w:cs="Arial"/>
                <w:b/>
                <w:sz w:val="24"/>
                <w:szCs w:val="24"/>
              </w:rPr>
            </w:pPr>
          </w:p>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184,31</w:t>
            </w:r>
          </w:p>
        </w:tc>
        <w:tc>
          <w:tcPr>
            <w:tcW w:w="889" w:type="dxa"/>
            <w:vAlign w:val="center"/>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204.78</w:t>
            </w:r>
          </w:p>
        </w:tc>
      </w:tr>
    </w:tbl>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Figura VII.1.1.3 Evoluția indicatorului de generare a deșeurilor municipale, 2010-2017</w:t>
      </w:r>
    </w:p>
    <w:p w:rsidR="00737DE6" w:rsidRPr="00315335" w:rsidRDefault="00737DE6" w:rsidP="00737DE6">
      <w:pPr>
        <w:spacing w:after="0" w:line="240" w:lineRule="auto"/>
        <w:rPr>
          <w:rFonts w:ascii="Arial" w:hAnsi="Arial" w:cs="Arial"/>
          <w:b/>
          <w:sz w:val="24"/>
          <w:szCs w:val="24"/>
        </w:rPr>
      </w:pPr>
    </w:p>
    <w:p w:rsidR="00737DE6" w:rsidRPr="00315335" w:rsidRDefault="00737DE6" w:rsidP="00737DE6">
      <w:pPr>
        <w:spacing w:after="0" w:line="240" w:lineRule="auto"/>
        <w:rPr>
          <w:rFonts w:ascii="Arial" w:hAnsi="Arial" w:cs="Arial"/>
          <w:b/>
          <w:sz w:val="24"/>
          <w:szCs w:val="24"/>
          <w:highlight w:val="yellow"/>
        </w:rPr>
      </w:pPr>
      <w:r w:rsidRPr="00315335">
        <w:rPr>
          <w:rFonts w:ascii="Arial" w:hAnsi="Arial" w:cs="Arial"/>
          <w:noProof/>
          <w:sz w:val="24"/>
          <w:szCs w:val="24"/>
        </w:rPr>
        <w:drawing>
          <wp:anchor distT="0" distB="0" distL="114300" distR="114300" simplePos="0" relativeHeight="251661824" behindDoc="0" locked="0" layoutInCell="1" allowOverlap="1" wp14:anchorId="09608B61" wp14:editId="57CFB784">
            <wp:simplePos x="0" y="0"/>
            <wp:positionH relativeFrom="column">
              <wp:posOffset>43815</wp:posOffset>
            </wp:positionH>
            <wp:positionV relativeFrom="paragraph">
              <wp:posOffset>49530</wp:posOffset>
            </wp:positionV>
            <wp:extent cx="5476875" cy="2433320"/>
            <wp:effectExtent l="0" t="1905" r="3810" b="0"/>
            <wp:wrapSquare wrapText="right"/>
            <wp:docPr id="248"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page">
              <wp14:pctWidth>0</wp14:pctWidth>
            </wp14:sizeRelH>
            <wp14:sizeRelV relativeFrom="page">
              <wp14:pctHeight>0</wp14:pctHeight>
            </wp14:sizeRelV>
          </wp:anchor>
        </w:drawing>
      </w: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jc w:val="center"/>
        <w:rPr>
          <w:rFonts w:ascii="Arial" w:hAnsi="Arial" w:cs="Arial"/>
          <w:b/>
          <w:sz w:val="24"/>
          <w:szCs w:val="24"/>
          <w:highlight w:val="yellow"/>
        </w:rPr>
      </w:pP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i/>
          <w:sz w:val="24"/>
          <w:szCs w:val="24"/>
        </w:rPr>
      </w:pPr>
    </w:p>
    <w:p w:rsidR="00737DE6" w:rsidRPr="00315335" w:rsidRDefault="00737DE6" w:rsidP="00737DE6">
      <w:pPr>
        <w:spacing w:after="0" w:line="240" w:lineRule="auto"/>
        <w:rPr>
          <w:rFonts w:ascii="Arial" w:hAnsi="Arial" w:cs="Arial"/>
          <w:i/>
          <w:sz w:val="24"/>
          <w:szCs w:val="24"/>
        </w:rPr>
      </w:pPr>
    </w:p>
    <w:p w:rsidR="00737DE6" w:rsidRPr="00315335" w:rsidRDefault="00737DE6" w:rsidP="00737DE6">
      <w:pPr>
        <w:spacing w:after="0" w:line="240" w:lineRule="auto"/>
        <w:rPr>
          <w:rFonts w:ascii="Arial" w:hAnsi="Arial" w:cs="Arial"/>
          <w:i/>
          <w:sz w:val="24"/>
          <w:szCs w:val="24"/>
        </w:rPr>
      </w:pPr>
    </w:p>
    <w:p w:rsidR="00737DE6" w:rsidRPr="00315335" w:rsidRDefault="00737DE6" w:rsidP="00737DE6">
      <w:pPr>
        <w:spacing w:after="0" w:line="240" w:lineRule="auto"/>
        <w:rPr>
          <w:rFonts w:ascii="Arial" w:hAnsi="Arial" w:cs="Arial"/>
          <w:i/>
          <w:sz w:val="24"/>
          <w:szCs w:val="24"/>
        </w:rPr>
      </w:pPr>
    </w:p>
    <w:p w:rsidR="00737DE6" w:rsidRPr="00315335" w:rsidRDefault="00737DE6" w:rsidP="00737DE6">
      <w:pPr>
        <w:spacing w:after="0" w:line="240" w:lineRule="auto"/>
        <w:rPr>
          <w:rFonts w:ascii="Arial" w:hAnsi="Arial" w:cs="Arial"/>
          <w:i/>
          <w:sz w:val="24"/>
          <w:szCs w:val="24"/>
        </w:rPr>
      </w:pPr>
    </w:p>
    <w:p w:rsidR="00737DE6" w:rsidRPr="00315335" w:rsidRDefault="00737DE6" w:rsidP="00737DE6">
      <w:pPr>
        <w:spacing w:after="0" w:line="240" w:lineRule="auto"/>
        <w:rPr>
          <w:rFonts w:ascii="Arial" w:hAnsi="Arial" w:cs="Arial"/>
          <w:i/>
          <w:sz w:val="24"/>
          <w:szCs w:val="24"/>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i/>
          <w:sz w:val="24"/>
          <w:szCs w:val="24"/>
        </w:rPr>
        <w:t>Sursa</w:t>
      </w:r>
      <w:r w:rsidRPr="00315335">
        <w:rPr>
          <w:rFonts w:ascii="Arial" w:hAnsi="Arial" w:cs="Arial"/>
          <w:i/>
          <w:sz w:val="24"/>
          <w:szCs w:val="24"/>
        </w:rPr>
        <w:sym w:font="Symbol" w:char="F03A"/>
      </w:r>
      <w:r w:rsidRPr="00315335">
        <w:rPr>
          <w:rFonts w:ascii="Arial" w:hAnsi="Arial" w:cs="Arial"/>
          <w:i/>
          <w:sz w:val="24"/>
          <w:szCs w:val="24"/>
        </w:rPr>
        <w:t xml:space="preserve">  Baza de date Medius şi SIM-SD- Statistica deşeurilor 2011-2017</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b/>
          <w:sz w:val="24"/>
          <w:szCs w:val="24"/>
        </w:rPr>
      </w:pPr>
      <w:r w:rsidRPr="00315335">
        <w:rPr>
          <w:rFonts w:ascii="Arial" w:hAnsi="Arial" w:cs="Arial"/>
          <w:b/>
          <w:sz w:val="24"/>
          <w:szCs w:val="24"/>
        </w:rPr>
        <w:t>Colectarea și transportul deșeurilor</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După provenienţa lor, deşeurile municipale includ:</w:t>
      </w:r>
    </w:p>
    <w:p w:rsidR="00737DE6" w:rsidRPr="00315335" w:rsidRDefault="00737DE6" w:rsidP="00737DE6">
      <w:pPr>
        <w:pStyle w:val="Listparagraf"/>
        <w:numPr>
          <w:ilvl w:val="0"/>
          <w:numId w:val="22"/>
        </w:numPr>
        <w:jc w:val="both"/>
        <w:rPr>
          <w:rFonts w:ascii="Arial" w:hAnsi="Arial" w:cs="Arial"/>
        </w:rPr>
      </w:pPr>
      <w:r w:rsidRPr="00315335">
        <w:rPr>
          <w:rFonts w:ascii="Arial" w:hAnsi="Arial" w:cs="Arial"/>
        </w:rPr>
        <w:t>deşeuri menajere de la populaţie şi agenţi economici</w:t>
      </w:r>
    </w:p>
    <w:p w:rsidR="00737DE6" w:rsidRPr="00315335" w:rsidRDefault="00737DE6" w:rsidP="00737DE6">
      <w:pPr>
        <w:pStyle w:val="Listparagraf"/>
        <w:numPr>
          <w:ilvl w:val="0"/>
          <w:numId w:val="22"/>
        </w:numPr>
        <w:jc w:val="both"/>
        <w:rPr>
          <w:rFonts w:ascii="Arial" w:hAnsi="Arial" w:cs="Arial"/>
        </w:rPr>
      </w:pPr>
      <w:r w:rsidRPr="00315335">
        <w:rPr>
          <w:rFonts w:ascii="Arial" w:hAnsi="Arial" w:cs="Arial"/>
        </w:rPr>
        <w:t>deşeuri din servicii publice (deşeuri stradale, din pieţe, grădini, parcuri şi spaţii verzi)</w:t>
      </w:r>
    </w:p>
    <w:p w:rsidR="00737DE6" w:rsidRPr="00315335" w:rsidRDefault="00737DE6" w:rsidP="00737DE6">
      <w:pPr>
        <w:pStyle w:val="Listparagraf"/>
        <w:numPr>
          <w:ilvl w:val="0"/>
          <w:numId w:val="22"/>
        </w:numPr>
        <w:jc w:val="both"/>
        <w:rPr>
          <w:rFonts w:ascii="Arial" w:hAnsi="Arial" w:cs="Arial"/>
        </w:rPr>
      </w:pPr>
      <w:r w:rsidRPr="00315335">
        <w:rPr>
          <w:rFonts w:ascii="Arial" w:hAnsi="Arial" w:cs="Arial"/>
        </w:rPr>
        <w:t>deşeuri din construcţii şi demolări (inclusiv alte categorii de deşeuri neclasificate)</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În anul 2017 au fost colectate de către municipalităţi, prin intermediul operatorilor de salubrizare autorizaţi sau al serviciilor de gospodărire din cadrul unor primării, o cantitate de 79110 tone deşeuri, (tabel VII.1.1.4)</w:t>
      </w: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Tabel VII.1.1.4 Deşeuri totale colectate de municipalităţi în anul 2017 (tone)</w:t>
      </w: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4457"/>
        <w:gridCol w:w="3330"/>
        <w:gridCol w:w="2040"/>
      </w:tblGrid>
      <w:tr w:rsidR="00315335" w:rsidRPr="00315335" w:rsidTr="00916B06">
        <w:trPr>
          <w:jc w:val="center"/>
        </w:trPr>
        <w:tc>
          <w:tcPr>
            <w:tcW w:w="4457" w:type="dxa"/>
            <w:shd w:val="clear" w:color="auto" w:fill="auto"/>
          </w:tcPr>
          <w:p w:rsidR="00737DE6" w:rsidRPr="00315335" w:rsidRDefault="00737DE6" w:rsidP="00916B06">
            <w:pPr>
              <w:spacing w:after="0" w:line="240" w:lineRule="auto"/>
              <w:rPr>
                <w:rFonts w:ascii="Arial" w:hAnsi="Arial" w:cs="Arial"/>
                <w:caps/>
                <w:sz w:val="24"/>
                <w:szCs w:val="24"/>
              </w:rPr>
            </w:pPr>
            <w:r w:rsidRPr="00315335">
              <w:rPr>
                <w:rFonts w:ascii="Arial" w:hAnsi="Arial" w:cs="Arial"/>
                <w:sz w:val="24"/>
                <w:szCs w:val="24"/>
              </w:rPr>
              <w:t>DEŞEURI  MUNICIPALE COLECTATE</w:t>
            </w:r>
          </w:p>
        </w:tc>
        <w:tc>
          <w:tcPr>
            <w:tcW w:w="3330" w:type="dxa"/>
            <w:shd w:val="clear" w:color="auto" w:fill="auto"/>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cantitate colectata</w:t>
            </w:r>
          </w:p>
        </w:tc>
        <w:tc>
          <w:tcPr>
            <w:tcW w:w="2040" w:type="dxa"/>
            <w:shd w:val="clear" w:color="auto" w:fill="auto"/>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Procent %</w:t>
            </w:r>
          </w:p>
        </w:tc>
      </w:tr>
      <w:tr w:rsidR="00315335" w:rsidRPr="00315335" w:rsidTr="00916B06">
        <w:trPr>
          <w:jc w:val="center"/>
        </w:trPr>
        <w:tc>
          <w:tcPr>
            <w:tcW w:w="4457"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Deşeuri menajere (1)</w:t>
            </w:r>
          </w:p>
        </w:tc>
        <w:tc>
          <w:tcPr>
            <w:tcW w:w="3330"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57430</w:t>
            </w:r>
          </w:p>
        </w:tc>
        <w:tc>
          <w:tcPr>
            <w:tcW w:w="2040"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72</w:t>
            </w:r>
          </w:p>
        </w:tc>
      </w:tr>
      <w:tr w:rsidR="00315335" w:rsidRPr="00315335" w:rsidTr="00916B06">
        <w:trPr>
          <w:jc w:val="center"/>
        </w:trPr>
        <w:tc>
          <w:tcPr>
            <w:tcW w:w="4457"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Deşeuri din servicii publice (2)</w:t>
            </w:r>
          </w:p>
        </w:tc>
        <w:tc>
          <w:tcPr>
            <w:tcW w:w="3330"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18000</w:t>
            </w:r>
          </w:p>
        </w:tc>
        <w:tc>
          <w:tcPr>
            <w:tcW w:w="2040"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23</w:t>
            </w:r>
          </w:p>
        </w:tc>
      </w:tr>
      <w:tr w:rsidR="00315335" w:rsidRPr="00315335" w:rsidTr="00916B06">
        <w:trPr>
          <w:jc w:val="center"/>
        </w:trPr>
        <w:tc>
          <w:tcPr>
            <w:tcW w:w="4457"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Deşeuri din construcţii şi demolări (3)</w:t>
            </w:r>
          </w:p>
        </w:tc>
        <w:tc>
          <w:tcPr>
            <w:tcW w:w="3330" w:type="dxa"/>
            <w:shd w:val="clear" w:color="auto" w:fill="auto"/>
          </w:tcPr>
          <w:p w:rsidR="00737DE6" w:rsidRPr="00315335" w:rsidRDefault="00737DE6" w:rsidP="00916B06">
            <w:pPr>
              <w:spacing w:after="0" w:line="240" w:lineRule="auto"/>
              <w:jc w:val="center"/>
              <w:rPr>
                <w:rFonts w:ascii="Arial" w:hAnsi="Arial" w:cs="Arial"/>
                <w:b/>
                <w:bCs/>
                <w:sz w:val="24"/>
                <w:szCs w:val="24"/>
              </w:rPr>
            </w:pPr>
            <w:r w:rsidRPr="00315335">
              <w:rPr>
                <w:rFonts w:ascii="Arial" w:hAnsi="Arial" w:cs="Arial"/>
                <w:b/>
                <w:bCs/>
                <w:sz w:val="24"/>
                <w:szCs w:val="24"/>
              </w:rPr>
              <w:t>3680</w:t>
            </w:r>
          </w:p>
        </w:tc>
        <w:tc>
          <w:tcPr>
            <w:tcW w:w="2040"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5</w:t>
            </w:r>
          </w:p>
        </w:tc>
      </w:tr>
      <w:tr w:rsidR="00315335" w:rsidRPr="00315335" w:rsidTr="00916B06">
        <w:trPr>
          <w:jc w:val="center"/>
        </w:trPr>
        <w:tc>
          <w:tcPr>
            <w:tcW w:w="4457"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Total</w:t>
            </w:r>
          </w:p>
        </w:tc>
        <w:tc>
          <w:tcPr>
            <w:tcW w:w="3330"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Total corect 79110</w:t>
            </w:r>
          </w:p>
        </w:tc>
        <w:tc>
          <w:tcPr>
            <w:tcW w:w="2040"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100</w:t>
            </w:r>
          </w:p>
        </w:tc>
      </w:tr>
    </w:tbl>
    <w:p w:rsidR="00737DE6" w:rsidRPr="00315335" w:rsidRDefault="00737DE6" w:rsidP="00737DE6">
      <w:pPr>
        <w:spacing w:after="0" w:line="240" w:lineRule="auto"/>
        <w:rPr>
          <w:rFonts w:ascii="Arial" w:hAnsi="Arial" w:cs="Arial"/>
          <w:b/>
          <w:sz w:val="24"/>
          <w:szCs w:val="24"/>
        </w:rPr>
      </w:pPr>
      <w:r w:rsidRPr="00315335">
        <w:rPr>
          <w:rFonts w:ascii="Arial" w:hAnsi="Arial" w:cs="Arial"/>
          <w:i/>
          <w:sz w:val="24"/>
          <w:szCs w:val="24"/>
        </w:rPr>
        <w:t>Sursa</w:t>
      </w:r>
      <w:r w:rsidRPr="00315335">
        <w:rPr>
          <w:rFonts w:ascii="Arial" w:hAnsi="Arial" w:cs="Arial"/>
          <w:i/>
          <w:sz w:val="24"/>
          <w:szCs w:val="24"/>
        </w:rPr>
        <w:sym w:font="Symbol" w:char="F03A"/>
      </w:r>
      <w:r w:rsidRPr="00315335">
        <w:rPr>
          <w:rFonts w:ascii="Arial" w:hAnsi="Arial" w:cs="Arial"/>
          <w:i/>
          <w:sz w:val="24"/>
          <w:szCs w:val="24"/>
        </w:rPr>
        <w:t xml:space="preserve">  Baza de date SIM- SD- Statistica deşeurilor 2017</w:t>
      </w:r>
    </w:p>
    <w:p w:rsidR="00737DE6" w:rsidRPr="00315335" w:rsidRDefault="00737DE6" w:rsidP="00737DE6">
      <w:pPr>
        <w:spacing w:after="0" w:line="240" w:lineRule="auto"/>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Distribuţia cantităţilor de deşeuri menajere colectate în amestec de la populaţie şi agenţi economici este prezentată în tabelul VII.1.1.5. </w:t>
      </w: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sz w:val="24"/>
          <w:szCs w:val="24"/>
        </w:rPr>
        <w:t>Tabel VII.1.1.5 Deşeuri menajere colectate în amestec în anul 2017 (tone)</w:t>
      </w: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4820"/>
        <w:gridCol w:w="2560"/>
        <w:gridCol w:w="2468"/>
      </w:tblGrid>
      <w:tr w:rsidR="00315335" w:rsidRPr="00315335" w:rsidTr="00916B06">
        <w:trPr>
          <w:jc w:val="center"/>
        </w:trPr>
        <w:tc>
          <w:tcPr>
            <w:tcW w:w="4820" w:type="dxa"/>
            <w:shd w:val="clear" w:color="auto" w:fill="EEECE1"/>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 xml:space="preserve">Deşeuri menajere colectate în amestec </w:t>
            </w:r>
          </w:p>
        </w:tc>
        <w:tc>
          <w:tcPr>
            <w:tcW w:w="2560" w:type="dxa"/>
            <w:shd w:val="clear" w:color="auto" w:fill="EEECE1"/>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Cantitate colectată</w:t>
            </w:r>
          </w:p>
        </w:tc>
        <w:tc>
          <w:tcPr>
            <w:tcW w:w="2468" w:type="dxa"/>
            <w:shd w:val="clear" w:color="auto" w:fill="EEECE1"/>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Procent %</w:t>
            </w:r>
          </w:p>
        </w:tc>
      </w:tr>
      <w:tr w:rsidR="00315335" w:rsidRPr="00315335" w:rsidTr="00916B06">
        <w:trPr>
          <w:trHeight w:val="384"/>
          <w:jc w:val="center"/>
        </w:trPr>
        <w:tc>
          <w:tcPr>
            <w:tcW w:w="482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 xml:space="preserve">Deşeuri menajere de la populaţie </w:t>
            </w:r>
          </w:p>
        </w:tc>
        <w:tc>
          <w:tcPr>
            <w:tcW w:w="2560"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50890</w:t>
            </w:r>
          </w:p>
        </w:tc>
        <w:tc>
          <w:tcPr>
            <w:tcW w:w="2468"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89</w:t>
            </w:r>
          </w:p>
        </w:tc>
      </w:tr>
      <w:tr w:rsidR="00315335" w:rsidRPr="00315335" w:rsidTr="00916B06">
        <w:trPr>
          <w:jc w:val="center"/>
        </w:trPr>
        <w:tc>
          <w:tcPr>
            <w:tcW w:w="482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 xml:space="preserve">Deşeuri menajere de la agenţii economici </w:t>
            </w:r>
          </w:p>
        </w:tc>
        <w:tc>
          <w:tcPr>
            <w:tcW w:w="2560"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6540</w:t>
            </w:r>
          </w:p>
        </w:tc>
        <w:tc>
          <w:tcPr>
            <w:tcW w:w="2468"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11</w:t>
            </w:r>
          </w:p>
        </w:tc>
      </w:tr>
      <w:tr w:rsidR="00315335" w:rsidRPr="00315335" w:rsidTr="00916B06">
        <w:trPr>
          <w:jc w:val="center"/>
        </w:trPr>
        <w:tc>
          <w:tcPr>
            <w:tcW w:w="482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Total</w:t>
            </w:r>
          </w:p>
        </w:tc>
        <w:tc>
          <w:tcPr>
            <w:tcW w:w="2560"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57430</w:t>
            </w:r>
          </w:p>
        </w:tc>
        <w:tc>
          <w:tcPr>
            <w:tcW w:w="2468"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100</w:t>
            </w:r>
          </w:p>
        </w:tc>
      </w:tr>
    </w:tbl>
    <w:p w:rsidR="00737DE6" w:rsidRPr="00315335" w:rsidRDefault="00737DE6" w:rsidP="00737DE6">
      <w:pPr>
        <w:spacing w:after="0" w:line="240" w:lineRule="auto"/>
        <w:rPr>
          <w:rFonts w:ascii="Arial" w:hAnsi="Arial" w:cs="Arial"/>
          <w:b/>
          <w:sz w:val="24"/>
          <w:szCs w:val="24"/>
        </w:rPr>
      </w:pPr>
      <w:r w:rsidRPr="00315335">
        <w:rPr>
          <w:rFonts w:ascii="Arial" w:hAnsi="Arial" w:cs="Arial"/>
          <w:i/>
          <w:sz w:val="24"/>
          <w:szCs w:val="24"/>
        </w:rPr>
        <w:t>Sursa de date</w:t>
      </w:r>
      <w:r w:rsidRPr="00315335">
        <w:rPr>
          <w:rFonts w:ascii="Arial" w:hAnsi="Arial" w:cs="Arial"/>
          <w:i/>
          <w:sz w:val="24"/>
          <w:szCs w:val="24"/>
        </w:rPr>
        <w:sym w:font="Symbol" w:char="F03A"/>
      </w:r>
      <w:r w:rsidRPr="00315335">
        <w:rPr>
          <w:rFonts w:ascii="Arial" w:hAnsi="Arial" w:cs="Arial"/>
          <w:i/>
          <w:sz w:val="24"/>
          <w:szCs w:val="24"/>
        </w:rPr>
        <w:t xml:space="preserve">  Baza de date SIM- SD- Statistica deseurilor 2017</w:t>
      </w:r>
    </w:p>
    <w:p w:rsidR="00737DE6" w:rsidRPr="00315335" w:rsidRDefault="00737DE6" w:rsidP="00737DE6">
      <w:pPr>
        <w:spacing w:after="0" w:line="240" w:lineRule="auto"/>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b/>
          <w:sz w:val="24"/>
          <w:szCs w:val="24"/>
        </w:rPr>
      </w:pPr>
      <w:r w:rsidRPr="00315335">
        <w:rPr>
          <w:rFonts w:ascii="Arial" w:hAnsi="Arial" w:cs="Arial"/>
          <w:sz w:val="24"/>
          <w:szCs w:val="24"/>
        </w:rPr>
        <w:t xml:space="preserve">Cea mai mare parte a deşeurilor menajere colectate, aproximativ 88% provine de la populaţie.În municipiul Brăila colectarea deşeurilor menajere se efectuează în mod organizat prin intermediul a trei operatori de salubritate : S.C. ECO S.A., S.C. BRAI-CATA S.R.L., S.C. R.E.R. ECOLOGIC SERVICE S.R.L. </w:t>
      </w:r>
    </w:p>
    <w:p w:rsidR="00737DE6" w:rsidRPr="00315335" w:rsidRDefault="00737DE6" w:rsidP="00737DE6">
      <w:pPr>
        <w:spacing w:after="0" w:line="240" w:lineRule="auto"/>
        <w:ind w:firstLine="708"/>
        <w:jc w:val="both"/>
        <w:rPr>
          <w:rFonts w:ascii="Arial" w:hAnsi="Arial" w:cs="Arial"/>
          <w:sz w:val="24"/>
          <w:szCs w:val="24"/>
        </w:rPr>
      </w:pPr>
      <w:r w:rsidRPr="00315335">
        <w:rPr>
          <w:rStyle w:val="tal1"/>
          <w:rFonts w:ascii="Arial" w:hAnsi="Arial" w:cs="Arial"/>
          <w:sz w:val="24"/>
          <w:szCs w:val="24"/>
          <w:lang w:val="it-IT"/>
        </w:rPr>
        <w:t xml:space="preserve">Autorităţile administrativ-teritoriale au competenţe exclusive în ceea ce priveşte înfiinţarea, organizarea, gestionarea şi coordonarea serviciilor de salubrizare a localităţilor a căror gestiune poate fi dată în administrare sau delegată . </w:t>
      </w:r>
      <w:r w:rsidRPr="00315335">
        <w:rPr>
          <w:rFonts w:ascii="Arial" w:hAnsi="Arial" w:cs="Arial"/>
          <w:sz w:val="24"/>
          <w:szCs w:val="24"/>
        </w:rPr>
        <w:t>În oraşele Ianca,Însurăţei şi Făurei precum și în câteva localități colectarea şi transportul deşeurilor de la populaţie se realizează prin servicii proprii , în restul prin contracte de delegare a acestor activități.</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În mediul rural colectarea deşeurilor menajere şi transportul până la punctul de colectare se organizează de către fiecare unitate administrativ teritorială în parte. Astfel colectarea se realizează prin: 6 operatori de salubritate care operează numai în zona rurală, 2 operatori care deservesc şi municipiul Brăila și prin servicii proprii de salubrizare, astfel încât toate localităţile beneficiază de servicii de salubrizare.</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Deşeurile menajere colectate în saci de plastic de la gospodăriile din localităţile rurale sunt transportate la punctele de colectare, unde sunt stocate temporar în containere metalice de mare capacitate (32 mc / 11 t).După umplere containerele sunt transportate la depozitul Muchea pentru eliminare cu ajutorul unui cap tractor cu sistem de încărcare – descărcare – basculare cu cârlig de către S.C. RECORWOOD S.R.L. (prin contract de delegare a gestiunii prin concesiune a serviciului de transport încheiat cu ADI  ECO DUNĂREA" Brăila). Containerele vor fi integrate ulterior în sistemul noilor investiţii şi vor deservi localităţile din Insula Mare a Brăilei precum şi municipiul Brăila pentru deşeurile din parcuri şi grădini care vor fi compostate. SC RER ECOLOGIC SERVICES SRL deține contract de prestări servicii în ceea ce privește colectarea și transportul deșeurilor menaje cu 3 comune din județ .</w:t>
      </w:r>
    </w:p>
    <w:p w:rsidR="00737DE6" w:rsidRPr="00315335" w:rsidRDefault="00737DE6" w:rsidP="00737DE6">
      <w:pPr>
        <w:spacing w:after="0" w:line="240" w:lineRule="auto"/>
        <w:ind w:firstLine="708"/>
        <w:jc w:val="both"/>
        <w:rPr>
          <w:rFonts w:ascii="Arial" w:hAnsi="Arial" w:cs="Arial"/>
          <w:b/>
          <w:sz w:val="24"/>
          <w:szCs w:val="24"/>
        </w:rPr>
      </w:pPr>
      <w:r w:rsidRPr="00315335">
        <w:rPr>
          <w:rFonts w:ascii="Arial" w:hAnsi="Arial" w:cs="Arial"/>
          <w:sz w:val="24"/>
          <w:szCs w:val="24"/>
        </w:rPr>
        <w:t>Soluţia implementată a fost dimensionată astfel încât să asigure un grad de acoperire cu servicii de salubritate de 100% în mediul rural, dar cu caracter temporar, reprezentand o soluţie de tranziţie până la darea în exploatare a investiţiilor SMID proiectate.</w:t>
      </w:r>
    </w:p>
    <w:p w:rsidR="00737DE6" w:rsidRPr="00315335" w:rsidRDefault="00737DE6" w:rsidP="00737DE6">
      <w:pPr>
        <w:spacing w:after="0" w:line="240" w:lineRule="auto"/>
        <w:jc w:val="both"/>
        <w:rPr>
          <w:rFonts w:ascii="Arial" w:hAnsi="Arial" w:cs="Arial"/>
          <w:b/>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Tabel VII.1.1.6 Rețeaua de puncte de colectare a deşeurilor menajere din mediul rural în anul 2018</w:t>
      </w:r>
    </w:p>
    <w:p w:rsidR="00737DE6" w:rsidRPr="00315335" w:rsidRDefault="00737DE6" w:rsidP="00737DE6">
      <w:pPr>
        <w:spacing w:after="0" w:line="240" w:lineRule="auto"/>
        <w:rPr>
          <w:rFonts w:ascii="Arial" w:hAnsi="Arial" w:cs="Arial"/>
          <w:sz w:val="24"/>
          <w:szCs w:val="24"/>
          <w:highlight w:val="yellow"/>
        </w:rPr>
      </w:pPr>
    </w:p>
    <w:tbl>
      <w:tblPr>
        <w:tblW w:w="0" w:type="auto"/>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550"/>
        <w:gridCol w:w="1882"/>
        <w:gridCol w:w="4253"/>
        <w:gridCol w:w="1903"/>
        <w:gridCol w:w="1705"/>
      </w:tblGrid>
      <w:tr w:rsidR="00315335" w:rsidRPr="00315335" w:rsidTr="00916B06">
        <w:tc>
          <w:tcPr>
            <w:tcW w:w="550" w:type="dxa"/>
            <w:shd w:val="clear" w:color="auto" w:fill="F2F2F2"/>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Nr.</w:t>
            </w:r>
          </w:p>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crt.</w:t>
            </w:r>
          </w:p>
        </w:tc>
        <w:tc>
          <w:tcPr>
            <w:tcW w:w="1882" w:type="dxa"/>
            <w:shd w:val="clear" w:color="auto" w:fill="F2F2F2"/>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Punctul de</w:t>
            </w:r>
          </w:p>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colectare</w:t>
            </w:r>
          </w:p>
        </w:tc>
        <w:tc>
          <w:tcPr>
            <w:tcW w:w="4253" w:type="dxa"/>
            <w:shd w:val="clear" w:color="auto" w:fill="F2F2F2"/>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Localități arondate</w:t>
            </w:r>
          </w:p>
        </w:tc>
        <w:tc>
          <w:tcPr>
            <w:tcW w:w="1903" w:type="dxa"/>
            <w:shd w:val="clear" w:color="auto" w:fill="F2F2F2"/>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Distanţa de la punctul de colectare la depozit Muchea(km)</w:t>
            </w:r>
          </w:p>
        </w:tc>
        <w:tc>
          <w:tcPr>
            <w:tcW w:w="1705" w:type="dxa"/>
            <w:shd w:val="clear" w:color="auto" w:fill="F2F2F2"/>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Numărul de</w:t>
            </w:r>
          </w:p>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locuitori</w:t>
            </w:r>
          </w:p>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deserviți</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1.</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Vădeni</w:t>
            </w:r>
          </w:p>
        </w:tc>
        <w:tc>
          <w:tcPr>
            <w:tcW w:w="4253"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Vădeni</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25</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3841</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2.</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Chiscani</w:t>
            </w:r>
          </w:p>
        </w:tc>
        <w:tc>
          <w:tcPr>
            <w:tcW w:w="4253"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Chiscani, Lacu Sărat, Vărsătura</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5364</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3.</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Cazasu</w:t>
            </w:r>
          </w:p>
        </w:tc>
        <w:tc>
          <w:tcPr>
            <w:tcW w:w="4253"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Cazasu</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10</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3109</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1.</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Bărăganu</w:t>
            </w:r>
          </w:p>
        </w:tc>
        <w:tc>
          <w:tcPr>
            <w:tcW w:w="4253" w:type="dxa"/>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Bărăganu, Victoria, Roșiori, Dudești, Ciocile</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80</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15227</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2.</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Cireșu</w:t>
            </w:r>
          </w:p>
        </w:tc>
        <w:tc>
          <w:tcPr>
            <w:tcW w:w="4253" w:type="dxa"/>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Cireșu, Ulmu. Zăvoaia</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107</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9520</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3.</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Jirlău</w:t>
            </w:r>
          </w:p>
        </w:tc>
        <w:tc>
          <w:tcPr>
            <w:tcW w:w="4253" w:type="dxa"/>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Jirlău, Galbenu, Vișani</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97</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8299</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4.</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Măxineni</w:t>
            </w:r>
          </w:p>
        </w:tc>
        <w:tc>
          <w:tcPr>
            <w:tcW w:w="4253" w:type="dxa"/>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Măxineni, Salcia Tudor, Scorțaru Nou, Frecăței, Mărașu, Grădiștea, Racovița, Romanu, Gemenele</w:t>
            </w:r>
          </w:p>
        </w:tc>
        <w:tc>
          <w:tcPr>
            <w:tcW w:w="1903" w:type="dxa"/>
          </w:tcPr>
          <w:p w:rsidR="00737DE6" w:rsidRPr="00315335" w:rsidRDefault="00737DE6" w:rsidP="00916B06">
            <w:pPr>
              <w:spacing w:after="0" w:line="240" w:lineRule="auto"/>
              <w:jc w:val="center"/>
              <w:rPr>
                <w:rFonts w:ascii="Arial" w:hAnsi="Arial" w:cs="Arial"/>
                <w:sz w:val="24"/>
                <w:szCs w:val="24"/>
              </w:rPr>
            </w:pPr>
          </w:p>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18</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p>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17670</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lastRenderedPageBreak/>
              <w:t>5.</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Movila Miresii</w:t>
            </w:r>
          </w:p>
        </w:tc>
        <w:tc>
          <w:tcPr>
            <w:tcW w:w="4253" w:type="dxa"/>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Movila Miresii, Râmnicelu, Tudor Vladimirescu, Șuțești</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38</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12232</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6.</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Surdila Găiseanca</w:t>
            </w:r>
          </w:p>
        </w:tc>
        <w:tc>
          <w:tcPr>
            <w:tcW w:w="4253" w:type="dxa"/>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Surdila Găiseanca. Mircea Vodă</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60</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5397</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7.</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Traian</w:t>
            </w:r>
          </w:p>
        </w:tc>
        <w:tc>
          <w:tcPr>
            <w:tcW w:w="4253" w:type="dxa"/>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Traian, Unirea, Bordei Verde</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35</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8010</w:t>
            </w:r>
          </w:p>
        </w:tc>
      </w:tr>
      <w:tr w:rsidR="00315335" w:rsidRPr="00315335" w:rsidTr="00916B06">
        <w:tc>
          <w:tcPr>
            <w:tcW w:w="550"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8.</w:t>
            </w:r>
          </w:p>
        </w:tc>
        <w:tc>
          <w:tcPr>
            <w:tcW w:w="1882" w:type="dxa"/>
            <w:shd w:val="clear" w:color="auto" w:fill="auto"/>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Tufești</w:t>
            </w:r>
          </w:p>
        </w:tc>
        <w:tc>
          <w:tcPr>
            <w:tcW w:w="4253" w:type="dxa"/>
          </w:tcPr>
          <w:p w:rsidR="00737DE6" w:rsidRPr="00315335" w:rsidRDefault="00737DE6" w:rsidP="00916B06">
            <w:pPr>
              <w:spacing w:after="0" w:line="240" w:lineRule="auto"/>
              <w:jc w:val="both"/>
              <w:rPr>
                <w:rFonts w:ascii="Arial" w:hAnsi="Arial" w:cs="Arial"/>
                <w:sz w:val="24"/>
                <w:szCs w:val="24"/>
              </w:rPr>
            </w:pPr>
            <w:r w:rsidRPr="00315335">
              <w:rPr>
                <w:rFonts w:ascii="Arial" w:hAnsi="Arial" w:cs="Arial"/>
                <w:sz w:val="24"/>
                <w:szCs w:val="24"/>
              </w:rPr>
              <w:t>Tufești, Viziru, Stăncuța, Berteștii de Jos, Tichilești, Gropeni</w:t>
            </w:r>
          </w:p>
        </w:tc>
        <w:tc>
          <w:tcPr>
            <w:tcW w:w="190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50</w:t>
            </w:r>
          </w:p>
        </w:tc>
        <w:tc>
          <w:tcPr>
            <w:tcW w:w="1705"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23831</w:t>
            </w:r>
          </w:p>
        </w:tc>
      </w:tr>
    </w:tbl>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Tabel VII.1.1.7 Evoluția cantităților de deșeuri menajere și asimilabile colectate în județul Brăila în perioada 2019-2017</w:t>
      </w:r>
    </w:p>
    <w:p w:rsidR="00737DE6" w:rsidRPr="00315335" w:rsidRDefault="00737DE6" w:rsidP="00737DE6">
      <w:pPr>
        <w:spacing w:after="0" w:line="240" w:lineRule="auto"/>
        <w:rPr>
          <w:rFonts w:ascii="Arial" w:hAnsi="Arial" w:cs="Arial"/>
          <w:sz w:val="24"/>
          <w:szCs w:val="24"/>
        </w:rPr>
      </w:pPr>
    </w:p>
    <w:tbl>
      <w:tblPr>
        <w:tblW w:w="0" w:type="auto"/>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1882"/>
        <w:gridCol w:w="4253"/>
        <w:gridCol w:w="1903"/>
        <w:gridCol w:w="1705"/>
      </w:tblGrid>
      <w:tr w:rsidR="00315335" w:rsidRPr="00315335" w:rsidTr="00916B06">
        <w:tc>
          <w:tcPr>
            <w:tcW w:w="1882" w:type="dxa"/>
            <w:shd w:val="clear" w:color="auto" w:fill="D9D9D9"/>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anul</w:t>
            </w:r>
          </w:p>
        </w:tc>
        <w:tc>
          <w:tcPr>
            <w:tcW w:w="4253" w:type="dxa"/>
            <w:shd w:val="clear" w:color="auto" w:fill="D9D9D9"/>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T O T A L</w:t>
            </w:r>
          </w:p>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[tone]</w:t>
            </w:r>
          </w:p>
        </w:tc>
        <w:tc>
          <w:tcPr>
            <w:tcW w:w="1903" w:type="dxa"/>
            <w:shd w:val="clear" w:color="auto" w:fill="D9D9D9"/>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URBAN</w:t>
            </w:r>
          </w:p>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[tone]</w:t>
            </w:r>
          </w:p>
        </w:tc>
        <w:tc>
          <w:tcPr>
            <w:tcW w:w="1705" w:type="dxa"/>
            <w:shd w:val="clear" w:color="auto" w:fill="D9D9D9"/>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RURAL</w:t>
            </w:r>
          </w:p>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[tone]</w:t>
            </w:r>
          </w:p>
        </w:tc>
      </w:tr>
      <w:tr w:rsidR="00315335" w:rsidRPr="00315335" w:rsidTr="00916B06">
        <w:tc>
          <w:tcPr>
            <w:tcW w:w="1882"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2009</w:t>
            </w:r>
          </w:p>
        </w:tc>
        <w:tc>
          <w:tcPr>
            <w:tcW w:w="425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48570,00</w:t>
            </w:r>
          </w:p>
        </w:tc>
        <w:tc>
          <w:tcPr>
            <w:tcW w:w="190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48570,00</w:t>
            </w:r>
          </w:p>
        </w:tc>
        <w:tc>
          <w:tcPr>
            <w:tcW w:w="1705"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0,00</w:t>
            </w:r>
          </w:p>
        </w:tc>
      </w:tr>
      <w:tr w:rsidR="00315335" w:rsidRPr="00315335" w:rsidTr="00916B06">
        <w:tc>
          <w:tcPr>
            <w:tcW w:w="1882"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2010</w:t>
            </w:r>
          </w:p>
        </w:tc>
        <w:tc>
          <w:tcPr>
            <w:tcW w:w="425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59488,30</w:t>
            </w:r>
          </w:p>
        </w:tc>
        <w:tc>
          <w:tcPr>
            <w:tcW w:w="190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55789,30</w:t>
            </w:r>
          </w:p>
        </w:tc>
        <w:tc>
          <w:tcPr>
            <w:tcW w:w="1705"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3699,00</w:t>
            </w:r>
          </w:p>
        </w:tc>
      </w:tr>
      <w:tr w:rsidR="00315335" w:rsidRPr="00315335" w:rsidTr="00916B06">
        <w:tc>
          <w:tcPr>
            <w:tcW w:w="1882"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2011</w:t>
            </w:r>
          </w:p>
        </w:tc>
        <w:tc>
          <w:tcPr>
            <w:tcW w:w="425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50712,50</w:t>
            </w:r>
          </w:p>
        </w:tc>
        <w:tc>
          <w:tcPr>
            <w:tcW w:w="190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46294,50</w:t>
            </w:r>
          </w:p>
        </w:tc>
        <w:tc>
          <w:tcPr>
            <w:tcW w:w="1705"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4418,00</w:t>
            </w:r>
          </w:p>
        </w:tc>
      </w:tr>
      <w:tr w:rsidR="00315335" w:rsidRPr="00315335" w:rsidTr="00916B06">
        <w:tc>
          <w:tcPr>
            <w:tcW w:w="1882"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2012</w:t>
            </w:r>
          </w:p>
        </w:tc>
        <w:tc>
          <w:tcPr>
            <w:tcW w:w="425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49271,00</w:t>
            </w:r>
          </w:p>
        </w:tc>
        <w:tc>
          <w:tcPr>
            <w:tcW w:w="190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46846,00</w:t>
            </w:r>
          </w:p>
        </w:tc>
        <w:tc>
          <w:tcPr>
            <w:tcW w:w="1705"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2425,00</w:t>
            </w:r>
          </w:p>
        </w:tc>
      </w:tr>
      <w:tr w:rsidR="00315335" w:rsidRPr="00315335" w:rsidTr="00916B06">
        <w:tc>
          <w:tcPr>
            <w:tcW w:w="1882"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2013</w:t>
            </w:r>
          </w:p>
        </w:tc>
        <w:tc>
          <w:tcPr>
            <w:tcW w:w="425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53807,00</w:t>
            </w:r>
          </w:p>
        </w:tc>
        <w:tc>
          <w:tcPr>
            <w:tcW w:w="190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49656,21</w:t>
            </w:r>
          </w:p>
        </w:tc>
        <w:tc>
          <w:tcPr>
            <w:tcW w:w="1705"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4150,82</w:t>
            </w:r>
          </w:p>
        </w:tc>
      </w:tr>
      <w:tr w:rsidR="00315335" w:rsidRPr="00315335" w:rsidTr="00916B06">
        <w:tc>
          <w:tcPr>
            <w:tcW w:w="1882"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2014</w:t>
            </w:r>
          </w:p>
        </w:tc>
        <w:tc>
          <w:tcPr>
            <w:tcW w:w="425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49504,33</w:t>
            </w:r>
          </w:p>
        </w:tc>
        <w:tc>
          <w:tcPr>
            <w:tcW w:w="190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44322,25</w:t>
            </w:r>
          </w:p>
        </w:tc>
        <w:tc>
          <w:tcPr>
            <w:tcW w:w="1705"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5182.08</w:t>
            </w:r>
          </w:p>
        </w:tc>
      </w:tr>
      <w:tr w:rsidR="00315335" w:rsidRPr="00315335" w:rsidTr="00916B06">
        <w:tc>
          <w:tcPr>
            <w:tcW w:w="1882"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2015</w:t>
            </w:r>
          </w:p>
        </w:tc>
        <w:tc>
          <w:tcPr>
            <w:tcW w:w="425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55960,54</w:t>
            </w:r>
          </w:p>
        </w:tc>
        <w:tc>
          <w:tcPr>
            <w:tcW w:w="190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50135,42</w:t>
            </w:r>
          </w:p>
        </w:tc>
        <w:tc>
          <w:tcPr>
            <w:tcW w:w="1705"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5825,12</w:t>
            </w:r>
          </w:p>
        </w:tc>
      </w:tr>
      <w:tr w:rsidR="00315335" w:rsidRPr="00315335" w:rsidTr="00916B06">
        <w:tc>
          <w:tcPr>
            <w:tcW w:w="1882"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2016</w:t>
            </w:r>
          </w:p>
        </w:tc>
        <w:tc>
          <w:tcPr>
            <w:tcW w:w="425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59823,15</w:t>
            </w:r>
          </w:p>
        </w:tc>
        <w:tc>
          <w:tcPr>
            <w:tcW w:w="190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53302,77</w:t>
            </w:r>
          </w:p>
        </w:tc>
        <w:tc>
          <w:tcPr>
            <w:tcW w:w="1705"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6520,38</w:t>
            </w:r>
          </w:p>
        </w:tc>
      </w:tr>
      <w:tr w:rsidR="00315335" w:rsidRPr="00315335" w:rsidTr="00916B06">
        <w:tc>
          <w:tcPr>
            <w:tcW w:w="1882"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2017</w:t>
            </w:r>
          </w:p>
        </w:tc>
        <w:tc>
          <w:tcPr>
            <w:tcW w:w="425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58316,89</w:t>
            </w:r>
          </w:p>
        </w:tc>
        <w:tc>
          <w:tcPr>
            <w:tcW w:w="1903" w:type="dxa"/>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52399,27</w:t>
            </w:r>
          </w:p>
        </w:tc>
        <w:tc>
          <w:tcPr>
            <w:tcW w:w="1705" w:type="dxa"/>
            <w:shd w:val="clear" w:color="auto" w:fill="auto"/>
          </w:tcPr>
          <w:p w:rsidR="00737DE6" w:rsidRPr="00315335" w:rsidRDefault="00737DE6" w:rsidP="00916B06">
            <w:pPr>
              <w:pStyle w:val="Default"/>
              <w:jc w:val="center"/>
              <w:rPr>
                <w:rFonts w:ascii="Arial" w:hAnsi="Arial" w:cs="Arial"/>
                <w:bCs/>
                <w:color w:val="auto"/>
              </w:rPr>
            </w:pPr>
            <w:r w:rsidRPr="00315335">
              <w:rPr>
                <w:rFonts w:ascii="Arial" w:hAnsi="Arial" w:cs="Arial"/>
                <w:bCs/>
                <w:color w:val="auto"/>
              </w:rPr>
              <w:t>5917,62</w:t>
            </w:r>
          </w:p>
        </w:tc>
      </w:tr>
    </w:tbl>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Fig VII.1.1.7 Evoluția cantităților de deșeuri menajere și asimilabile colectate în județul Brăila în perioada 2009-2017</w:t>
      </w:r>
    </w:p>
    <w:p w:rsidR="00737DE6" w:rsidRPr="00315335" w:rsidRDefault="00737DE6" w:rsidP="00737DE6">
      <w:pPr>
        <w:spacing w:after="0" w:line="240" w:lineRule="auto"/>
        <w:jc w:val="center"/>
        <w:rPr>
          <w:rFonts w:ascii="Arial" w:hAnsi="Arial" w:cs="Arial"/>
          <w:sz w:val="24"/>
          <w:szCs w:val="24"/>
          <w:highlight w:val="yellow"/>
        </w:rPr>
      </w:pPr>
      <w:r w:rsidRPr="00315335">
        <w:rPr>
          <w:rFonts w:ascii="Arial" w:hAnsi="Arial" w:cs="Arial"/>
          <w:noProof/>
          <w:sz w:val="24"/>
          <w:szCs w:val="24"/>
        </w:rPr>
        <w:drawing>
          <wp:inline distT="0" distB="0" distL="0" distR="0">
            <wp:extent cx="5143500" cy="3429000"/>
            <wp:effectExtent l="0" t="0" r="0" b="0"/>
            <wp:docPr id="56" name="Diagramă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737DE6" w:rsidRPr="00315335" w:rsidRDefault="00737DE6" w:rsidP="00737DE6">
      <w:pPr>
        <w:spacing w:after="0" w:line="240" w:lineRule="auto"/>
        <w:rPr>
          <w:rFonts w:ascii="Arial" w:hAnsi="Arial" w:cs="Arial"/>
          <w:b/>
          <w:sz w:val="24"/>
          <w:szCs w:val="24"/>
        </w:rPr>
      </w:pPr>
      <w:r w:rsidRPr="00315335">
        <w:rPr>
          <w:rFonts w:ascii="Arial" w:hAnsi="Arial" w:cs="Arial"/>
          <w:sz w:val="24"/>
          <w:szCs w:val="24"/>
        </w:rPr>
        <w:t>Tabel VII.1.1.8 Evoluția cantităților de deșeuri provenite din servicii municipale în perioada 2009-2017</w:t>
      </w: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2126"/>
        <w:gridCol w:w="3827"/>
      </w:tblGrid>
      <w:tr w:rsidR="00315335" w:rsidRPr="00315335" w:rsidTr="00916B06">
        <w:trPr>
          <w:jc w:val="center"/>
        </w:trPr>
        <w:tc>
          <w:tcPr>
            <w:tcW w:w="2126" w:type="dxa"/>
            <w:shd w:val="clear" w:color="auto" w:fill="EEECE1"/>
          </w:tcPr>
          <w:p w:rsidR="00737DE6" w:rsidRPr="00315335" w:rsidRDefault="00737DE6" w:rsidP="00916B06">
            <w:pPr>
              <w:spacing w:after="0" w:line="240" w:lineRule="auto"/>
              <w:jc w:val="center"/>
              <w:rPr>
                <w:rFonts w:ascii="Arial" w:hAnsi="Arial" w:cs="Arial"/>
                <w:b/>
                <w:caps/>
                <w:sz w:val="24"/>
                <w:szCs w:val="24"/>
              </w:rPr>
            </w:pPr>
            <w:r w:rsidRPr="00315335">
              <w:rPr>
                <w:rFonts w:ascii="Arial" w:hAnsi="Arial" w:cs="Arial"/>
                <w:caps/>
                <w:sz w:val="24"/>
                <w:szCs w:val="24"/>
              </w:rPr>
              <w:t>anul</w:t>
            </w:r>
          </w:p>
        </w:tc>
        <w:tc>
          <w:tcPr>
            <w:tcW w:w="3827" w:type="dxa"/>
            <w:shd w:val="clear" w:color="auto" w:fill="EEECE1"/>
          </w:tcPr>
          <w:p w:rsidR="00737DE6" w:rsidRPr="00315335" w:rsidRDefault="00737DE6" w:rsidP="00916B06">
            <w:pPr>
              <w:spacing w:after="0" w:line="240" w:lineRule="auto"/>
              <w:jc w:val="center"/>
              <w:rPr>
                <w:rFonts w:ascii="Arial" w:hAnsi="Arial" w:cs="Arial"/>
                <w:b/>
                <w:bCs/>
                <w:sz w:val="24"/>
                <w:szCs w:val="24"/>
              </w:rPr>
            </w:pPr>
            <w:r w:rsidRPr="00315335">
              <w:rPr>
                <w:rFonts w:ascii="Arial" w:hAnsi="Arial" w:cs="Arial"/>
                <w:bCs/>
                <w:sz w:val="24"/>
                <w:szCs w:val="24"/>
              </w:rPr>
              <w:t>T O T A L</w:t>
            </w:r>
          </w:p>
          <w:p w:rsidR="00737DE6" w:rsidRPr="00315335" w:rsidRDefault="00737DE6" w:rsidP="00916B06">
            <w:pPr>
              <w:spacing w:after="0" w:line="240" w:lineRule="auto"/>
              <w:jc w:val="center"/>
              <w:rPr>
                <w:rFonts w:ascii="Arial" w:hAnsi="Arial" w:cs="Arial"/>
                <w:b/>
                <w:caps/>
                <w:sz w:val="24"/>
                <w:szCs w:val="24"/>
              </w:rPr>
            </w:pPr>
            <w:r w:rsidRPr="00315335">
              <w:rPr>
                <w:rFonts w:ascii="Arial" w:hAnsi="Arial" w:cs="Arial"/>
                <w:sz w:val="24"/>
                <w:szCs w:val="24"/>
              </w:rPr>
              <w:t>[tone]</w:t>
            </w:r>
          </w:p>
        </w:tc>
      </w:tr>
      <w:tr w:rsidR="00315335" w:rsidRPr="00315335" w:rsidTr="00916B06">
        <w:trPr>
          <w:jc w:val="center"/>
        </w:trPr>
        <w:tc>
          <w:tcPr>
            <w:tcW w:w="2126"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2009</w:t>
            </w:r>
          </w:p>
        </w:tc>
        <w:tc>
          <w:tcPr>
            <w:tcW w:w="3827"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18089</w:t>
            </w:r>
          </w:p>
        </w:tc>
      </w:tr>
      <w:tr w:rsidR="00315335" w:rsidRPr="00315335" w:rsidTr="00916B06">
        <w:trPr>
          <w:jc w:val="center"/>
        </w:trPr>
        <w:tc>
          <w:tcPr>
            <w:tcW w:w="2126"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2010</w:t>
            </w:r>
          </w:p>
        </w:tc>
        <w:tc>
          <w:tcPr>
            <w:tcW w:w="3827"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14279</w:t>
            </w:r>
          </w:p>
        </w:tc>
      </w:tr>
      <w:tr w:rsidR="00315335" w:rsidRPr="00315335" w:rsidTr="00916B06">
        <w:trPr>
          <w:jc w:val="center"/>
        </w:trPr>
        <w:tc>
          <w:tcPr>
            <w:tcW w:w="2126"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lastRenderedPageBreak/>
              <w:t>2011</w:t>
            </w:r>
          </w:p>
        </w:tc>
        <w:tc>
          <w:tcPr>
            <w:tcW w:w="3827"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14072</w:t>
            </w:r>
          </w:p>
        </w:tc>
      </w:tr>
      <w:tr w:rsidR="00315335" w:rsidRPr="00315335" w:rsidTr="00916B06">
        <w:trPr>
          <w:jc w:val="center"/>
        </w:trPr>
        <w:tc>
          <w:tcPr>
            <w:tcW w:w="2126"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2012</w:t>
            </w:r>
          </w:p>
        </w:tc>
        <w:tc>
          <w:tcPr>
            <w:tcW w:w="3827"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16711</w:t>
            </w:r>
          </w:p>
        </w:tc>
      </w:tr>
      <w:tr w:rsidR="00315335" w:rsidRPr="00315335" w:rsidTr="00916B06">
        <w:trPr>
          <w:jc w:val="center"/>
        </w:trPr>
        <w:tc>
          <w:tcPr>
            <w:tcW w:w="2126"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2013</w:t>
            </w:r>
          </w:p>
        </w:tc>
        <w:tc>
          <w:tcPr>
            <w:tcW w:w="3827"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18827</w:t>
            </w:r>
          </w:p>
        </w:tc>
      </w:tr>
      <w:tr w:rsidR="00315335" w:rsidRPr="00315335" w:rsidTr="00916B06">
        <w:trPr>
          <w:jc w:val="center"/>
        </w:trPr>
        <w:tc>
          <w:tcPr>
            <w:tcW w:w="2126"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2014</w:t>
            </w:r>
          </w:p>
        </w:tc>
        <w:tc>
          <w:tcPr>
            <w:tcW w:w="3827"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18595</w:t>
            </w:r>
          </w:p>
        </w:tc>
      </w:tr>
      <w:tr w:rsidR="00315335" w:rsidRPr="00315335" w:rsidTr="00916B06">
        <w:trPr>
          <w:jc w:val="center"/>
        </w:trPr>
        <w:tc>
          <w:tcPr>
            <w:tcW w:w="2126"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2015</w:t>
            </w:r>
          </w:p>
        </w:tc>
        <w:tc>
          <w:tcPr>
            <w:tcW w:w="3827"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19590</w:t>
            </w:r>
          </w:p>
        </w:tc>
      </w:tr>
      <w:tr w:rsidR="00315335" w:rsidRPr="00315335" w:rsidTr="00916B06">
        <w:trPr>
          <w:jc w:val="center"/>
        </w:trPr>
        <w:tc>
          <w:tcPr>
            <w:tcW w:w="2126"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2016</w:t>
            </w:r>
          </w:p>
        </w:tc>
        <w:tc>
          <w:tcPr>
            <w:tcW w:w="3827"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22010</w:t>
            </w:r>
          </w:p>
        </w:tc>
      </w:tr>
      <w:tr w:rsidR="00315335" w:rsidRPr="00315335" w:rsidTr="00916B06">
        <w:trPr>
          <w:jc w:val="center"/>
        </w:trPr>
        <w:tc>
          <w:tcPr>
            <w:tcW w:w="2126"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2017</w:t>
            </w:r>
          </w:p>
        </w:tc>
        <w:tc>
          <w:tcPr>
            <w:tcW w:w="3827"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18010</w:t>
            </w:r>
          </w:p>
        </w:tc>
      </w:tr>
    </w:tbl>
    <w:p w:rsidR="00737DE6" w:rsidRPr="00315335" w:rsidRDefault="00737DE6" w:rsidP="00737DE6">
      <w:pPr>
        <w:autoSpaceDE w:val="0"/>
        <w:autoSpaceDN w:val="0"/>
        <w:adjustRightInd w:val="0"/>
        <w:spacing w:after="0" w:line="240" w:lineRule="auto"/>
        <w:ind w:firstLine="737"/>
        <w:jc w:val="both"/>
        <w:rPr>
          <w:rFonts w:ascii="Arial" w:hAnsi="Arial" w:cs="Arial"/>
          <w:sz w:val="24"/>
          <w:szCs w:val="24"/>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sz w:val="24"/>
          <w:szCs w:val="24"/>
        </w:rPr>
        <w:t>Fig. VII.1.1.8 Evoluția cantităților de deșeuri provenite din servicii municipale</w:t>
      </w:r>
    </w:p>
    <w:p w:rsidR="00737DE6" w:rsidRPr="00315335" w:rsidRDefault="00737DE6" w:rsidP="00737DE6">
      <w:pPr>
        <w:spacing w:after="0" w:line="240" w:lineRule="auto"/>
        <w:jc w:val="center"/>
        <w:rPr>
          <w:rFonts w:ascii="Arial" w:hAnsi="Arial" w:cs="Arial"/>
          <w:b/>
          <w:sz w:val="24"/>
          <w:szCs w:val="24"/>
        </w:rPr>
      </w:pPr>
      <w:r w:rsidRPr="00315335">
        <w:rPr>
          <w:rFonts w:ascii="Arial" w:hAnsi="Arial" w:cs="Arial"/>
          <w:b/>
          <w:noProof/>
          <w:sz w:val="24"/>
          <w:szCs w:val="24"/>
        </w:rPr>
        <w:drawing>
          <wp:inline distT="0" distB="0" distL="0" distR="0">
            <wp:extent cx="6038850" cy="3409950"/>
            <wp:effectExtent l="0" t="0" r="0" b="0"/>
            <wp:docPr id="53" name="Diagramă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737DE6" w:rsidRPr="00315335" w:rsidRDefault="00737DE6" w:rsidP="00737DE6">
      <w:pPr>
        <w:suppressAutoHyphens/>
        <w:spacing w:after="0" w:line="240" w:lineRule="auto"/>
        <w:jc w:val="both"/>
        <w:rPr>
          <w:rFonts w:ascii="Arial" w:hAnsi="Arial" w:cs="Arial"/>
          <w:sz w:val="24"/>
          <w:szCs w:val="24"/>
          <w:lang w:val="it-IT"/>
        </w:rPr>
      </w:pPr>
    </w:p>
    <w:p w:rsidR="00737DE6" w:rsidRPr="00315335" w:rsidRDefault="00737DE6" w:rsidP="00737DE6">
      <w:pPr>
        <w:suppressAutoHyphens/>
        <w:spacing w:after="0" w:line="240" w:lineRule="auto"/>
        <w:jc w:val="both"/>
        <w:rPr>
          <w:rFonts w:ascii="Arial" w:hAnsi="Arial" w:cs="Arial"/>
          <w:b/>
          <w:sz w:val="24"/>
          <w:szCs w:val="24"/>
          <w:lang w:val="it-IT"/>
        </w:rPr>
      </w:pPr>
      <w:r w:rsidRPr="00315335">
        <w:rPr>
          <w:rFonts w:ascii="Arial" w:hAnsi="Arial" w:cs="Arial"/>
          <w:b/>
          <w:sz w:val="24"/>
          <w:szCs w:val="24"/>
          <w:lang w:val="it-IT"/>
        </w:rPr>
        <w:t xml:space="preserve">Deşeuri din constructii şi demolări </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Legea 211/2011 privind regimul deşeurilori impune ca obligaţie producătorilor de deșeuri și autorităţilor administraţiei publice locale valorificarea deşeurilor nepericuloase provenite din activităţi de construcţie şi demolări. Mai mult, ținta stabilită pentru anul 2020 este atingerea unui nivel de pregătire pentru reutilizare, reciclare şi alte operaţiuni de valorificare materială, inclusiv operaţiuni de umplere rambleiere care utilizează deşeuri pentru a înlocui alte materiale, de minimum 70% din masa cantităţilor de deșeuri generate. Pentru lucrări de umplere/terasare se pot folosi numai deşeurile nepericuloase sortate. </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În municipiul Brăila, aceste deşeuri au fost valorificate ca material de umplutură pe diferite terenuri stabilite de către Primăria Brăila iar în oraşele Ianca şi Făurei se utilizează spaţii de stocare temporară până la valorificare. Din 2016 au fost autorizați doi operatori pentru concasarea deșeurilor din beton și comercializarea acestora.</w:t>
      </w:r>
    </w:p>
    <w:p w:rsidR="00737DE6" w:rsidRPr="00315335" w:rsidRDefault="00737DE6" w:rsidP="00737DE6">
      <w:pPr>
        <w:spacing w:after="0" w:line="240" w:lineRule="auto"/>
        <w:rPr>
          <w:rFonts w:ascii="Arial" w:hAnsi="Arial" w:cs="Arial"/>
          <w:b/>
          <w:sz w:val="24"/>
          <w:szCs w:val="24"/>
        </w:rPr>
      </w:pPr>
      <w:r w:rsidRPr="00315335">
        <w:rPr>
          <w:rFonts w:ascii="Arial" w:hAnsi="Arial" w:cs="Arial"/>
          <w:sz w:val="24"/>
          <w:szCs w:val="24"/>
        </w:rPr>
        <w:t>Tabel VII.1.1.9 Evoluția cantităților de deșeuri generate din construcții și demolări</w:t>
      </w: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1882"/>
        <w:gridCol w:w="4253"/>
      </w:tblGrid>
      <w:tr w:rsidR="00315335" w:rsidRPr="00315335" w:rsidTr="00916B06">
        <w:trPr>
          <w:jc w:val="center"/>
        </w:trPr>
        <w:tc>
          <w:tcPr>
            <w:tcW w:w="1882" w:type="dxa"/>
            <w:shd w:val="clear" w:color="auto" w:fill="EEECE1"/>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anul</w:t>
            </w:r>
          </w:p>
        </w:tc>
        <w:tc>
          <w:tcPr>
            <w:tcW w:w="4253" w:type="dxa"/>
            <w:shd w:val="clear" w:color="auto" w:fill="EEECE1"/>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T O T A L</w:t>
            </w:r>
          </w:p>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sz w:val="24"/>
                <w:szCs w:val="24"/>
              </w:rPr>
              <w:t>[tone]</w:t>
            </w:r>
          </w:p>
        </w:tc>
      </w:tr>
      <w:tr w:rsidR="00315335" w:rsidRPr="00315335" w:rsidTr="00916B06">
        <w:trPr>
          <w:jc w:val="center"/>
        </w:trPr>
        <w:tc>
          <w:tcPr>
            <w:tcW w:w="188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2009</w:t>
            </w:r>
          </w:p>
        </w:tc>
        <w:tc>
          <w:tcPr>
            <w:tcW w:w="4253"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12790</w:t>
            </w:r>
          </w:p>
        </w:tc>
      </w:tr>
      <w:tr w:rsidR="00315335" w:rsidRPr="00315335" w:rsidTr="00916B06">
        <w:trPr>
          <w:jc w:val="center"/>
        </w:trPr>
        <w:tc>
          <w:tcPr>
            <w:tcW w:w="188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2010</w:t>
            </w:r>
          </w:p>
        </w:tc>
        <w:tc>
          <w:tcPr>
            <w:tcW w:w="4253"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10853</w:t>
            </w:r>
          </w:p>
        </w:tc>
      </w:tr>
      <w:tr w:rsidR="00315335" w:rsidRPr="00315335" w:rsidTr="00916B06">
        <w:trPr>
          <w:jc w:val="center"/>
        </w:trPr>
        <w:tc>
          <w:tcPr>
            <w:tcW w:w="188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2011</w:t>
            </w:r>
          </w:p>
        </w:tc>
        <w:tc>
          <w:tcPr>
            <w:tcW w:w="4253"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10051</w:t>
            </w:r>
          </w:p>
        </w:tc>
      </w:tr>
      <w:tr w:rsidR="00315335" w:rsidRPr="00315335" w:rsidTr="00916B06">
        <w:trPr>
          <w:jc w:val="center"/>
        </w:trPr>
        <w:tc>
          <w:tcPr>
            <w:tcW w:w="188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2012</w:t>
            </w:r>
          </w:p>
        </w:tc>
        <w:tc>
          <w:tcPr>
            <w:tcW w:w="4253"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4990</w:t>
            </w:r>
          </w:p>
        </w:tc>
      </w:tr>
      <w:tr w:rsidR="00315335" w:rsidRPr="00315335" w:rsidTr="00916B06">
        <w:trPr>
          <w:jc w:val="center"/>
        </w:trPr>
        <w:tc>
          <w:tcPr>
            <w:tcW w:w="188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2013</w:t>
            </w:r>
          </w:p>
        </w:tc>
        <w:tc>
          <w:tcPr>
            <w:tcW w:w="425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4467</w:t>
            </w:r>
          </w:p>
        </w:tc>
      </w:tr>
      <w:tr w:rsidR="00315335" w:rsidRPr="00315335" w:rsidTr="00916B06">
        <w:trPr>
          <w:jc w:val="center"/>
        </w:trPr>
        <w:tc>
          <w:tcPr>
            <w:tcW w:w="188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2014</w:t>
            </w:r>
          </w:p>
        </w:tc>
        <w:tc>
          <w:tcPr>
            <w:tcW w:w="425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30515</w:t>
            </w:r>
          </w:p>
        </w:tc>
      </w:tr>
      <w:tr w:rsidR="00315335" w:rsidRPr="00315335" w:rsidTr="00916B06">
        <w:trPr>
          <w:jc w:val="center"/>
        </w:trPr>
        <w:tc>
          <w:tcPr>
            <w:tcW w:w="1882"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2015</w:t>
            </w:r>
          </w:p>
        </w:tc>
        <w:tc>
          <w:tcPr>
            <w:tcW w:w="425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28670</w:t>
            </w:r>
          </w:p>
        </w:tc>
      </w:tr>
      <w:tr w:rsidR="00315335" w:rsidRPr="00315335" w:rsidTr="00916B06">
        <w:trPr>
          <w:jc w:val="center"/>
        </w:trPr>
        <w:tc>
          <w:tcPr>
            <w:tcW w:w="1882"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2016</w:t>
            </w:r>
          </w:p>
        </w:tc>
        <w:tc>
          <w:tcPr>
            <w:tcW w:w="425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4210</w:t>
            </w:r>
          </w:p>
        </w:tc>
      </w:tr>
      <w:tr w:rsidR="00315335" w:rsidRPr="00315335" w:rsidTr="00916B06">
        <w:trPr>
          <w:jc w:val="center"/>
        </w:trPr>
        <w:tc>
          <w:tcPr>
            <w:tcW w:w="1882"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2017</w:t>
            </w:r>
          </w:p>
        </w:tc>
        <w:tc>
          <w:tcPr>
            <w:tcW w:w="4253"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3680</w:t>
            </w:r>
          </w:p>
        </w:tc>
      </w:tr>
    </w:tbl>
    <w:p w:rsidR="00737DE6" w:rsidRPr="00315335" w:rsidRDefault="00737DE6" w:rsidP="00737DE6">
      <w:pPr>
        <w:spacing w:after="0" w:line="240" w:lineRule="auto"/>
        <w:rPr>
          <w:rFonts w:ascii="Arial" w:hAnsi="Arial" w:cs="Arial"/>
          <w:b/>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Fig. VII.1.1.9 Evoluția cantităților de deșeuri provenite din construcții și demolări</w:t>
      </w:r>
    </w:p>
    <w:p w:rsidR="00737DE6" w:rsidRPr="00315335" w:rsidRDefault="00737DE6" w:rsidP="00737DE6">
      <w:pPr>
        <w:spacing w:after="0" w:line="240" w:lineRule="auto"/>
        <w:rPr>
          <w:rFonts w:ascii="Arial" w:hAnsi="Arial" w:cs="Arial"/>
          <w:sz w:val="24"/>
          <w:szCs w:val="24"/>
          <w:highlight w:val="yellow"/>
        </w:rPr>
      </w:pPr>
    </w:p>
    <w:p w:rsidR="00737DE6" w:rsidRPr="00315335" w:rsidRDefault="00737DE6" w:rsidP="00737DE6">
      <w:pPr>
        <w:spacing w:after="0" w:line="240" w:lineRule="auto"/>
        <w:jc w:val="center"/>
        <w:rPr>
          <w:rFonts w:ascii="Arial" w:hAnsi="Arial" w:cs="Arial"/>
          <w:b/>
          <w:sz w:val="24"/>
          <w:szCs w:val="24"/>
        </w:rPr>
      </w:pPr>
      <w:r w:rsidRPr="00315335">
        <w:rPr>
          <w:rFonts w:ascii="Arial" w:hAnsi="Arial" w:cs="Arial"/>
          <w:b/>
          <w:noProof/>
          <w:sz w:val="24"/>
          <w:szCs w:val="24"/>
        </w:rPr>
        <w:drawing>
          <wp:inline distT="0" distB="0" distL="0" distR="0">
            <wp:extent cx="6048375" cy="2543175"/>
            <wp:effectExtent l="0" t="0" r="0" b="0"/>
            <wp:docPr id="41" name="Diagramă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ind w:firstLine="708"/>
        <w:rPr>
          <w:rFonts w:ascii="Arial" w:hAnsi="Arial" w:cs="Arial"/>
          <w:sz w:val="24"/>
          <w:szCs w:val="24"/>
        </w:rPr>
      </w:pPr>
      <w:r w:rsidRPr="00315335">
        <w:rPr>
          <w:rFonts w:ascii="Arial" w:hAnsi="Arial" w:cs="Arial"/>
          <w:sz w:val="24"/>
          <w:szCs w:val="24"/>
        </w:rPr>
        <w:t xml:space="preserve">Curba descendentă la deșeurile provenite din construcții și demolări se datorează reducerii semnificative a lucrărilor de infrastructură la nivelul județului. </w:t>
      </w: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Deșeuri municipale generate și necolectate</w:t>
      </w:r>
    </w:p>
    <w:p w:rsidR="00737DE6" w:rsidRPr="00315335" w:rsidRDefault="00737DE6" w:rsidP="00737DE6">
      <w:pPr>
        <w:spacing w:after="0" w:line="240" w:lineRule="auto"/>
        <w:ind w:firstLine="708"/>
        <w:rPr>
          <w:rFonts w:ascii="Arial" w:hAnsi="Arial" w:cs="Arial"/>
          <w:sz w:val="24"/>
          <w:szCs w:val="24"/>
        </w:rPr>
      </w:pPr>
      <w:r w:rsidRPr="00315335">
        <w:rPr>
          <w:rFonts w:ascii="Arial" w:hAnsi="Arial" w:cs="Arial"/>
          <w:sz w:val="24"/>
          <w:szCs w:val="24"/>
        </w:rPr>
        <w:t xml:space="preserve"> Cantitatea acestor deșeuri a fost calculată aplicănd o formulă de calcul privind generarea deșeurilor municipale de către populație. Astfel, pentru mediul urban a fost luat în calcul generarea a 0,66 kg deșeuri generate și necolectate pe cap de locuitor și an, iar pentru mediul rural a fost considerată o cantitate de 0,31 kg de deșeuri pe cap de locuitor și an.</w:t>
      </w: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sz w:val="24"/>
          <w:szCs w:val="24"/>
        </w:rPr>
        <w:t>Tabel VII.1.1.10 Evoluția cantităților de deșeuri municipale generate și necolectate</w:t>
      </w:r>
    </w:p>
    <w:p w:rsidR="00737DE6" w:rsidRPr="00315335" w:rsidRDefault="00737DE6" w:rsidP="00737DE6">
      <w:pPr>
        <w:spacing w:after="0" w:line="240" w:lineRule="auto"/>
        <w:rPr>
          <w:rFonts w:ascii="Arial" w:hAnsi="Arial" w:cs="Arial"/>
          <w:b/>
          <w:sz w:val="24"/>
          <w:szCs w:val="24"/>
        </w:rPr>
      </w:pP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1754"/>
        <w:gridCol w:w="2103"/>
        <w:gridCol w:w="1903"/>
        <w:gridCol w:w="1705"/>
      </w:tblGrid>
      <w:tr w:rsidR="00315335" w:rsidRPr="00315335" w:rsidTr="00916B06">
        <w:trPr>
          <w:jc w:val="center"/>
        </w:trPr>
        <w:tc>
          <w:tcPr>
            <w:tcW w:w="1754" w:type="dxa"/>
            <w:shd w:val="clear" w:color="auto" w:fill="EEECE1"/>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anul</w:t>
            </w:r>
          </w:p>
        </w:tc>
        <w:tc>
          <w:tcPr>
            <w:tcW w:w="2103" w:type="dxa"/>
            <w:shd w:val="clear" w:color="auto" w:fill="EEECE1"/>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T O T A L</w:t>
            </w:r>
          </w:p>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sz w:val="24"/>
                <w:szCs w:val="24"/>
              </w:rPr>
              <w:t>[tone]</w:t>
            </w:r>
          </w:p>
        </w:tc>
        <w:tc>
          <w:tcPr>
            <w:tcW w:w="1903" w:type="dxa"/>
            <w:shd w:val="clear" w:color="auto" w:fill="EEECE1"/>
          </w:tcPr>
          <w:p w:rsidR="00737DE6" w:rsidRPr="00315335" w:rsidRDefault="00737DE6" w:rsidP="00916B06">
            <w:pPr>
              <w:autoSpaceDE w:val="0"/>
              <w:autoSpaceDN w:val="0"/>
              <w:adjustRightInd w:val="0"/>
              <w:spacing w:after="0" w:line="240" w:lineRule="auto"/>
              <w:jc w:val="center"/>
              <w:rPr>
                <w:rFonts w:ascii="Arial" w:hAnsi="Arial" w:cs="Arial"/>
                <w:sz w:val="24"/>
                <w:szCs w:val="24"/>
              </w:rPr>
            </w:pPr>
            <w:r w:rsidRPr="00315335">
              <w:rPr>
                <w:rFonts w:ascii="Arial" w:hAnsi="Arial" w:cs="Arial"/>
                <w:sz w:val="24"/>
                <w:szCs w:val="24"/>
              </w:rPr>
              <w:t>URBAN</w:t>
            </w:r>
          </w:p>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sz w:val="24"/>
                <w:szCs w:val="24"/>
              </w:rPr>
              <w:t>[tone]</w:t>
            </w:r>
          </w:p>
        </w:tc>
        <w:tc>
          <w:tcPr>
            <w:tcW w:w="1705" w:type="dxa"/>
            <w:shd w:val="clear" w:color="auto" w:fill="EEECE1"/>
          </w:tcPr>
          <w:p w:rsidR="00737DE6" w:rsidRPr="00315335" w:rsidRDefault="00737DE6" w:rsidP="00916B06">
            <w:pPr>
              <w:autoSpaceDE w:val="0"/>
              <w:autoSpaceDN w:val="0"/>
              <w:adjustRightInd w:val="0"/>
              <w:spacing w:after="0" w:line="240" w:lineRule="auto"/>
              <w:jc w:val="center"/>
              <w:rPr>
                <w:rFonts w:ascii="Arial" w:hAnsi="Arial" w:cs="Arial"/>
                <w:sz w:val="24"/>
                <w:szCs w:val="24"/>
              </w:rPr>
            </w:pPr>
            <w:r w:rsidRPr="00315335">
              <w:rPr>
                <w:rFonts w:ascii="Arial" w:hAnsi="Arial" w:cs="Arial"/>
                <w:sz w:val="24"/>
                <w:szCs w:val="24"/>
              </w:rPr>
              <w:t>RURAL</w:t>
            </w:r>
          </w:p>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sz w:val="24"/>
                <w:szCs w:val="24"/>
              </w:rPr>
              <w:t>[tone]</w:t>
            </w:r>
          </w:p>
        </w:tc>
      </w:tr>
      <w:tr w:rsidR="00315335" w:rsidRPr="00315335" w:rsidTr="00916B06">
        <w:trPr>
          <w:jc w:val="center"/>
        </w:trPr>
        <w:tc>
          <w:tcPr>
            <w:tcW w:w="175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2009</w:t>
            </w:r>
          </w:p>
        </w:tc>
        <w:tc>
          <w:tcPr>
            <w:tcW w:w="21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39925.53</w:t>
            </w:r>
          </w:p>
        </w:tc>
        <w:tc>
          <w:tcPr>
            <w:tcW w:w="19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23715.83</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16209.71</w:t>
            </w:r>
          </w:p>
        </w:tc>
      </w:tr>
      <w:tr w:rsidR="00315335" w:rsidRPr="00315335" w:rsidTr="00916B06">
        <w:trPr>
          <w:jc w:val="center"/>
        </w:trPr>
        <w:tc>
          <w:tcPr>
            <w:tcW w:w="175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2010</w:t>
            </w:r>
          </w:p>
        </w:tc>
        <w:tc>
          <w:tcPr>
            <w:tcW w:w="21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33424.13</w:t>
            </w:r>
          </w:p>
        </w:tc>
        <w:tc>
          <w:tcPr>
            <w:tcW w:w="19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22509.87</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10914.26</w:t>
            </w:r>
          </w:p>
        </w:tc>
      </w:tr>
      <w:tr w:rsidR="00315335" w:rsidRPr="00315335" w:rsidTr="00916B06">
        <w:trPr>
          <w:jc w:val="center"/>
        </w:trPr>
        <w:tc>
          <w:tcPr>
            <w:tcW w:w="175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2011</w:t>
            </w:r>
          </w:p>
        </w:tc>
        <w:tc>
          <w:tcPr>
            <w:tcW w:w="21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12100.81</w:t>
            </w:r>
          </w:p>
        </w:tc>
        <w:tc>
          <w:tcPr>
            <w:tcW w:w="19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12032.53</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68.28</w:t>
            </w:r>
          </w:p>
        </w:tc>
      </w:tr>
      <w:tr w:rsidR="00315335" w:rsidRPr="00315335" w:rsidTr="00916B06">
        <w:trPr>
          <w:jc w:val="center"/>
        </w:trPr>
        <w:tc>
          <w:tcPr>
            <w:tcW w:w="175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2012</w:t>
            </w:r>
          </w:p>
        </w:tc>
        <w:tc>
          <w:tcPr>
            <w:tcW w:w="21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6644.11</w:t>
            </w:r>
          </w:p>
        </w:tc>
        <w:tc>
          <w:tcPr>
            <w:tcW w:w="19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6094.47</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549.64</w:t>
            </w:r>
          </w:p>
        </w:tc>
      </w:tr>
      <w:tr w:rsidR="00315335" w:rsidRPr="00315335" w:rsidTr="00916B06">
        <w:trPr>
          <w:jc w:val="center"/>
        </w:trPr>
        <w:tc>
          <w:tcPr>
            <w:tcW w:w="175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2013</w:t>
            </w:r>
          </w:p>
        </w:tc>
        <w:tc>
          <w:tcPr>
            <w:tcW w:w="21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7487.94</w:t>
            </w:r>
          </w:p>
        </w:tc>
        <w:tc>
          <w:tcPr>
            <w:tcW w:w="19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7262.81</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225.13</w:t>
            </w:r>
          </w:p>
        </w:tc>
      </w:tr>
      <w:tr w:rsidR="00315335" w:rsidRPr="00315335" w:rsidTr="00916B06">
        <w:trPr>
          <w:jc w:val="center"/>
        </w:trPr>
        <w:tc>
          <w:tcPr>
            <w:tcW w:w="175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2014</w:t>
            </w:r>
          </w:p>
        </w:tc>
        <w:tc>
          <w:tcPr>
            <w:tcW w:w="21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10113.46</w:t>
            </w:r>
          </w:p>
        </w:tc>
        <w:tc>
          <w:tcPr>
            <w:tcW w:w="19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7695.11</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2418.34</w:t>
            </w:r>
          </w:p>
        </w:tc>
      </w:tr>
      <w:tr w:rsidR="00315335" w:rsidRPr="00315335" w:rsidTr="00916B06">
        <w:trPr>
          <w:jc w:val="center"/>
        </w:trPr>
        <w:tc>
          <w:tcPr>
            <w:tcW w:w="1754"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2015</w:t>
            </w:r>
          </w:p>
        </w:tc>
        <w:tc>
          <w:tcPr>
            <w:tcW w:w="2103" w:type="dxa"/>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12438.73</w:t>
            </w:r>
          </w:p>
        </w:tc>
        <w:tc>
          <w:tcPr>
            <w:tcW w:w="1903" w:type="dxa"/>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12230.13</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208.60</w:t>
            </w:r>
          </w:p>
        </w:tc>
      </w:tr>
      <w:tr w:rsidR="00315335" w:rsidRPr="00315335" w:rsidTr="00916B06">
        <w:trPr>
          <w:jc w:val="center"/>
        </w:trPr>
        <w:tc>
          <w:tcPr>
            <w:tcW w:w="1754" w:type="dxa"/>
            <w:tcBorders>
              <w:top w:val="double" w:sz="6" w:space="0" w:color="BFBFBF"/>
              <w:left w:val="double" w:sz="6" w:space="0" w:color="BFBFBF"/>
              <w:bottom w:val="double" w:sz="6" w:space="0" w:color="BFBFBF"/>
              <w:right w:val="double" w:sz="6" w:space="0" w:color="BFBFBF"/>
            </w:tcBorders>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2016</w:t>
            </w:r>
          </w:p>
        </w:tc>
        <w:tc>
          <w:tcPr>
            <w:tcW w:w="2103" w:type="dxa"/>
            <w:tcBorders>
              <w:top w:val="double" w:sz="6" w:space="0" w:color="BFBFBF"/>
              <w:left w:val="double" w:sz="6" w:space="0" w:color="BFBFBF"/>
              <w:bottom w:val="double" w:sz="6" w:space="0" w:color="BFBFBF"/>
              <w:right w:val="double" w:sz="6" w:space="0" w:color="BFBFBF"/>
            </w:tcBorders>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11460,41</w:t>
            </w:r>
          </w:p>
        </w:tc>
        <w:tc>
          <w:tcPr>
            <w:tcW w:w="1903" w:type="dxa"/>
            <w:tcBorders>
              <w:top w:val="double" w:sz="6" w:space="0" w:color="BFBFBF"/>
              <w:left w:val="double" w:sz="6" w:space="0" w:color="BFBFBF"/>
              <w:bottom w:val="double" w:sz="6" w:space="0" w:color="BFBFBF"/>
              <w:right w:val="double" w:sz="6" w:space="0" w:color="BFBFBF"/>
            </w:tcBorders>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11253,10</w:t>
            </w:r>
          </w:p>
        </w:tc>
        <w:tc>
          <w:tcPr>
            <w:tcW w:w="1705" w:type="dxa"/>
            <w:tcBorders>
              <w:top w:val="double" w:sz="6" w:space="0" w:color="BFBFBF"/>
              <w:left w:val="double" w:sz="6" w:space="0" w:color="BFBFBF"/>
              <w:bottom w:val="double" w:sz="6" w:space="0" w:color="BFBFBF"/>
              <w:right w:val="double" w:sz="6" w:space="0" w:color="BFBFBF"/>
            </w:tcBorders>
            <w:shd w:val="clear" w:color="auto" w:fill="auto"/>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207,32</w:t>
            </w:r>
          </w:p>
        </w:tc>
      </w:tr>
      <w:tr w:rsidR="00315335" w:rsidRPr="00315335" w:rsidTr="00916B06">
        <w:trPr>
          <w:jc w:val="center"/>
        </w:trPr>
        <w:tc>
          <w:tcPr>
            <w:tcW w:w="1754" w:type="dxa"/>
            <w:tcBorders>
              <w:top w:val="double" w:sz="6" w:space="0" w:color="BFBFBF"/>
              <w:left w:val="double" w:sz="6" w:space="0" w:color="BFBFBF"/>
              <w:bottom w:val="double" w:sz="6" w:space="0" w:color="BFBFBF"/>
              <w:right w:val="double" w:sz="6" w:space="0" w:color="BFBFBF"/>
            </w:tcBorders>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2017</w:t>
            </w:r>
          </w:p>
        </w:tc>
        <w:tc>
          <w:tcPr>
            <w:tcW w:w="2103" w:type="dxa"/>
            <w:tcBorders>
              <w:top w:val="double" w:sz="6" w:space="0" w:color="BFBFBF"/>
              <w:left w:val="double" w:sz="6" w:space="0" w:color="BFBFBF"/>
              <w:bottom w:val="double" w:sz="6" w:space="0" w:color="BFBFBF"/>
              <w:right w:val="double" w:sz="6" w:space="0" w:color="BFBFBF"/>
            </w:tcBorders>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8669,18</w:t>
            </w:r>
          </w:p>
        </w:tc>
        <w:tc>
          <w:tcPr>
            <w:tcW w:w="1903" w:type="dxa"/>
            <w:tcBorders>
              <w:top w:val="double" w:sz="6" w:space="0" w:color="BFBFBF"/>
              <w:left w:val="double" w:sz="6" w:space="0" w:color="BFBFBF"/>
              <w:bottom w:val="double" w:sz="6" w:space="0" w:color="BFBFBF"/>
              <w:right w:val="double" w:sz="6" w:space="0" w:color="BFBFBF"/>
            </w:tcBorders>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8116,64</w:t>
            </w:r>
          </w:p>
        </w:tc>
        <w:tc>
          <w:tcPr>
            <w:tcW w:w="1705" w:type="dxa"/>
            <w:tcBorders>
              <w:top w:val="double" w:sz="6" w:space="0" w:color="BFBFBF"/>
              <w:left w:val="double" w:sz="6" w:space="0" w:color="BFBFBF"/>
              <w:bottom w:val="double" w:sz="6" w:space="0" w:color="BFBFBF"/>
              <w:right w:val="double" w:sz="6" w:space="0" w:color="BFBFBF"/>
            </w:tcBorders>
            <w:shd w:val="clear" w:color="auto" w:fill="auto"/>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552,54</w:t>
            </w:r>
          </w:p>
        </w:tc>
      </w:tr>
    </w:tbl>
    <w:p w:rsidR="00737DE6" w:rsidRPr="00315335" w:rsidRDefault="00737DE6" w:rsidP="00737DE6">
      <w:pPr>
        <w:spacing w:after="0" w:line="240" w:lineRule="auto"/>
        <w:rPr>
          <w:rFonts w:ascii="Arial" w:hAnsi="Arial" w:cs="Arial"/>
          <w:b/>
          <w:sz w:val="24"/>
          <w:szCs w:val="24"/>
        </w:rPr>
      </w:pP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sz w:val="24"/>
          <w:szCs w:val="24"/>
        </w:rPr>
        <w:t>Fig VII.1.1.10 Evoluția cantităților de deșeuri municipale generate și necolectate</w:t>
      </w:r>
    </w:p>
    <w:p w:rsidR="00737DE6" w:rsidRPr="00315335" w:rsidRDefault="00737DE6" w:rsidP="00737DE6">
      <w:pPr>
        <w:spacing w:after="0" w:line="240" w:lineRule="auto"/>
        <w:jc w:val="center"/>
        <w:rPr>
          <w:rFonts w:ascii="Arial" w:hAnsi="Arial" w:cs="Arial"/>
          <w:sz w:val="24"/>
          <w:szCs w:val="24"/>
          <w:highlight w:val="yellow"/>
        </w:rPr>
      </w:pPr>
      <w:r w:rsidRPr="00315335">
        <w:rPr>
          <w:rFonts w:ascii="Arial" w:hAnsi="Arial" w:cs="Arial"/>
          <w:noProof/>
          <w:sz w:val="24"/>
          <w:szCs w:val="24"/>
        </w:rPr>
        <w:lastRenderedPageBreak/>
        <w:drawing>
          <wp:inline distT="0" distB="0" distL="0" distR="0">
            <wp:extent cx="5591175" cy="3714750"/>
            <wp:effectExtent l="0" t="0" r="0" b="0"/>
            <wp:docPr id="34" name="Diagramă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737DE6" w:rsidRPr="00315335" w:rsidRDefault="00737DE6" w:rsidP="00737DE6">
      <w:pPr>
        <w:spacing w:after="0" w:line="240" w:lineRule="auto"/>
        <w:rPr>
          <w:rFonts w:ascii="Arial" w:hAnsi="Arial" w:cs="Arial"/>
          <w:b/>
          <w:sz w:val="24"/>
          <w:szCs w:val="24"/>
          <w:highlight w:val="yellow"/>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sz w:val="24"/>
          <w:szCs w:val="24"/>
        </w:rPr>
        <w:t xml:space="preserve">Tabel VII.1.1.11 Evoluția </w:t>
      </w:r>
      <w:r w:rsidRPr="00315335">
        <w:rPr>
          <w:rFonts w:ascii="Arial" w:eastAsia="Calibri" w:hAnsi="Arial" w:cs="Arial"/>
          <w:sz w:val="24"/>
          <w:szCs w:val="24"/>
        </w:rPr>
        <w:t xml:space="preserve">gradului de acoperire cu servicii de salubritate pentru deservirea populaţiei </w:t>
      </w:r>
    </w:p>
    <w:p w:rsidR="00737DE6" w:rsidRPr="00315335" w:rsidRDefault="00737DE6" w:rsidP="00737DE6">
      <w:pPr>
        <w:spacing w:after="0" w:line="240" w:lineRule="auto"/>
        <w:rPr>
          <w:rFonts w:ascii="Arial" w:hAnsi="Arial" w:cs="Arial"/>
          <w:b/>
          <w:sz w:val="24"/>
          <w:szCs w:val="24"/>
        </w:rPr>
      </w:pP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firstRow="1" w:lastRow="1" w:firstColumn="1" w:lastColumn="1" w:noHBand="0" w:noVBand="0"/>
      </w:tblPr>
      <w:tblGrid>
        <w:gridCol w:w="1984"/>
        <w:gridCol w:w="2042"/>
        <w:gridCol w:w="1903"/>
        <w:gridCol w:w="1705"/>
      </w:tblGrid>
      <w:tr w:rsidR="00315335" w:rsidRPr="00315335" w:rsidTr="00916B06">
        <w:trPr>
          <w:jc w:val="center"/>
        </w:trPr>
        <w:tc>
          <w:tcPr>
            <w:tcW w:w="1984" w:type="dxa"/>
            <w:shd w:val="clear" w:color="auto" w:fill="EEECE1"/>
          </w:tcPr>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caps/>
                <w:sz w:val="24"/>
                <w:szCs w:val="24"/>
              </w:rPr>
              <w:t>anul</w:t>
            </w:r>
          </w:p>
        </w:tc>
        <w:tc>
          <w:tcPr>
            <w:tcW w:w="2042" w:type="dxa"/>
            <w:shd w:val="clear" w:color="auto" w:fill="EEECE1"/>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T O T A L</w:t>
            </w:r>
          </w:p>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sz w:val="24"/>
                <w:szCs w:val="24"/>
              </w:rPr>
              <w:t>[ % ]</w:t>
            </w:r>
          </w:p>
        </w:tc>
        <w:tc>
          <w:tcPr>
            <w:tcW w:w="1903" w:type="dxa"/>
            <w:shd w:val="clear" w:color="auto" w:fill="EEECE1"/>
          </w:tcPr>
          <w:p w:rsidR="00737DE6" w:rsidRPr="00315335" w:rsidRDefault="00737DE6" w:rsidP="00916B06">
            <w:pPr>
              <w:autoSpaceDE w:val="0"/>
              <w:autoSpaceDN w:val="0"/>
              <w:adjustRightInd w:val="0"/>
              <w:spacing w:after="0" w:line="240" w:lineRule="auto"/>
              <w:jc w:val="center"/>
              <w:rPr>
                <w:rFonts w:ascii="Arial" w:hAnsi="Arial" w:cs="Arial"/>
                <w:sz w:val="24"/>
                <w:szCs w:val="24"/>
              </w:rPr>
            </w:pPr>
            <w:r w:rsidRPr="00315335">
              <w:rPr>
                <w:rFonts w:ascii="Arial" w:hAnsi="Arial" w:cs="Arial"/>
                <w:sz w:val="24"/>
                <w:szCs w:val="24"/>
              </w:rPr>
              <w:t>URBAN</w:t>
            </w:r>
          </w:p>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sz w:val="24"/>
                <w:szCs w:val="24"/>
              </w:rPr>
              <w:t>[ % ]</w:t>
            </w:r>
          </w:p>
        </w:tc>
        <w:tc>
          <w:tcPr>
            <w:tcW w:w="1705" w:type="dxa"/>
            <w:shd w:val="clear" w:color="auto" w:fill="EEECE1"/>
          </w:tcPr>
          <w:p w:rsidR="00737DE6" w:rsidRPr="00315335" w:rsidRDefault="00737DE6" w:rsidP="00916B06">
            <w:pPr>
              <w:autoSpaceDE w:val="0"/>
              <w:autoSpaceDN w:val="0"/>
              <w:adjustRightInd w:val="0"/>
              <w:spacing w:after="0" w:line="240" w:lineRule="auto"/>
              <w:jc w:val="center"/>
              <w:rPr>
                <w:rFonts w:ascii="Arial" w:hAnsi="Arial" w:cs="Arial"/>
                <w:sz w:val="24"/>
                <w:szCs w:val="24"/>
              </w:rPr>
            </w:pPr>
            <w:r w:rsidRPr="00315335">
              <w:rPr>
                <w:rFonts w:ascii="Arial" w:hAnsi="Arial" w:cs="Arial"/>
                <w:sz w:val="24"/>
                <w:szCs w:val="24"/>
              </w:rPr>
              <w:t>RURAL</w:t>
            </w:r>
          </w:p>
          <w:p w:rsidR="00737DE6" w:rsidRPr="00315335" w:rsidRDefault="00737DE6" w:rsidP="00916B06">
            <w:pPr>
              <w:spacing w:after="0" w:line="240" w:lineRule="auto"/>
              <w:jc w:val="center"/>
              <w:rPr>
                <w:rFonts w:ascii="Arial" w:hAnsi="Arial" w:cs="Arial"/>
                <w:caps/>
                <w:sz w:val="24"/>
                <w:szCs w:val="24"/>
              </w:rPr>
            </w:pPr>
            <w:r w:rsidRPr="00315335">
              <w:rPr>
                <w:rFonts w:ascii="Arial" w:hAnsi="Arial" w:cs="Arial"/>
                <w:sz w:val="24"/>
                <w:szCs w:val="24"/>
              </w:rPr>
              <w:t>[ % ]</w:t>
            </w:r>
          </w:p>
        </w:tc>
      </w:tr>
      <w:tr w:rsidR="00315335" w:rsidRPr="00315335" w:rsidTr="00916B06">
        <w:trPr>
          <w:jc w:val="center"/>
        </w:trPr>
        <w:tc>
          <w:tcPr>
            <w:tcW w:w="198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2009</w:t>
            </w:r>
          </w:p>
        </w:tc>
        <w:tc>
          <w:tcPr>
            <w:tcW w:w="2042"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49,13</w:t>
            </w:r>
          </w:p>
        </w:tc>
        <w:tc>
          <w:tcPr>
            <w:tcW w:w="1903"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69,17</w:t>
            </w:r>
          </w:p>
        </w:tc>
        <w:tc>
          <w:tcPr>
            <w:tcW w:w="1705" w:type="dxa"/>
            <w:shd w:val="clear" w:color="auto" w:fill="auto"/>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11,90</w:t>
            </w:r>
          </w:p>
        </w:tc>
      </w:tr>
      <w:tr w:rsidR="00315335" w:rsidRPr="00315335" w:rsidTr="00916B06">
        <w:trPr>
          <w:jc w:val="center"/>
        </w:trPr>
        <w:tc>
          <w:tcPr>
            <w:tcW w:w="198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2010</w:t>
            </w:r>
          </w:p>
        </w:tc>
        <w:tc>
          <w:tcPr>
            <w:tcW w:w="2042"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58,26</w:t>
            </w:r>
          </w:p>
        </w:tc>
        <w:tc>
          <w:tcPr>
            <w:tcW w:w="1903"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67,63</w:t>
            </w:r>
          </w:p>
        </w:tc>
        <w:tc>
          <w:tcPr>
            <w:tcW w:w="1705" w:type="dxa"/>
            <w:shd w:val="clear" w:color="auto" w:fill="auto"/>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40,85</w:t>
            </w:r>
          </w:p>
        </w:tc>
      </w:tr>
      <w:tr w:rsidR="00315335" w:rsidRPr="00315335" w:rsidTr="00916B06">
        <w:trPr>
          <w:jc w:val="center"/>
        </w:trPr>
        <w:tc>
          <w:tcPr>
            <w:tcW w:w="198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2011</w:t>
            </w:r>
          </w:p>
        </w:tc>
        <w:tc>
          <w:tcPr>
            <w:tcW w:w="2042"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80,24</w:t>
            </w:r>
          </w:p>
        </w:tc>
        <w:tc>
          <w:tcPr>
            <w:tcW w:w="1903"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70,36</w:t>
            </w:r>
          </w:p>
        </w:tc>
        <w:tc>
          <w:tcPr>
            <w:tcW w:w="1705" w:type="dxa"/>
            <w:shd w:val="clear" w:color="auto" w:fill="auto"/>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96,60</w:t>
            </w:r>
          </w:p>
        </w:tc>
      </w:tr>
      <w:tr w:rsidR="00315335" w:rsidRPr="00315335" w:rsidTr="00916B06">
        <w:trPr>
          <w:jc w:val="center"/>
        </w:trPr>
        <w:tc>
          <w:tcPr>
            <w:tcW w:w="198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2012</w:t>
            </w:r>
          </w:p>
        </w:tc>
        <w:tc>
          <w:tcPr>
            <w:tcW w:w="2042"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93,67</w:t>
            </w:r>
          </w:p>
        </w:tc>
        <w:tc>
          <w:tcPr>
            <w:tcW w:w="1903" w:type="dxa"/>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91,88</w:t>
            </w:r>
          </w:p>
        </w:tc>
        <w:tc>
          <w:tcPr>
            <w:tcW w:w="1705" w:type="dxa"/>
            <w:shd w:val="clear" w:color="auto" w:fill="auto"/>
          </w:tcPr>
          <w:p w:rsidR="00737DE6" w:rsidRPr="00315335" w:rsidRDefault="00737DE6" w:rsidP="00916B06">
            <w:pPr>
              <w:autoSpaceDE w:val="0"/>
              <w:autoSpaceDN w:val="0"/>
              <w:adjustRightInd w:val="0"/>
              <w:spacing w:after="0" w:line="240" w:lineRule="auto"/>
              <w:jc w:val="center"/>
              <w:rPr>
                <w:rFonts w:ascii="Arial" w:hAnsi="Arial" w:cs="Arial"/>
                <w:b/>
                <w:sz w:val="24"/>
                <w:szCs w:val="24"/>
              </w:rPr>
            </w:pPr>
            <w:r w:rsidRPr="00315335">
              <w:rPr>
                <w:rFonts w:ascii="Arial" w:hAnsi="Arial" w:cs="Arial"/>
                <w:sz w:val="24"/>
                <w:szCs w:val="24"/>
              </w:rPr>
              <w:t>96,96</w:t>
            </w:r>
          </w:p>
        </w:tc>
      </w:tr>
      <w:tr w:rsidR="00315335" w:rsidRPr="00315335" w:rsidTr="00916B06">
        <w:trPr>
          <w:jc w:val="center"/>
        </w:trPr>
        <w:tc>
          <w:tcPr>
            <w:tcW w:w="198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2013</w:t>
            </w:r>
          </w:p>
        </w:tc>
        <w:tc>
          <w:tcPr>
            <w:tcW w:w="2042"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92.26</w:t>
            </w:r>
          </w:p>
        </w:tc>
        <w:tc>
          <w:tcPr>
            <w:tcW w:w="19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88.75</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98.70</w:t>
            </w:r>
          </w:p>
        </w:tc>
      </w:tr>
      <w:tr w:rsidR="00315335" w:rsidRPr="00315335" w:rsidTr="00916B06">
        <w:trPr>
          <w:jc w:val="center"/>
        </w:trPr>
        <w:tc>
          <w:tcPr>
            <w:tcW w:w="1984"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2014</w:t>
            </w:r>
          </w:p>
        </w:tc>
        <w:tc>
          <w:tcPr>
            <w:tcW w:w="2042"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87.10</w:t>
            </w:r>
          </w:p>
        </w:tc>
        <w:tc>
          <w:tcPr>
            <w:tcW w:w="1903" w:type="dxa"/>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87.90</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85.90</w:t>
            </w:r>
          </w:p>
        </w:tc>
      </w:tr>
      <w:tr w:rsidR="00315335" w:rsidRPr="00315335" w:rsidTr="00916B06">
        <w:trPr>
          <w:jc w:val="center"/>
        </w:trPr>
        <w:tc>
          <w:tcPr>
            <w:tcW w:w="1984" w:type="dxa"/>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2015</w:t>
            </w:r>
          </w:p>
        </w:tc>
        <w:tc>
          <w:tcPr>
            <w:tcW w:w="2042" w:type="dxa"/>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87.45</w:t>
            </w:r>
          </w:p>
        </w:tc>
        <w:tc>
          <w:tcPr>
            <w:tcW w:w="1903" w:type="dxa"/>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80.53</w:t>
            </w:r>
          </w:p>
        </w:tc>
        <w:tc>
          <w:tcPr>
            <w:tcW w:w="1705" w:type="dxa"/>
            <w:shd w:val="clear" w:color="auto" w:fill="auto"/>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98.77</w:t>
            </w:r>
          </w:p>
        </w:tc>
      </w:tr>
      <w:tr w:rsidR="00315335" w:rsidRPr="00315335" w:rsidTr="00916B06">
        <w:trPr>
          <w:jc w:val="center"/>
        </w:trPr>
        <w:tc>
          <w:tcPr>
            <w:tcW w:w="1984" w:type="dxa"/>
            <w:tcBorders>
              <w:top w:val="double" w:sz="6" w:space="0" w:color="BFBFBF"/>
              <w:left w:val="double" w:sz="6" w:space="0" w:color="BFBFBF"/>
              <w:bottom w:val="double" w:sz="6" w:space="0" w:color="BFBFBF"/>
              <w:right w:val="double" w:sz="6" w:space="0" w:color="BFBFBF"/>
            </w:tcBorders>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2016</w:t>
            </w:r>
          </w:p>
        </w:tc>
        <w:tc>
          <w:tcPr>
            <w:tcW w:w="2042" w:type="dxa"/>
            <w:tcBorders>
              <w:top w:val="double" w:sz="6" w:space="0" w:color="BFBFBF"/>
              <w:left w:val="double" w:sz="6" w:space="0" w:color="BFBFBF"/>
              <w:bottom w:val="double" w:sz="6" w:space="0" w:color="BFBFBF"/>
              <w:right w:val="double" w:sz="6" w:space="0" w:color="BFBFBF"/>
            </w:tcBorders>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88.25</w:t>
            </w:r>
          </w:p>
        </w:tc>
        <w:tc>
          <w:tcPr>
            <w:tcW w:w="1903" w:type="dxa"/>
            <w:tcBorders>
              <w:top w:val="double" w:sz="6" w:space="0" w:color="BFBFBF"/>
              <w:left w:val="double" w:sz="6" w:space="0" w:color="BFBFBF"/>
              <w:bottom w:val="double" w:sz="6" w:space="0" w:color="BFBFBF"/>
              <w:right w:val="double" w:sz="6" w:space="0" w:color="BFBFBF"/>
            </w:tcBorders>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81.77</w:t>
            </w:r>
          </w:p>
        </w:tc>
        <w:tc>
          <w:tcPr>
            <w:tcW w:w="1705" w:type="dxa"/>
            <w:tcBorders>
              <w:top w:val="double" w:sz="6" w:space="0" w:color="BFBFBF"/>
              <w:left w:val="double" w:sz="6" w:space="0" w:color="BFBFBF"/>
              <w:bottom w:val="double" w:sz="6" w:space="0" w:color="BFBFBF"/>
              <w:right w:val="double" w:sz="6" w:space="0" w:color="BFBFBF"/>
            </w:tcBorders>
            <w:shd w:val="clear" w:color="auto" w:fill="auto"/>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98.77</w:t>
            </w:r>
          </w:p>
        </w:tc>
      </w:tr>
      <w:tr w:rsidR="00315335" w:rsidRPr="00315335" w:rsidTr="00916B06">
        <w:trPr>
          <w:jc w:val="center"/>
        </w:trPr>
        <w:tc>
          <w:tcPr>
            <w:tcW w:w="1984" w:type="dxa"/>
            <w:tcBorders>
              <w:top w:val="double" w:sz="6" w:space="0" w:color="BFBFBF"/>
              <w:left w:val="double" w:sz="6" w:space="0" w:color="BFBFBF"/>
              <w:bottom w:val="double" w:sz="6" w:space="0" w:color="BFBFBF"/>
              <w:right w:val="double" w:sz="6" w:space="0" w:color="BFBFBF"/>
            </w:tcBorders>
            <w:shd w:val="clear" w:color="auto" w:fill="auto"/>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2017</w:t>
            </w:r>
          </w:p>
        </w:tc>
        <w:tc>
          <w:tcPr>
            <w:tcW w:w="2042" w:type="dxa"/>
            <w:tcBorders>
              <w:top w:val="double" w:sz="6" w:space="0" w:color="BFBFBF"/>
              <w:left w:val="double" w:sz="6" w:space="0" w:color="BFBFBF"/>
              <w:bottom w:val="double" w:sz="6" w:space="0" w:color="BFBFBF"/>
              <w:right w:val="double" w:sz="6" w:space="0" w:color="BFBFBF"/>
            </w:tcBorders>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87,10</w:t>
            </w:r>
          </w:p>
        </w:tc>
        <w:tc>
          <w:tcPr>
            <w:tcW w:w="1903" w:type="dxa"/>
            <w:tcBorders>
              <w:top w:val="double" w:sz="6" w:space="0" w:color="BFBFBF"/>
              <w:left w:val="double" w:sz="6" w:space="0" w:color="BFBFBF"/>
              <w:bottom w:val="double" w:sz="6" w:space="0" w:color="BFBFBF"/>
              <w:right w:val="double" w:sz="6" w:space="0" w:color="BFBFBF"/>
            </w:tcBorders>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81,76</w:t>
            </w:r>
          </w:p>
        </w:tc>
        <w:tc>
          <w:tcPr>
            <w:tcW w:w="1705" w:type="dxa"/>
            <w:tcBorders>
              <w:top w:val="double" w:sz="6" w:space="0" w:color="BFBFBF"/>
              <w:left w:val="double" w:sz="6" w:space="0" w:color="BFBFBF"/>
              <w:bottom w:val="double" w:sz="6" w:space="0" w:color="BFBFBF"/>
              <w:right w:val="double" w:sz="6" w:space="0" w:color="BFBFBF"/>
            </w:tcBorders>
            <w:shd w:val="clear" w:color="auto" w:fill="auto"/>
            <w:vAlign w:val="bottom"/>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95,73</w:t>
            </w:r>
          </w:p>
        </w:tc>
      </w:tr>
    </w:tbl>
    <w:p w:rsidR="00737DE6" w:rsidRPr="00315335" w:rsidRDefault="00737DE6" w:rsidP="00737DE6">
      <w:pPr>
        <w:spacing w:after="0" w:line="240" w:lineRule="auto"/>
        <w:rPr>
          <w:rFonts w:ascii="Arial" w:hAnsi="Arial" w:cs="Arial"/>
          <w:b/>
          <w:sz w:val="24"/>
          <w:szCs w:val="24"/>
        </w:rPr>
      </w:pPr>
    </w:p>
    <w:p w:rsidR="00737DE6" w:rsidRPr="00315335" w:rsidRDefault="00737DE6" w:rsidP="00737DE6">
      <w:pPr>
        <w:spacing w:after="0" w:line="240" w:lineRule="auto"/>
        <w:rPr>
          <w:rFonts w:ascii="Arial" w:eastAsia="Calibri" w:hAnsi="Arial" w:cs="Arial"/>
          <w:sz w:val="24"/>
          <w:szCs w:val="24"/>
          <w:highlight w:val="yellow"/>
        </w:rPr>
      </w:pPr>
      <w:r w:rsidRPr="00315335">
        <w:rPr>
          <w:rFonts w:ascii="Arial" w:hAnsi="Arial" w:cs="Arial"/>
          <w:sz w:val="24"/>
          <w:szCs w:val="24"/>
        </w:rPr>
        <w:t xml:space="preserve">Fig.  VII.1.1.11. Evoluția </w:t>
      </w:r>
      <w:r w:rsidRPr="00315335">
        <w:rPr>
          <w:rFonts w:ascii="Arial" w:eastAsia="Calibri" w:hAnsi="Arial" w:cs="Arial"/>
          <w:sz w:val="24"/>
          <w:szCs w:val="24"/>
        </w:rPr>
        <w:t>gradului de acoperire cu servicii de salubritate pentru deservirea populaţiei</w:t>
      </w:r>
    </w:p>
    <w:p w:rsidR="00737DE6" w:rsidRPr="00315335" w:rsidRDefault="00737DE6" w:rsidP="00737DE6">
      <w:pPr>
        <w:spacing w:after="0" w:line="240" w:lineRule="auto"/>
        <w:jc w:val="center"/>
        <w:rPr>
          <w:rFonts w:ascii="Arial" w:hAnsi="Arial" w:cs="Arial"/>
          <w:sz w:val="24"/>
          <w:szCs w:val="24"/>
          <w:highlight w:val="yellow"/>
        </w:rPr>
      </w:pPr>
      <w:r w:rsidRPr="00315335">
        <w:rPr>
          <w:rFonts w:ascii="Arial" w:hAnsi="Arial" w:cs="Arial"/>
          <w:noProof/>
          <w:sz w:val="24"/>
          <w:szCs w:val="24"/>
        </w:rPr>
        <w:drawing>
          <wp:inline distT="0" distB="0" distL="0" distR="0">
            <wp:extent cx="6248400" cy="2676525"/>
            <wp:effectExtent l="0" t="0" r="0" b="0"/>
            <wp:docPr id="252" name="Diagramă 2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737DE6" w:rsidRPr="00315335" w:rsidRDefault="00737DE6" w:rsidP="00737DE6">
      <w:pPr>
        <w:spacing w:after="0" w:line="240" w:lineRule="auto"/>
        <w:rPr>
          <w:rFonts w:ascii="Arial" w:hAnsi="Arial" w:cs="Arial"/>
          <w:b/>
          <w:sz w:val="24"/>
          <w:szCs w:val="24"/>
        </w:rPr>
      </w:pPr>
      <w:r w:rsidRPr="00315335">
        <w:rPr>
          <w:rFonts w:ascii="Arial" w:hAnsi="Arial" w:cs="Arial"/>
          <w:b/>
          <w:sz w:val="24"/>
          <w:szCs w:val="24"/>
        </w:rPr>
        <w:lastRenderedPageBreak/>
        <w:t xml:space="preserve">  Colectarea selectivă și reciclarea deșeurilor</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În conformitate cu prevederile Legii 211/2011 privind deșeurile, art. 17, alin1) autoritățile administrației publice locale au obligația să asigure colectarea separată pentru cel puțin următoarele tipuri de deșeuri: hârtie, metal, plastic și sticlă.</w:t>
      </w:r>
    </w:p>
    <w:p w:rsidR="00737DE6" w:rsidRPr="00315335" w:rsidRDefault="00737DE6" w:rsidP="00737DE6">
      <w:pPr>
        <w:spacing w:after="0" w:line="240" w:lineRule="auto"/>
        <w:ind w:firstLine="708"/>
        <w:jc w:val="both"/>
        <w:rPr>
          <w:rFonts w:ascii="Arial" w:hAnsi="Arial" w:cs="Arial"/>
          <w:b/>
          <w:sz w:val="24"/>
          <w:szCs w:val="24"/>
          <w:lang w:val="it-IT"/>
        </w:rPr>
      </w:pPr>
      <w:r w:rsidRPr="00315335">
        <w:rPr>
          <w:rFonts w:ascii="Arial" w:hAnsi="Arial" w:cs="Arial"/>
          <w:sz w:val="24"/>
          <w:szCs w:val="24"/>
        </w:rPr>
        <w:t>Pentru a reduce cantităţile de deşeuri care trebuie eliminate prin depozitare, având în vedere şi dificultăţile practice create prin sistarea depozitării pe depozite neconforme (depozitul Ianca și spațiile neecologice de depozitare rurale) autorităţile publice locale au implementat diverse soluții pentru colectarea selectivă a deşeurilor reciclabile, recurgând, în unele cazuri şi la selectarea din amestec a acestora. Colectarea selectiva la sursă a deşeurilor menajere de la populaţie se</w:t>
      </w:r>
      <w:r w:rsidRPr="00315335">
        <w:rPr>
          <w:rFonts w:ascii="Arial" w:hAnsi="Arial" w:cs="Arial"/>
          <w:sz w:val="24"/>
          <w:szCs w:val="24"/>
          <w:lang w:val="it-IT"/>
        </w:rPr>
        <w:t xml:space="preserve"> realizează încă în mică măsură. Prin diverse proiecte implementate anterior anului 2014 în localitățile din județul Brăila s-au asigurat și unele dotări necesare pentru </w:t>
      </w:r>
      <w:r w:rsidRPr="00315335">
        <w:rPr>
          <w:rFonts w:ascii="Arial" w:hAnsi="Arial" w:cs="Arial"/>
          <w:sz w:val="24"/>
          <w:szCs w:val="24"/>
        </w:rPr>
        <w:t>colectare selectivă, respectiv europubele sau containere, amplasate în special în cartierele de blocuri sau în unele spații publice din cartiere (piețe, parcuri).</w:t>
      </w:r>
    </w:p>
    <w:p w:rsidR="00737DE6" w:rsidRPr="00315335" w:rsidRDefault="00737DE6" w:rsidP="00737DE6">
      <w:pPr>
        <w:spacing w:after="0" w:line="240" w:lineRule="auto"/>
        <w:ind w:firstLine="708"/>
        <w:jc w:val="both"/>
        <w:rPr>
          <w:rFonts w:ascii="Arial" w:hAnsi="Arial" w:cs="Arial"/>
          <w:bCs/>
          <w:sz w:val="24"/>
          <w:szCs w:val="24"/>
        </w:rPr>
      </w:pPr>
    </w:p>
    <w:p w:rsidR="00737DE6" w:rsidRPr="00315335" w:rsidRDefault="00737DE6" w:rsidP="00737DE6">
      <w:pPr>
        <w:spacing w:after="0" w:line="240" w:lineRule="auto"/>
        <w:ind w:firstLine="708"/>
        <w:jc w:val="both"/>
        <w:rPr>
          <w:rFonts w:ascii="Arial" w:hAnsi="Arial" w:cs="Arial"/>
          <w:bCs/>
          <w:sz w:val="24"/>
          <w:szCs w:val="24"/>
        </w:rPr>
      </w:pPr>
      <w:r w:rsidRPr="00315335">
        <w:rPr>
          <w:rFonts w:ascii="Arial" w:hAnsi="Arial" w:cs="Arial"/>
          <w:bCs/>
          <w:sz w:val="24"/>
          <w:szCs w:val="24"/>
        </w:rPr>
        <w:t>Pentru municipiul Brăila s-au amenajat puncte de colectare mixte unde populația, prin aport propriu poate depune separat deșeurile reciclabile și fracția umedă. Deșeurile reciclabile colectate din aceste puncte sunt predate operatorilor autorizați pentru valorificarea deșeurilor</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Orașele Făurei și Însurăței au implementat în perioada 2008-2009 proiectele PHARE “Reabilitarea sistemului de colectare şi transport a deşeurilor şi extinderea sistemului de colectarea selectivă în oraşul Făurei, judeţul Brăila” și respectiv “Implementarea unui sistem de management al deşeurilor în oraşul Însurăţei şi satele componente”  prin care. Pentru anul 2018, pentru aceste localități procentul de deșeuri colectate selectiv din deșeurile generate reprezintă cca. 2 % (Făurei) și 13 % (Însurăței).</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Situația dotărilor existente pentru colectare separată a deșeurilor de ambalaje (containere) se prezintă astfel: Municipiul Brăila 155, Ianca 36, Făurei 160, Însurăței 120 (total 471 containere). Cantitatea total colectată și valorificată a fost de 79,9 t, situația fiind prezentată în tabelul următor:</w:t>
      </w:r>
    </w:p>
    <w:p w:rsidR="00737DE6" w:rsidRPr="00315335" w:rsidRDefault="00737DE6" w:rsidP="00737DE6">
      <w:pPr>
        <w:spacing w:after="0" w:line="240" w:lineRule="auto"/>
        <w:rPr>
          <w:rFonts w:ascii="Arial" w:hAnsi="Arial" w:cs="Arial"/>
          <w:b/>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Tabel VII.1.1.12 Dotări de colectare selectivă a deşeurilor municipale – 2017</w:t>
      </w:r>
    </w:p>
    <w:p w:rsidR="00737DE6" w:rsidRPr="00315335" w:rsidRDefault="00737DE6" w:rsidP="00737DE6">
      <w:pPr>
        <w:spacing w:after="0" w:line="240" w:lineRule="auto"/>
        <w:rPr>
          <w:rFonts w:ascii="Arial" w:hAnsi="Arial" w:cs="Arial"/>
          <w:sz w:val="24"/>
          <w:szCs w:val="24"/>
        </w:rPr>
      </w:pPr>
    </w:p>
    <w:tbl>
      <w:tblPr>
        <w:tblW w:w="10065" w:type="dxa"/>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4A0" w:firstRow="1" w:lastRow="0" w:firstColumn="1" w:lastColumn="0" w:noHBand="0" w:noVBand="1"/>
      </w:tblPr>
      <w:tblGrid>
        <w:gridCol w:w="1383"/>
        <w:gridCol w:w="2297"/>
        <w:gridCol w:w="2923"/>
        <w:gridCol w:w="1847"/>
        <w:gridCol w:w="1615"/>
      </w:tblGrid>
      <w:tr w:rsidR="00737DE6" w:rsidRPr="00315335" w:rsidTr="00916B06">
        <w:tc>
          <w:tcPr>
            <w:tcW w:w="1383" w:type="dxa"/>
            <w:shd w:val="clear" w:color="auto" w:fill="E0E0E0"/>
            <w:vAlign w:val="center"/>
            <w:hideMark/>
          </w:tcPr>
          <w:p w:rsidR="00737DE6" w:rsidRPr="00315335" w:rsidRDefault="00737DE6" w:rsidP="00916B06">
            <w:pPr>
              <w:spacing w:after="0" w:line="240" w:lineRule="auto"/>
              <w:jc w:val="center"/>
              <w:rPr>
                <w:rFonts w:ascii="Arial" w:eastAsia="SimSun" w:hAnsi="Arial" w:cs="Arial"/>
                <w:sz w:val="24"/>
                <w:szCs w:val="24"/>
              </w:rPr>
            </w:pPr>
            <w:r w:rsidRPr="00315335">
              <w:rPr>
                <w:rFonts w:ascii="Arial" w:hAnsi="Arial" w:cs="Arial"/>
                <w:sz w:val="24"/>
                <w:szCs w:val="24"/>
              </w:rPr>
              <w:t>Localitatea</w:t>
            </w:r>
          </w:p>
        </w:tc>
        <w:tc>
          <w:tcPr>
            <w:tcW w:w="2297" w:type="dxa"/>
            <w:shd w:val="clear" w:color="auto" w:fill="E0E0E0"/>
            <w:vAlign w:val="center"/>
            <w:hideMark/>
          </w:tcPr>
          <w:p w:rsidR="00737DE6" w:rsidRPr="00315335" w:rsidRDefault="00737DE6" w:rsidP="00916B06">
            <w:pPr>
              <w:spacing w:after="0" w:line="240" w:lineRule="auto"/>
              <w:jc w:val="center"/>
              <w:rPr>
                <w:rFonts w:ascii="Arial" w:eastAsia="SimSun" w:hAnsi="Arial" w:cs="Arial"/>
                <w:sz w:val="24"/>
                <w:szCs w:val="24"/>
              </w:rPr>
            </w:pPr>
            <w:r w:rsidRPr="00315335">
              <w:rPr>
                <w:rFonts w:ascii="Arial" w:hAnsi="Arial" w:cs="Arial"/>
                <w:sz w:val="24"/>
                <w:szCs w:val="24"/>
              </w:rPr>
              <w:t>Fracţii de deşeuri colectate selectiv</w:t>
            </w:r>
          </w:p>
        </w:tc>
        <w:tc>
          <w:tcPr>
            <w:tcW w:w="2923" w:type="dxa"/>
            <w:shd w:val="clear" w:color="auto" w:fill="E0E0E0"/>
            <w:vAlign w:val="center"/>
            <w:hideMark/>
          </w:tcPr>
          <w:p w:rsidR="00737DE6" w:rsidRPr="00315335" w:rsidRDefault="00737DE6" w:rsidP="00916B06">
            <w:pPr>
              <w:spacing w:after="0" w:line="240" w:lineRule="auto"/>
              <w:jc w:val="center"/>
              <w:rPr>
                <w:rFonts w:ascii="Arial" w:eastAsia="SimSun" w:hAnsi="Arial" w:cs="Arial"/>
                <w:sz w:val="24"/>
                <w:szCs w:val="24"/>
                <w:lang w:val="fr-FR"/>
              </w:rPr>
            </w:pPr>
            <w:r w:rsidRPr="00315335">
              <w:rPr>
                <w:rFonts w:ascii="Arial" w:hAnsi="Arial" w:cs="Arial"/>
                <w:sz w:val="24"/>
                <w:szCs w:val="24"/>
                <w:lang w:val="fr-FR"/>
              </w:rPr>
              <w:t xml:space="preserve">Număr containere pe tip de deşeu </w:t>
            </w:r>
          </w:p>
        </w:tc>
        <w:tc>
          <w:tcPr>
            <w:tcW w:w="1847" w:type="dxa"/>
            <w:shd w:val="clear" w:color="auto" w:fill="E0E0E0"/>
            <w:vAlign w:val="center"/>
            <w:hideMark/>
          </w:tcPr>
          <w:p w:rsidR="00737DE6" w:rsidRPr="00315335" w:rsidRDefault="00737DE6" w:rsidP="00916B06">
            <w:pPr>
              <w:spacing w:after="0" w:line="240" w:lineRule="auto"/>
              <w:jc w:val="center"/>
              <w:rPr>
                <w:rFonts w:ascii="Arial" w:eastAsia="SimSun" w:hAnsi="Arial" w:cs="Arial"/>
                <w:sz w:val="24"/>
                <w:szCs w:val="24"/>
              </w:rPr>
            </w:pPr>
            <w:r w:rsidRPr="00315335">
              <w:rPr>
                <w:rFonts w:ascii="Arial" w:hAnsi="Arial" w:cs="Arial"/>
                <w:sz w:val="24"/>
                <w:szCs w:val="24"/>
              </w:rPr>
              <w:t>Cantitate colectată</w:t>
            </w:r>
          </w:p>
          <w:p w:rsidR="00737DE6" w:rsidRPr="00315335" w:rsidRDefault="00737DE6" w:rsidP="00916B06">
            <w:pPr>
              <w:spacing w:after="0" w:line="240" w:lineRule="auto"/>
              <w:jc w:val="center"/>
              <w:rPr>
                <w:rFonts w:ascii="Arial" w:eastAsia="SimSun" w:hAnsi="Arial" w:cs="Arial"/>
                <w:sz w:val="24"/>
                <w:szCs w:val="24"/>
              </w:rPr>
            </w:pPr>
            <w:r w:rsidRPr="00315335">
              <w:rPr>
                <w:rFonts w:ascii="Arial" w:hAnsi="Arial" w:cs="Arial"/>
                <w:sz w:val="24"/>
                <w:szCs w:val="24"/>
              </w:rPr>
              <w:t>T</w:t>
            </w:r>
          </w:p>
        </w:tc>
        <w:tc>
          <w:tcPr>
            <w:tcW w:w="1615" w:type="dxa"/>
            <w:shd w:val="clear" w:color="auto" w:fill="E0E0E0"/>
            <w:vAlign w:val="center"/>
            <w:hideMark/>
          </w:tcPr>
          <w:p w:rsidR="00737DE6" w:rsidRPr="00315335" w:rsidRDefault="00737DE6" w:rsidP="00916B06">
            <w:pPr>
              <w:spacing w:after="0" w:line="240" w:lineRule="auto"/>
              <w:jc w:val="center"/>
              <w:rPr>
                <w:rFonts w:ascii="Arial" w:eastAsia="SimSun" w:hAnsi="Arial" w:cs="Arial"/>
                <w:sz w:val="24"/>
                <w:szCs w:val="24"/>
              </w:rPr>
            </w:pPr>
            <w:r w:rsidRPr="00315335">
              <w:rPr>
                <w:rFonts w:ascii="Arial" w:hAnsi="Arial" w:cs="Arial"/>
                <w:sz w:val="24"/>
                <w:szCs w:val="24"/>
              </w:rPr>
              <w:t>Cantitate valorificată</w:t>
            </w:r>
          </w:p>
          <w:p w:rsidR="00737DE6" w:rsidRPr="00315335" w:rsidRDefault="00737DE6" w:rsidP="00916B06">
            <w:pPr>
              <w:spacing w:after="0" w:line="240" w:lineRule="auto"/>
              <w:jc w:val="center"/>
              <w:rPr>
                <w:rFonts w:ascii="Arial" w:eastAsia="SimSun" w:hAnsi="Arial" w:cs="Arial"/>
                <w:sz w:val="24"/>
                <w:szCs w:val="24"/>
              </w:rPr>
            </w:pPr>
            <w:r w:rsidRPr="00315335">
              <w:rPr>
                <w:rFonts w:ascii="Arial" w:hAnsi="Arial" w:cs="Arial"/>
                <w:sz w:val="24"/>
                <w:szCs w:val="24"/>
              </w:rPr>
              <w:t>t</w:t>
            </w:r>
          </w:p>
        </w:tc>
      </w:tr>
      <w:tr w:rsidR="00737DE6" w:rsidRPr="00315335" w:rsidTr="00916B06">
        <w:tc>
          <w:tcPr>
            <w:tcW w:w="1383" w:type="dxa"/>
            <w:vMerge w:val="restart"/>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Brăila</w:t>
            </w: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PET / plastic</w:t>
            </w:r>
          </w:p>
        </w:tc>
        <w:tc>
          <w:tcPr>
            <w:tcW w:w="2923"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xml:space="preserve">78 buc </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32,40</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32,40</w:t>
            </w:r>
          </w:p>
        </w:tc>
      </w:tr>
      <w:tr w:rsidR="00737DE6" w:rsidRPr="00315335" w:rsidTr="00916B06">
        <w:tc>
          <w:tcPr>
            <w:tcW w:w="1383" w:type="dxa"/>
            <w:vMerge/>
            <w:vAlign w:val="center"/>
            <w:hideMark/>
          </w:tcPr>
          <w:p w:rsidR="00737DE6" w:rsidRPr="00315335" w:rsidRDefault="00737DE6" w:rsidP="00916B06">
            <w:pPr>
              <w:spacing w:after="0" w:line="240" w:lineRule="auto"/>
              <w:jc w:val="center"/>
              <w:rPr>
                <w:rFonts w:ascii="Arial" w:hAnsi="Arial" w:cs="Arial"/>
                <w:b/>
                <w:sz w:val="24"/>
                <w:szCs w:val="24"/>
              </w:rPr>
            </w:pP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hârtie şi carton</w:t>
            </w:r>
          </w:p>
        </w:tc>
        <w:tc>
          <w:tcPr>
            <w:tcW w:w="2923"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xml:space="preserve">77 buc </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164,70</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164,70</w:t>
            </w:r>
          </w:p>
        </w:tc>
      </w:tr>
      <w:tr w:rsidR="00737DE6" w:rsidRPr="00315335" w:rsidTr="00916B06">
        <w:tc>
          <w:tcPr>
            <w:tcW w:w="1383" w:type="dxa"/>
            <w:vMerge w:val="restart"/>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Ianca</w:t>
            </w:r>
          </w:p>
          <w:p w:rsidR="00737DE6" w:rsidRPr="00315335" w:rsidRDefault="00737DE6" w:rsidP="00916B06">
            <w:pPr>
              <w:spacing w:after="0" w:line="240" w:lineRule="auto"/>
              <w:jc w:val="center"/>
              <w:rPr>
                <w:rFonts w:ascii="Arial" w:hAnsi="Arial" w:cs="Arial"/>
                <w:b/>
                <w:sz w:val="24"/>
                <w:szCs w:val="24"/>
              </w:rPr>
            </w:pP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PET / plastic</w:t>
            </w:r>
          </w:p>
        </w:tc>
        <w:tc>
          <w:tcPr>
            <w:tcW w:w="2923"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xml:space="preserve">28 buc </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2,25</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2,25</w:t>
            </w:r>
          </w:p>
        </w:tc>
      </w:tr>
      <w:tr w:rsidR="00737DE6" w:rsidRPr="00315335" w:rsidTr="00916B06">
        <w:tc>
          <w:tcPr>
            <w:tcW w:w="1383" w:type="dxa"/>
            <w:vMerge/>
            <w:vAlign w:val="center"/>
            <w:hideMark/>
          </w:tcPr>
          <w:p w:rsidR="00737DE6" w:rsidRPr="00315335" w:rsidRDefault="00737DE6" w:rsidP="00916B06">
            <w:pPr>
              <w:spacing w:after="0" w:line="240" w:lineRule="auto"/>
              <w:jc w:val="center"/>
              <w:rPr>
                <w:rFonts w:ascii="Arial" w:hAnsi="Arial" w:cs="Arial"/>
                <w:b/>
                <w:sz w:val="24"/>
                <w:szCs w:val="24"/>
              </w:rPr>
            </w:pP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hârtie şi carton</w:t>
            </w:r>
          </w:p>
        </w:tc>
        <w:tc>
          <w:tcPr>
            <w:tcW w:w="2923"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8 buc</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1,50</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1,50</w:t>
            </w:r>
          </w:p>
        </w:tc>
      </w:tr>
      <w:tr w:rsidR="00737DE6" w:rsidRPr="00315335" w:rsidTr="00916B06">
        <w:tc>
          <w:tcPr>
            <w:tcW w:w="1383" w:type="dxa"/>
            <w:vMerge w:val="restart"/>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Făurei</w:t>
            </w:r>
          </w:p>
          <w:p w:rsidR="00737DE6" w:rsidRPr="00315335" w:rsidRDefault="00737DE6" w:rsidP="00916B06">
            <w:pPr>
              <w:spacing w:after="0" w:line="240" w:lineRule="auto"/>
              <w:jc w:val="center"/>
              <w:rPr>
                <w:rFonts w:ascii="Arial" w:hAnsi="Arial" w:cs="Arial"/>
                <w:b/>
                <w:sz w:val="24"/>
                <w:szCs w:val="24"/>
              </w:rPr>
            </w:pP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PET / plastic</w:t>
            </w:r>
          </w:p>
        </w:tc>
        <w:tc>
          <w:tcPr>
            <w:tcW w:w="2923"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xml:space="preserve">80 buc </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0,00</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0,00</w:t>
            </w:r>
          </w:p>
        </w:tc>
      </w:tr>
      <w:tr w:rsidR="00737DE6" w:rsidRPr="00315335" w:rsidTr="00916B06">
        <w:tc>
          <w:tcPr>
            <w:tcW w:w="1383" w:type="dxa"/>
            <w:vMerge/>
            <w:vAlign w:val="center"/>
            <w:hideMark/>
          </w:tcPr>
          <w:p w:rsidR="00737DE6" w:rsidRPr="00315335" w:rsidRDefault="00737DE6" w:rsidP="00916B06">
            <w:pPr>
              <w:spacing w:after="0" w:line="240" w:lineRule="auto"/>
              <w:jc w:val="center"/>
              <w:rPr>
                <w:rFonts w:ascii="Arial" w:hAnsi="Arial" w:cs="Arial"/>
                <w:b/>
                <w:sz w:val="24"/>
                <w:szCs w:val="24"/>
              </w:rPr>
            </w:pP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hârtie şi carton</w:t>
            </w:r>
          </w:p>
        </w:tc>
        <w:tc>
          <w:tcPr>
            <w:tcW w:w="2923"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xml:space="preserve">80 buc </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0,80</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0,80</w:t>
            </w:r>
          </w:p>
        </w:tc>
      </w:tr>
      <w:tr w:rsidR="00737DE6" w:rsidRPr="00315335" w:rsidTr="00916B06">
        <w:tc>
          <w:tcPr>
            <w:tcW w:w="1383" w:type="dxa"/>
            <w:vMerge w:val="restart"/>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Însurăţei</w:t>
            </w: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PET / plastic</w:t>
            </w:r>
          </w:p>
        </w:tc>
        <w:tc>
          <w:tcPr>
            <w:tcW w:w="2923"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xml:space="preserve">60 buc </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14,56</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14,56</w:t>
            </w:r>
          </w:p>
        </w:tc>
      </w:tr>
      <w:tr w:rsidR="00737DE6" w:rsidRPr="00315335" w:rsidTr="00916B06">
        <w:tc>
          <w:tcPr>
            <w:tcW w:w="1383" w:type="dxa"/>
            <w:vMerge/>
            <w:vAlign w:val="center"/>
            <w:hideMark/>
          </w:tcPr>
          <w:p w:rsidR="00737DE6" w:rsidRPr="00315335" w:rsidRDefault="00737DE6" w:rsidP="00916B06">
            <w:pPr>
              <w:spacing w:after="0" w:line="240" w:lineRule="auto"/>
              <w:jc w:val="center"/>
              <w:rPr>
                <w:rFonts w:ascii="Arial" w:hAnsi="Arial" w:cs="Arial"/>
                <w:b/>
                <w:sz w:val="24"/>
                <w:szCs w:val="24"/>
              </w:rPr>
            </w:pP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hârtie şi carton</w:t>
            </w:r>
          </w:p>
        </w:tc>
        <w:tc>
          <w:tcPr>
            <w:tcW w:w="2923"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xml:space="preserve">60 buc </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11,36</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11,36</w:t>
            </w:r>
          </w:p>
        </w:tc>
      </w:tr>
      <w:tr w:rsidR="00737DE6" w:rsidRPr="00315335" w:rsidTr="00916B06">
        <w:tc>
          <w:tcPr>
            <w:tcW w:w="1383"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Total județ</w:t>
            </w: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Hartie/carton</w:t>
            </w:r>
          </w:p>
        </w:tc>
        <w:tc>
          <w:tcPr>
            <w:tcW w:w="2923"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225</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49,21</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49,21</w:t>
            </w:r>
          </w:p>
        </w:tc>
      </w:tr>
      <w:tr w:rsidR="00737DE6" w:rsidRPr="00315335" w:rsidTr="00916B06">
        <w:tc>
          <w:tcPr>
            <w:tcW w:w="1383" w:type="dxa"/>
            <w:vAlign w:val="center"/>
          </w:tcPr>
          <w:p w:rsidR="00737DE6" w:rsidRPr="00315335" w:rsidRDefault="00737DE6" w:rsidP="00916B06">
            <w:pPr>
              <w:spacing w:after="0" w:line="240" w:lineRule="auto"/>
              <w:jc w:val="center"/>
              <w:rPr>
                <w:rFonts w:ascii="Arial" w:hAnsi="Arial" w:cs="Arial"/>
                <w:b/>
                <w:sz w:val="24"/>
                <w:szCs w:val="24"/>
              </w:rPr>
            </w:pPr>
          </w:p>
        </w:tc>
        <w:tc>
          <w:tcPr>
            <w:tcW w:w="229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PET / plastic</w:t>
            </w:r>
          </w:p>
        </w:tc>
        <w:tc>
          <w:tcPr>
            <w:tcW w:w="2923"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246</w:t>
            </w:r>
          </w:p>
        </w:tc>
        <w:tc>
          <w:tcPr>
            <w:tcW w:w="1847"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178,36</w:t>
            </w:r>
          </w:p>
        </w:tc>
        <w:tc>
          <w:tcPr>
            <w:tcW w:w="1615" w:type="dxa"/>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178,36</w:t>
            </w:r>
          </w:p>
        </w:tc>
      </w:tr>
    </w:tbl>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Gradul de colectare selectivă a deşeurilor reciclabile de la populaţie este destul de scăzut. În vederea creşterii cantităţilor de deşeuri colectate, se impune realizarea periodică de campanii de conştientizare a populaţiei în care să se promoveze sistemul de colectare selectivă a deşeurilor.</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jc w:val="both"/>
        <w:rPr>
          <w:rFonts w:ascii="Arial" w:hAnsi="Arial" w:cs="Arial"/>
          <w:b/>
          <w:sz w:val="24"/>
          <w:szCs w:val="24"/>
        </w:rPr>
      </w:pPr>
      <w:r w:rsidRPr="00315335">
        <w:rPr>
          <w:rFonts w:ascii="Arial" w:hAnsi="Arial" w:cs="Arial"/>
          <w:b/>
          <w:sz w:val="24"/>
          <w:szCs w:val="24"/>
        </w:rPr>
        <w:t>Deşeuri biodegradabile</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O componentă majoră a deşeurilor municipale o reprezintă deşeurile biodegradabile (deşeurile organice care pot fi descompuse de către microorganisme). Din cauza poluării </w:t>
      </w:r>
      <w:r w:rsidRPr="00315335">
        <w:rPr>
          <w:rFonts w:ascii="Arial" w:hAnsi="Arial" w:cs="Arial"/>
          <w:sz w:val="24"/>
          <w:szCs w:val="24"/>
        </w:rPr>
        <w:lastRenderedPageBreak/>
        <w:t xml:space="preserve">generate de descompunerea acestor deşeuri în depozite (în special emisia de gaze cu efect de seră şi levigat), se impune reducerea treptată a cantităţilor eliminate prin depozitare. Ținta stabilită pentru anul 2017 a fost de 35% din cantitatea de deşeuri biodegradabile eliminată în anul 1995. </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pStyle w:val="Default"/>
        <w:jc w:val="both"/>
        <w:rPr>
          <w:rFonts w:ascii="Arial" w:hAnsi="Arial" w:cs="Arial"/>
          <w:color w:val="auto"/>
        </w:rPr>
      </w:pPr>
      <w:r w:rsidRPr="00315335">
        <w:rPr>
          <w:rFonts w:ascii="Arial" w:hAnsi="Arial" w:cs="Arial"/>
          <w:b/>
          <w:color w:val="auto"/>
          <w:lang w:val="ro-RO"/>
        </w:rPr>
        <w:t>Tabel VII.1.1.13</w:t>
      </w:r>
      <w:r w:rsidRPr="00315335">
        <w:rPr>
          <w:rFonts w:ascii="Arial" w:hAnsi="Arial" w:cs="Arial"/>
          <w:color w:val="auto"/>
          <w:lang w:val="ro-RO"/>
        </w:rPr>
        <w:t xml:space="preserve"> </w:t>
      </w:r>
      <w:r w:rsidRPr="00315335">
        <w:rPr>
          <w:rFonts w:ascii="Arial" w:hAnsi="Arial" w:cs="Arial"/>
          <w:color w:val="auto"/>
        </w:rPr>
        <w:t>Evoluția cantităților de deșeuri biodegradabile depozitate</w:t>
      </w:r>
    </w:p>
    <w:p w:rsidR="00737DE6" w:rsidRPr="00315335" w:rsidRDefault="00737DE6" w:rsidP="00737DE6">
      <w:pPr>
        <w:pStyle w:val="Default"/>
        <w:jc w:val="both"/>
        <w:rPr>
          <w:rFonts w:ascii="Arial" w:hAnsi="Arial" w:cs="Arial"/>
          <w:color w:val="auto"/>
        </w:rPr>
      </w:pPr>
    </w:p>
    <w:tbl>
      <w:tblPr>
        <w:tblW w:w="982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4A0" w:firstRow="1" w:lastRow="0" w:firstColumn="1" w:lastColumn="0" w:noHBand="0" w:noVBand="1"/>
      </w:tblPr>
      <w:tblGrid>
        <w:gridCol w:w="2946"/>
        <w:gridCol w:w="762"/>
        <w:gridCol w:w="720"/>
        <w:gridCol w:w="810"/>
        <w:gridCol w:w="810"/>
        <w:gridCol w:w="810"/>
        <w:gridCol w:w="810"/>
        <w:gridCol w:w="720"/>
        <w:gridCol w:w="720"/>
        <w:gridCol w:w="720"/>
      </w:tblGrid>
      <w:tr w:rsidR="00737DE6" w:rsidRPr="00315335" w:rsidTr="00916B06">
        <w:tc>
          <w:tcPr>
            <w:tcW w:w="2946" w:type="dxa"/>
          </w:tcPr>
          <w:p w:rsidR="00737DE6" w:rsidRPr="00315335" w:rsidRDefault="00737DE6" w:rsidP="00916B06">
            <w:pPr>
              <w:pStyle w:val="Default"/>
              <w:jc w:val="both"/>
              <w:rPr>
                <w:rFonts w:ascii="Arial" w:hAnsi="Arial" w:cs="Arial"/>
                <w:color w:val="auto"/>
                <w:lang w:val="ro-RO"/>
              </w:rPr>
            </w:pPr>
          </w:p>
        </w:tc>
        <w:tc>
          <w:tcPr>
            <w:tcW w:w="762" w:type="dxa"/>
          </w:tcPr>
          <w:p w:rsidR="00737DE6" w:rsidRPr="00315335" w:rsidRDefault="00737DE6" w:rsidP="00916B06">
            <w:pPr>
              <w:pStyle w:val="Default"/>
              <w:jc w:val="center"/>
              <w:rPr>
                <w:rFonts w:ascii="Arial" w:hAnsi="Arial" w:cs="Arial"/>
                <w:b/>
                <w:color w:val="auto"/>
                <w:lang w:val="ro-RO"/>
              </w:rPr>
            </w:pPr>
            <w:r w:rsidRPr="00315335">
              <w:rPr>
                <w:rFonts w:ascii="Arial" w:hAnsi="Arial" w:cs="Arial"/>
                <w:b/>
                <w:color w:val="auto"/>
                <w:lang w:val="ro-RO"/>
              </w:rPr>
              <w:t>1995</w:t>
            </w:r>
          </w:p>
        </w:tc>
        <w:tc>
          <w:tcPr>
            <w:tcW w:w="720" w:type="dxa"/>
          </w:tcPr>
          <w:p w:rsidR="00737DE6" w:rsidRPr="00315335" w:rsidRDefault="00737DE6" w:rsidP="00916B06">
            <w:pPr>
              <w:pStyle w:val="Default"/>
              <w:jc w:val="center"/>
              <w:rPr>
                <w:rFonts w:ascii="Arial" w:hAnsi="Arial" w:cs="Arial"/>
                <w:b/>
                <w:color w:val="auto"/>
                <w:lang w:val="ro-RO"/>
              </w:rPr>
            </w:pPr>
            <w:r w:rsidRPr="00315335">
              <w:rPr>
                <w:rFonts w:ascii="Arial" w:hAnsi="Arial" w:cs="Arial"/>
                <w:b/>
                <w:color w:val="auto"/>
                <w:lang w:val="ro-RO"/>
              </w:rPr>
              <w:t>2010</w:t>
            </w:r>
          </w:p>
        </w:tc>
        <w:tc>
          <w:tcPr>
            <w:tcW w:w="810" w:type="dxa"/>
          </w:tcPr>
          <w:p w:rsidR="00737DE6" w:rsidRPr="00315335" w:rsidRDefault="00737DE6" w:rsidP="00916B06">
            <w:pPr>
              <w:pStyle w:val="Default"/>
              <w:jc w:val="center"/>
              <w:rPr>
                <w:rFonts w:ascii="Arial" w:hAnsi="Arial" w:cs="Arial"/>
                <w:b/>
                <w:color w:val="auto"/>
                <w:lang w:val="ro-RO"/>
              </w:rPr>
            </w:pPr>
            <w:r w:rsidRPr="00315335">
              <w:rPr>
                <w:rFonts w:ascii="Arial" w:hAnsi="Arial" w:cs="Arial"/>
                <w:b/>
                <w:color w:val="auto"/>
                <w:lang w:val="ro-RO"/>
              </w:rPr>
              <w:t>2011</w:t>
            </w:r>
          </w:p>
        </w:tc>
        <w:tc>
          <w:tcPr>
            <w:tcW w:w="810" w:type="dxa"/>
          </w:tcPr>
          <w:p w:rsidR="00737DE6" w:rsidRPr="00315335" w:rsidRDefault="00737DE6" w:rsidP="00916B06">
            <w:pPr>
              <w:pStyle w:val="Default"/>
              <w:jc w:val="center"/>
              <w:rPr>
                <w:rFonts w:ascii="Arial" w:hAnsi="Arial" w:cs="Arial"/>
                <w:b/>
                <w:color w:val="auto"/>
                <w:lang w:val="ro-RO"/>
              </w:rPr>
            </w:pPr>
            <w:r w:rsidRPr="00315335">
              <w:rPr>
                <w:rFonts w:ascii="Arial" w:hAnsi="Arial" w:cs="Arial"/>
                <w:b/>
                <w:color w:val="auto"/>
                <w:lang w:val="ro-RO"/>
              </w:rPr>
              <w:t>2012</w:t>
            </w:r>
          </w:p>
        </w:tc>
        <w:tc>
          <w:tcPr>
            <w:tcW w:w="810" w:type="dxa"/>
          </w:tcPr>
          <w:p w:rsidR="00737DE6" w:rsidRPr="00315335" w:rsidRDefault="00737DE6" w:rsidP="00916B06">
            <w:pPr>
              <w:pStyle w:val="Default"/>
              <w:jc w:val="center"/>
              <w:rPr>
                <w:rFonts w:ascii="Arial" w:hAnsi="Arial" w:cs="Arial"/>
                <w:b/>
                <w:color w:val="auto"/>
                <w:lang w:val="ro-RO"/>
              </w:rPr>
            </w:pPr>
            <w:r w:rsidRPr="00315335">
              <w:rPr>
                <w:rFonts w:ascii="Arial" w:hAnsi="Arial" w:cs="Arial"/>
                <w:b/>
                <w:color w:val="auto"/>
                <w:lang w:val="ro-RO"/>
              </w:rPr>
              <w:t>2013</w:t>
            </w:r>
          </w:p>
        </w:tc>
        <w:tc>
          <w:tcPr>
            <w:tcW w:w="810" w:type="dxa"/>
          </w:tcPr>
          <w:p w:rsidR="00737DE6" w:rsidRPr="00315335" w:rsidRDefault="00737DE6" w:rsidP="00916B06">
            <w:pPr>
              <w:pStyle w:val="Default"/>
              <w:jc w:val="center"/>
              <w:rPr>
                <w:rFonts w:ascii="Arial" w:hAnsi="Arial" w:cs="Arial"/>
                <w:b/>
                <w:color w:val="auto"/>
                <w:lang w:val="ro-RO"/>
              </w:rPr>
            </w:pPr>
            <w:r w:rsidRPr="00315335">
              <w:rPr>
                <w:rFonts w:ascii="Arial" w:hAnsi="Arial" w:cs="Arial"/>
                <w:b/>
                <w:color w:val="auto"/>
                <w:lang w:val="ro-RO"/>
              </w:rPr>
              <w:t>2014</w:t>
            </w:r>
          </w:p>
        </w:tc>
        <w:tc>
          <w:tcPr>
            <w:tcW w:w="720" w:type="dxa"/>
          </w:tcPr>
          <w:p w:rsidR="00737DE6" w:rsidRPr="00315335" w:rsidRDefault="00737DE6" w:rsidP="00916B06">
            <w:pPr>
              <w:pStyle w:val="Default"/>
              <w:jc w:val="center"/>
              <w:rPr>
                <w:rFonts w:ascii="Arial" w:hAnsi="Arial" w:cs="Arial"/>
                <w:b/>
                <w:color w:val="auto"/>
                <w:lang w:val="ro-RO"/>
              </w:rPr>
            </w:pPr>
            <w:r w:rsidRPr="00315335">
              <w:rPr>
                <w:rFonts w:ascii="Arial" w:hAnsi="Arial" w:cs="Arial"/>
                <w:b/>
                <w:color w:val="auto"/>
                <w:lang w:val="ro-RO"/>
              </w:rPr>
              <w:t>2015</w:t>
            </w:r>
          </w:p>
        </w:tc>
        <w:tc>
          <w:tcPr>
            <w:tcW w:w="720" w:type="dxa"/>
          </w:tcPr>
          <w:p w:rsidR="00737DE6" w:rsidRPr="00315335" w:rsidRDefault="00737DE6" w:rsidP="00916B06">
            <w:pPr>
              <w:pStyle w:val="Default"/>
              <w:jc w:val="center"/>
              <w:rPr>
                <w:rFonts w:ascii="Arial" w:hAnsi="Arial" w:cs="Arial"/>
                <w:b/>
                <w:color w:val="auto"/>
                <w:lang w:val="ro-RO"/>
              </w:rPr>
            </w:pPr>
            <w:r w:rsidRPr="00315335">
              <w:rPr>
                <w:rFonts w:ascii="Arial" w:hAnsi="Arial" w:cs="Arial"/>
                <w:b/>
                <w:color w:val="auto"/>
                <w:lang w:val="ro-RO"/>
              </w:rPr>
              <w:t>2016</w:t>
            </w:r>
          </w:p>
        </w:tc>
        <w:tc>
          <w:tcPr>
            <w:tcW w:w="720" w:type="dxa"/>
          </w:tcPr>
          <w:p w:rsidR="00737DE6" w:rsidRPr="00315335" w:rsidRDefault="00737DE6" w:rsidP="00916B06">
            <w:pPr>
              <w:pStyle w:val="Default"/>
              <w:jc w:val="center"/>
              <w:rPr>
                <w:rFonts w:ascii="Arial" w:hAnsi="Arial" w:cs="Arial"/>
                <w:b/>
                <w:color w:val="auto"/>
                <w:lang w:val="ro-RO"/>
              </w:rPr>
            </w:pPr>
            <w:r w:rsidRPr="00315335">
              <w:rPr>
                <w:rFonts w:ascii="Arial" w:hAnsi="Arial" w:cs="Arial"/>
                <w:b/>
                <w:color w:val="auto"/>
                <w:lang w:val="ro-RO"/>
              </w:rPr>
              <w:t>2017</w:t>
            </w:r>
          </w:p>
        </w:tc>
      </w:tr>
      <w:tr w:rsidR="00737DE6" w:rsidRPr="00315335" w:rsidTr="00916B06">
        <w:tc>
          <w:tcPr>
            <w:tcW w:w="2946" w:type="dxa"/>
          </w:tcPr>
          <w:p w:rsidR="00737DE6" w:rsidRPr="00315335" w:rsidRDefault="00737DE6" w:rsidP="00916B06">
            <w:pPr>
              <w:pStyle w:val="Default"/>
              <w:jc w:val="both"/>
              <w:rPr>
                <w:rFonts w:ascii="Arial" w:hAnsi="Arial" w:cs="Arial"/>
                <w:color w:val="auto"/>
                <w:lang w:val="ro-RO"/>
              </w:rPr>
            </w:pPr>
            <w:r w:rsidRPr="00315335">
              <w:rPr>
                <w:rFonts w:ascii="Arial" w:hAnsi="Arial" w:cs="Arial"/>
                <w:color w:val="auto"/>
              </w:rPr>
              <w:t>Cantitatea de deşeuri biodegradabile depozitată [ t ]</w:t>
            </w:r>
          </w:p>
        </w:tc>
        <w:tc>
          <w:tcPr>
            <w:tcW w:w="762"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82763</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28746</w:t>
            </w:r>
          </w:p>
        </w:tc>
        <w:tc>
          <w:tcPr>
            <w:tcW w:w="81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29037</w:t>
            </w:r>
          </w:p>
        </w:tc>
        <w:tc>
          <w:tcPr>
            <w:tcW w:w="81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it-IT"/>
              </w:rPr>
              <w:t>30916</w:t>
            </w:r>
          </w:p>
        </w:tc>
        <w:tc>
          <w:tcPr>
            <w:tcW w:w="81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52433</w:t>
            </w:r>
          </w:p>
        </w:tc>
        <w:tc>
          <w:tcPr>
            <w:tcW w:w="81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49282</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54663</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55812</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46513</w:t>
            </w:r>
          </w:p>
        </w:tc>
      </w:tr>
      <w:tr w:rsidR="00737DE6" w:rsidRPr="00315335" w:rsidTr="00916B06">
        <w:trPr>
          <w:trHeight w:val="684"/>
        </w:trPr>
        <w:tc>
          <w:tcPr>
            <w:tcW w:w="2946" w:type="dxa"/>
          </w:tcPr>
          <w:p w:rsidR="00737DE6" w:rsidRPr="00315335" w:rsidRDefault="00737DE6" w:rsidP="00916B06">
            <w:pPr>
              <w:pStyle w:val="Default"/>
              <w:jc w:val="both"/>
              <w:rPr>
                <w:rFonts w:ascii="Arial" w:hAnsi="Arial" w:cs="Arial"/>
                <w:color w:val="auto"/>
                <w:lang w:val="ro-RO"/>
              </w:rPr>
            </w:pPr>
            <w:r w:rsidRPr="00315335">
              <w:rPr>
                <w:rFonts w:ascii="Arial" w:hAnsi="Arial" w:cs="Arial"/>
                <w:color w:val="auto"/>
              </w:rPr>
              <w:t>Cantitatea de deşeuri biodegradabile depozitată față de 1995 [ % ]</w:t>
            </w:r>
          </w:p>
        </w:tc>
        <w:tc>
          <w:tcPr>
            <w:tcW w:w="762" w:type="dxa"/>
          </w:tcPr>
          <w:p w:rsidR="00737DE6" w:rsidRPr="00315335" w:rsidRDefault="00737DE6" w:rsidP="00916B06">
            <w:pPr>
              <w:pStyle w:val="Default"/>
              <w:jc w:val="center"/>
              <w:rPr>
                <w:rFonts w:ascii="Arial" w:hAnsi="Arial" w:cs="Arial"/>
                <w:color w:val="auto"/>
                <w:lang w:val="ro-RO"/>
              </w:rPr>
            </w:pPr>
          </w:p>
        </w:tc>
        <w:tc>
          <w:tcPr>
            <w:tcW w:w="720" w:type="dxa"/>
          </w:tcPr>
          <w:p w:rsidR="00737DE6" w:rsidRPr="00315335" w:rsidRDefault="00737DE6" w:rsidP="00916B06">
            <w:pPr>
              <w:pStyle w:val="Default"/>
              <w:jc w:val="center"/>
              <w:rPr>
                <w:rFonts w:ascii="Arial" w:hAnsi="Arial" w:cs="Arial"/>
                <w:color w:val="auto"/>
              </w:rPr>
            </w:pPr>
            <w:r w:rsidRPr="00315335">
              <w:rPr>
                <w:rFonts w:ascii="Arial" w:hAnsi="Arial" w:cs="Arial"/>
                <w:color w:val="auto"/>
              </w:rPr>
              <w:t xml:space="preserve">34,73 </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810" w:type="dxa"/>
          </w:tcPr>
          <w:p w:rsidR="00737DE6" w:rsidRPr="00315335" w:rsidRDefault="00737DE6" w:rsidP="00916B06">
            <w:pPr>
              <w:pStyle w:val="Default"/>
              <w:jc w:val="center"/>
              <w:rPr>
                <w:rFonts w:ascii="Arial" w:hAnsi="Arial" w:cs="Arial"/>
                <w:color w:val="auto"/>
              </w:rPr>
            </w:pPr>
            <w:r w:rsidRPr="00315335">
              <w:rPr>
                <w:rFonts w:ascii="Arial" w:hAnsi="Arial" w:cs="Arial"/>
                <w:color w:val="auto"/>
              </w:rPr>
              <w:t xml:space="preserve">35,08 </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810" w:type="dxa"/>
          </w:tcPr>
          <w:p w:rsidR="00737DE6" w:rsidRPr="00315335" w:rsidRDefault="00737DE6" w:rsidP="00916B06">
            <w:pPr>
              <w:spacing w:after="0" w:line="240" w:lineRule="auto"/>
              <w:jc w:val="center"/>
              <w:rPr>
                <w:rFonts w:ascii="Arial" w:hAnsi="Arial" w:cs="Arial"/>
                <w:b/>
                <w:sz w:val="24"/>
                <w:szCs w:val="24"/>
                <w:lang w:val="it-IT"/>
              </w:rPr>
            </w:pPr>
            <w:r w:rsidRPr="00315335">
              <w:rPr>
                <w:rFonts w:ascii="Arial" w:hAnsi="Arial" w:cs="Arial"/>
                <w:b/>
                <w:sz w:val="24"/>
                <w:szCs w:val="24"/>
                <w:lang w:val="it-IT"/>
              </w:rPr>
              <w:t>37,35</w:t>
            </w:r>
            <w:r w:rsidRPr="00315335">
              <w:rPr>
                <w:rFonts w:ascii="Arial" w:hAnsi="Arial" w:cs="Arial"/>
                <w:sz w:val="24"/>
                <w:szCs w:val="24"/>
              </w:rPr>
              <w:t>[ % ]</w:t>
            </w:r>
          </w:p>
          <w:p w:rsidR="00737DE6" w:rsidRPr="00315335" w:rsidRDefault="00737DE6" w:rsidP="00916B06">
            <w:pPr>
              <w:pStyle w:val="Default"/>
              <w:jc w:val="center"/>
              <w:rPr>
                <w:rFonts w:ascii="Arial" w:hAnsi="Arial" w:cs="Arial"/>
                <w:color w:val="auto"/>
                <w:lang w:val="ro-RO"/>
              </w:rPr>
            </w:pPr>
          </w:p>
        </w:tc>
        <w:tc>
          <w:tcPr>
            <w:tcW w:w="81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63,35</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81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59,54</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66,04</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67,43</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56,20</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r>
      <w:tr w:rsidR="00737DE6" w:rsidRPr="00315335" w:rsidTr="00916B06">
        <w:tc>
          <w:tcPr>
            <w:tcW w:w="2946" w:type="dxa"/>
          </w:tcPr>
          <w:p w:rsidR="00737DE6" w:rsidRPr="00315335" w:rsidRDefault="00737DE6" w:rsidP="00916B06">
            <w:pPr>
              <w:pStyle w:val="Default"/>
              <w:jc w:val="both"/>
              <w:rPr>
                <w:rFonts w:ascii="Arial" w:hAnsi="Arial" w:cs="Arial"/>
                <w:color w:val="auto"/>
                <w:lang w:val="ro-RO"/>
              </w:rPr>
            </w:pPr>
            <w:r w:rsidRPr="00315335">
              <w:rPr>
                <w:rFonts w:ascii="Arial" w:hAnsi="Arial" w:cs="Arial"/>
                <w:color w:val="auto"/>
              </w:rPr>
              <w:t>Reducerea cantităţii de deşeuri biodegradabile generate faţă de 1995 [ % ]</w:t>
            </w:r>
          </w:p>
        </w:tc>
        <w:tc>
          <w:tcPr>
            <w:tcW w:w="762" w:type="dxa"/>
          </w:tcPr>
          <w:p w:rsidR="00737DE6" w:rsidRPr="00315335" w:rsidRDefault="00737DE6" w:rsidP="00916B06">
            <w:pPr>
              <w:pStyle w:val="Default"/>
              <w:jc w:val="center"/>
              <w:rPr>
                <w:rFonts w:ascii="Arial" w:hAnsi="Arial" w:cs="Arial"/>
                <w:color w:val="auto"/>
                <w:lang w:val="ro-RO"/>
              </w:rPr>
            </w:pPr>
          </w:p>
        </w:tc>
        <w:tc>
          <w:tcPr>
            <w:tcW w:w="720" w:type="dxa"/>
          </w:tcPr>
          <w:p w:rsidR="00737DE6" w:rsidRPr="00315335" w:rsidRDefault="00737DE6" w:rsidP="00916B06">
            <w:pPr>
              <w:pStyle w:val="Default"/>
              <w:jc w:val="center"/>
              <w:rPr>
                <w:rFonts w:ascii="Arial" w:hAnsi="Arial" w:cs="Arial"/>
                <w:color w:val="auto"/>
              </w:rPr>
            </w:pPr>
            <w:r w:rsidRPr="00315335">
              <w:rPr>
                <w:rFonts w:ascii="Arial" w:hAnsi="Arial" w:cs="Arial"/>
                <w:color w:val="auto"/>
              </w:rPr>
              <w:t xml:space="preserve">65,27 </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810" w:type="dxa"/>
          </w:tcPr>
          <w:p w:rsidR="00737DE6" w:rsidRPr="00315335" w:rsidRDefault="00737DE6" w:rsidP="00916B06">
            <w:pPr>
              <w:pStyle w:val="Default"/>
              <w:jc w:val="center"/>
              <w:rPr>
                <w:rFonts w:ascii="Arial" w:hAnsi="Arial" w:cs="Arial"/>
                <w:color w:val="auto"/>
              </w:rPr>
            </w:pPr>
            <w:r w:rsidRPr="00315335">
              <w:rPr>
                <w:rFonts w:ascii="Arial" w:hAnsi="Arial" w:cs="Arial"/>
                <w:color w:val="auto"/>
              </w:rPr>
              <w:t xml:space="preserve">64,92 </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810" w:type="dxa"/>
          </w:tcPr>
          <w:p w:rsidR="00737DE6" w:rsidRPr="00315335" w:rsidRDefault="00737DE6" w:rsidP="00916B06">
            <w:pPr>
              <w:pStyle w:val="Default"/>
              <w:jc w:val="center"/>
              <w:rPr>
                <w:rFonts w:ascii="Arial" w:hAnsi="Arial" w:cs="Arial"/>
                <w:color w:val="auto"/>
                <w:lang w:val="it-IT"/>
              </w:rPr>
            </w:pPr>
            <w:r w:rsidRPr="00315335">
              <w:rPr>
                <w:rFonts w:ascii="Arial" w:hAnsi="Arial" w:cs="Arial"/>
                <w:color w:val="auto"/>
                <w:lang w:val="it-IT"/>
              </w:rPr>
              <w:t>63,65</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81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36,65</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81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40,46</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33,96</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32,57</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c>
          <w:tcPr>
            <w:tcW w:w="720" w:type="dxa"/>
          </w:tcPr>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lang w:val="ro-RO"/>
              </w:rPr>
              <w:t>43.80</w:t>
            </w:r>
          </w:p>
          <w:p w:rsidR="00737DE6" w:rsidRPr="00315335" w:rsidRDefault="00737DE6" w:rsidP="00916B06">
            <w:pPr>
              <w:pStyle w:val="Default"/>
              <w:jc w:val="center"/>
              <w:rPr>
                <w:rFonts w:ascii="Arial" w:hAnsi="Arial" w:cs="Arial"/>
                <w:color w:val="auto"/>
                <w:lang w:val="ro-RO"/>
              </w:rPr>
            </w:pPr>
            <w:r w:rsidRPr="00315335">
              <w:rPr>
                <w:rFonts w:ascii="Arial" w:hAnsi="Arial" w:cs="Arial"/>
                <w:color w:val="auto"/>
              </w:rPr>
              <w:t>[ % ]</w:t>
            </w:r>
          </w:p>
        </w:tc>
      </w:tr>
    </w:tbl>
    <w:p w:rsidR="00737DE6" w:rsidRPr="00315335" w:rsidRDefault="00737DE6" w:rsidP="00737DE6">
      <w:pPr>
        <w:shd w:val="clear" w:color="auto" w:fill="FFFFFF"/>
        <w:spacing w:after="0" w:line="240" w:lineRule="auto"/>
        <w:jc w:val="both"/>
        <w:rPr>
          <w:rFonts w:ascii="Arial" w:hAnsi="Arial" w:cs="Arial"/>
          <w:b/>
          <w:sz w:val="24"/>
          <w:szCs w:val="24"/>
        </w:rPr>
      </w:pPr>
    </w:p>
    <w:p w:rsidR="00737DE6" w:rsidRPr="00315335" w:rsidRDefault="00737DE6" w:rsidP="00737DE6">
      <w:pPr>
        <w:shd w:val="clear" w:color="auto" w:fill="FFFFFF"/>
        <w:spacing w:after="0" w:line="240" w:lineRule="auto"/>
        <w:ind w:firstLine="708"/>
        <w:jc w:val="both"/>
        <w:rPr>
          <w:rFonts w:ascii="Arial" w:hAnsi="Arial" w:cs="Arial"/>
          <w:b/>
          <w:sz w:val="24"/>
          <w:szCs w:val="24"/>
        </w:rPr>
      </w:pPr>
      <w:r w:rsidRPr="00315335">
        <w:rPr>
          <w:rFonts w:ascii="Arial" w:hAnsi="Arial" w:cs="Arial"/>
          <w:sz w:val="24"/>
          <w:szCs w:val="24"/>
        </w:rPr>
        <w:t xml:space="preserve">Conform Legii 211/2011, privind regimul deşeurilor, </w:t>
      </w:r>
      <w:r w:rsidRPr="00315335">
        <w:rPr>
          <w:rStyle w:val="tpt1"/>
          <w:rFonts w:ascii="Arial" w:hAnsi="Arial" w:cs="Arial"/>
          <w:sz w:val="24"/>
          <w:szCs w:val="24"/>
        </w:rPr>
        <w:t xml:space="preserve">biodeşeurile sunt deşeuri biodegradabile provenite din grădini şi parcuri, deşeurile alimentare sau cele provenite din bucătăriile gospodăriilor private, restaurantelor, firmelor de catering ori din magazine de vânzare cu amănuntul, compatibile cu deşeurile provenite din unităţile de prelucrare a produselor alimentare. </w:t>
      </w:r>
      <w:r w:rsidRPr="00315335">
        <w:rPr>
          <w:rFonts w:ascii="Arial" w:hAnsi="Arial" w:cs="Arial"/>
          <w:sz w:val="24"/>
          <w:szCs w:val="24"/>
        </w:rPr>
        <w:t>Aceste deşeuri reprezintă un procent de aprox. 60% din cantitatea de deşeuri municipale în mediul urban şi 80% din cantitatea de deşeuri generată în mediul rural.</w:t>
      </w:r>
    </w:p>
    <w:p w:rsidR="00737DE6" w:rsidRPr="00315335" w:rsidRDefault="00737DE6" w:rsidP="00737DE6">
      <w:pPr>
        <w:autoSpaceDE w:val="0"/>
        <w:autoSpaceDN w:val="0"/>
        <w:adjustRightInd w:val="0"/>
        <w:spacing w:after="0" w:line="240" w:lineRule="auto"/>
        <w:jc w:val="both"/>
        <w:rPr>
          <w:rFonts w:ascii="Arial" w:hAnsi="Arial" w:cs="Arial"/>
          <w:b/>
          <w:sz w:val="24"/>
          <w:szCs w:val="24"/>
        </w:rPr>
      </w:pPr>
      <w:r w:rsidRPr="00315335">
        <w:rPr>
          <w:rFonts w:ascii="Arial" w:hAnsi="Arial" w:cs="Arial"/>
          <w:sz w:val="24"/>
          <w:szCs w:val="24"/>
        </w:rPr>
        <w:t>Soluţiile de recuperare/reciclare şi reducere a materiilor biodegradabile depozitate care se pot aplica sunt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 compostarea (degradarea aerobă);</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 degradarea anaerobă cu producerea şi colectarea de biogaz;</w:t>
      </w:r>
    </w:p>
    <w:p w:rsidR="00737DE6" w:rsidRPr="00315335" w:rsidRDefault="00737DE6" w:rsidP="00737DE6">
      <w:pPr>
        <w:autoSpaceDE w:val="0"/>
        <w:autoSpaceDN w:val="0"/>
        <w:adjustRightInd w:val="0"/>
        <w:spacing w:after="0" w:line="240" w:lineRule="auto"/>
        <w:ind w:left="708"/>
        <w:jc w:val="both"/>
        <w:rPr>
          <w:rFonts w:ascii="Arial" w:hAnsi="Arial" w:cs="Arial"/>
          <w:b/>
          <w:sz w:val="24"/>
          <w:szCs w:val="24"/>
          <w:lang w:val="it-IT"/>
        </w:rPr>
      </w:pPr>
      <w:r w:rsidRPr="00315335">
        <w:rPr>
          <w:rFonts w:ascii="Arial" w:hAnsi="Arial" w:cs="Arial"/>
          <w:sz w:val="24"/>
          <w:szCs w:val="24"/>
          <w:lang w:val="it-IT"/>
        </w:rPr>
        <w:t>- tratare mecano - biologică (degradare aerobă) cu producere de deşeuri stabilizate, depozitabile</w:t>
      </w:r>
    </w:p>
    <w:p w:rsidR="00737DE6" w:rsidRPr="00315335" w:rsidRDefault="00737DE6" w:rsidP="00737DE6">
      <w:pPr>
        <w:spacing w:after="0" w:line="240" w:lineRule="auto"/>
        <w:ind w:firstLine="708"/>
        <w:jc w:val="both"/>
        <w:rPr>
          <w:rFonts w:ascii="Arial" w:hAnsi="Arial" w:cs="Arial"/>
          <w:b/>
          <w:sz w:val="24"/>
          <w:szCs w:val="24"/>
          <w:lang w:val="it-IT"/>
        </w:rPr>
      </w:pPr>
      <w:r w:rsidRPr="00315335">
        <w:rPr>
          <w:rFonts w:ascii="Arial" w:hAnsi="Arial" w:cs="Arial"/>
          <w:sz w:val="24"/>
          <w:szCs w:val="24"/>
          <w:lang w:val="it-IT"/>
        </w:rPr>
        <w:t>Compostarea deşeurilor menajere este o alternativă viabilă la incinerarea sau depozitarea deşeurilor după operaţia de separare. Este bine cunoscut faptul că materialele care ridică probleme în depozitele de deşeuri sunt deşeurile organice (biodegradabile), care prin transformare degajă metan ce contribuie la încălzirea globală, răspândesc mirosuri neplăcute şi acizi care devin toxici contaminând terenul şi apele subterane. Compostarea elimină aceste materiale organice din depozite şi este un proces mai ieftin şi mai ecologic decât incinerarea.</w:t>
      </w:r>
    </w:p>
    <w:p w:rsidR="00737DE6" w:rsidRPr="00315335" w:rsidRDefault="00737DE6" w:rsidP="00737DE6">
      <w:pPr>
        <w:spacing w:after="0" w:line="240" w:lineRule="auto"/>
        <w:jc w:val="both"/>
        <w:rPr>
          <w:rFonts w:ascii="Arial" w:hAnsi="Arial" w:cs="Arial"/>
          <w:b/>
          <w:sz w:val="24"/>
          <w:szCs w:val="24"/>
          <w:lang w:val="it-IT"/>
        </w:rPr>
      </w:pPr>
      <w:r w:rsidRPr="00315335">
        <w:rPr>
          <w:rFonts w:ascii="Arial" w:hAnsi="Arial" w:cs="Arial"/>
          <w:sz w:val="24"/>
          <w:szCs w:val="24"/>
          <w:lang w:val="it-IT"/>
        </w:rPr>
        <w:t>În municipiul Brăila nu se face o colectare separată a materialului biodegradabil, dar în mediul rural populaţia practică metode de reutilizare în gospodăriile proprii.</w:t>
      </w:r>
    </w:p>
    <w:p w:rsidR="00737DE6" w:rsidRPr="00315335" w:rsidRDefault="00737DE6" w:rsidP="00737DE6">
      <w:pPr>
        <w:pStyle w:val="Default"/>
        <w:ind w:firstLine="708"/>
        <w:jc w:val="both"/>
        <w:rPr>
          <w:rFonts w:ascii="Arial" w:hAnsi="Arial" w:cs="Arial"/>
          <w:color w:val="auto"/>
          <w:lang w:val="ro-RO"/>
        </w:rPr>
      </w:pPr>
      <w:r w:rsidRPr="00315335">
        <w:rPr>
          <w:rFonts w:ascii="Arial" w:hAnsi="Arial" w:cs="Arial"/>
          <w:color w:val="auto"/>
          <w:lang w:val="ro-RO"/>
        </w:rPr>
        <w:t xml:space="preserve">În anul 2006 Consiliul Judeţean în cadrul programului Phare CES </w:t>
      </w:r>
      <w:smartTag w:uri="urn:schemas-microsoft-com:office:smarttags" w:element="metricconverter">
        <w:smartTagPr>
          <w:attr w:name="ProductID" w:val="2004 a"/>
        </w:smartTagPr>
        <w:r w:rsidRPr="00315335">
          <w:rPr>
            <w:rFonts w:ascii="Arial" w:hAnsi="Arial" w:cs="Arial"/>
            <w:color w:val="auto"/>
            <w:lang w:val="ro-RO"/>
          </w:rPr>
          <w:t>2004 a</w:t>
        </w:r>
      </w:smartTag>
      <w:r w:rsidRPr="00315335">
        <w:rPr>
          <w:rFonts w:ascii="Arial" w:hAnsi="Arial" w:cs="Arial"/>
          <w:color w:val="auto"/>
          <w:lang w:val="ro-RO"/>
        </w:rPr>
        <w:t xml:space="preserve"> obţinut finanţare pe proiectul </w:t>
      </w:r>
      <w:r w:rsidRPr="00315335">
        <w:rPr>
          <w:rFonts w:ascii="Arial" w:hAnsi="Arial" w:cs="Arial"/>
          <w:i/>
          <w:color w:val="auto"/>
          <w:lang w:val="ro-RO"/>
        </w:rPr>
        <w:t>Staţie de compostare deşeuri biodegradabile oraş Ianca</w:t>
      </w:r>
      <w:r w:rsidRPr="00315335">
        <w:rPr>
          <w:rFonts w:ascii="Arial" w:hAnsi="Arial" w:cs="Arial"/>
          <w:color w:val="auto"/>
          <w:lang w:val="ro-RO"/>
        </w:rPr>
        <w:t>, obiectiv prevăzut în Planul Regional de Gestionare a Deşeurilor. Scopul realizării staţiei este transformarea în îngrăşământ agricol a gunoiului de grajd provenit din gospodăriile oraşului Ianca şi ale localităţilor arondate, respectiv Perişoru, Berlescu, Târlele Filiu, Oprişeneşti şi Plopu. Deşeurile biodegradabile se colectează de la ţăranii care cresc animale şi se depozitează pe o platformă betonată, cu capacitatea de 17.000 metri cubi. Pentru colectarea gunoiului de grajd, în fiecare gospodărie, s-au amplasat europubele speciale. S-a achiziţionat un camion special pentru colectarea şi transportul deşeurilor biodegradabile. Acest proiect a fost realizat şi funcţionează din decembrie 2008. Capacitatea de depozitare a Staţiei de compost este de 17.000 m</w:t>
      </w:r>
      <w:r w:rsidRPr="00315335">
        <w:rPr>
          <w:rFonts w:ascii="Arial" w:hAnsi="Arial" w:cs="Arial"/>
          <w:color w:val="auto"/>
          <w:vertAlign w:val="superscript"/>
          <w:lang w:val="ro-RO"/>
        </w:rPr>
        <w:t>3</w:t>
      </w:r>
      <w:r w:rsidRPr="00315335">
        <w:rPr>
          <w:rFonts w:ascii="Arial" w:hAnsi="Arial" w:cs="Arial"/>
          <w:color w:val="auto"/>
          <w:lang w:val="ro-RO"/>
        </w:rPr>
        <w:t xml:space="preserve"> deşeu biodegradabil, rezultând o cantitate de peste 5.000 tone de compost/ciclu de productie (6 luni), din care un procent de peste 50% poate fi valorificat ca fertilizator agricol de către fermele locale, iar 50% este oferit populaţiei pentru fertilizarea terenurilor, proporţional cu cantitatea de gunoi de grajd predată.În cadrul stației de compostare de la Ianca, în anul 2017 au fost </w:t>
      </w:r>
      <w:r w:rsidRPr="00315335">
        <w:rPr>
          <w:rFonts w:ascii="Arial" w:hAnsi="Arial" w:cs="Arial"/>
          <w:color w:val="auto"/>
          <w:lang w:val="ro-RO"/>
        </w:rPr>
        <w:lastRenderedPageBreak/>
        <w:t>procesate aprox. 1528 t de deșeuri biodegradabile rezultate din gunoiul de grajd și a fost obținut aprox. 915 t de compost.</w:t>
      </w:r>
    </w:p>
    <w:p w:rsidR="00737DE6" w:rsidRPr="00315335" w:rsidRDefault="00737DE6" w:rsidP="00737DE6">
      <w:pPr>
        <w:pStyle w:val="Default"/>
        <w:jc w:val="both"/>
        <w:rPr>
          <w:rFonts w:ascii="Arial" w:hAnsi="Arial" w:cs="Arial"/>
          <w:color w:val="auto"/>
          <w:highlight w:val="yellow"/>
          <w:lang w:val="ro-RO"/>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b/>
          <w:sz w:val="24"/>
          <w:szCs w:val="24"/>
        </w:rPr>
        <w:t>Tratarea şi valorificarea deşeurilor municipale</w:t>
      </w:r>
    </w:p>
    <w:p w:rsidR="00737DE6" w:rsidRPr="00315335" w:rsidRDefault="00737DE6" w:rsidP="00737DE6">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În prezent, la nivelul judeţului nu funcționează instalaţii de tratare mecano - biologică, fermentare anaerobă sau instalaţii de incinerare pentru deşeuri municipale. Cu excepţia stației de compostare a gunoiului de grajd din localitatea Ianca, în judeţul Brăila nu există infrastructură specializată pentru tratarea deşeurilor municipale. </w:t>
      </w:r>
    </w:p>
    <w:p w:rsidR="00737DE6" w:rsidRPr="00315335" w:rsidRDefault="00737DE6" w:rsidP="00737DE6">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În orașul Însurăței deșeurile menajere colectate sunt sortate manual pe o platforma de stocare temporară, înainte de a fi depozitate. Cantitatea de deșeuri sortate și valorificate  în anul 2017 a fost de 51,83 t .</w:t>
      </w:r>
    </w:p>
    <w:p w:rsidR="00737DE6" w:rsidRPr="00315335" w:rsidRDefault="00737DE6" w:rsidP="00737DE6">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Colectarea deşeurilor de hârtie, metal, mase plastice, în vederea reciclarii, se realizează și prin puncte de colectare (operatori economici autorizați pentru comerț cu deșeuri cod CAEN 4677). Deşeurile colectate sunt predate către alți operatori economici colectori/valorificatori,  unități industriale care produc materiale noi precum hârtie – carton, mase plastice.</w:t>
      </w:r>
    </w:p>
    <w:p w:rsidR="00737DE6" w:rsidRPr="00315335" w:rsidRDefault="00737DE6" w:rsidP="00737DE6">
      <w:pPr>
        <w:pStyle w:val="char0"/>
        <w:rPr>
          <w:rFonts w:ascii="Arial" w:hAnsi="Arial" w:cs="Arial"/>
          <w:b/>
          <w:lang w:val="ro-RO"/>
        </w:rPr>
      </w:pPr>
    </w:p>
    <w:p w:rsidR="00737DE6" w:rsidRPr="00315335" w:rsidRDefault="00737DE6" w:rsidP="00737DE6">
      <w:pPr>
        <w:pStyle w:val="char0"/>
        <w:rPr>
          <w:rFonts w:ascii="Arial" w:hAnsi="Arial" w:cs="Arial"/>
          <w:b/>
          <w:lang w:val="ro-RO"/>
        </w:rPr>
      </w:pPr>
      <w:r w:rsidRPr="00315335">
        <w:rPr>
          <w:rFonts w:ascii="Arial" w:hAnsi="Arial" w:cs="Arial"/>
          <w:b/>
          <w:lang w:val="ro-RO"/>
        </w:rPr>
        <w:t xml:space="preserve">Gestionarea deşeurilor periculoase din deşeurile municipale    </w:t>
      </w:r>
    </w:p>
    <w:p w:rsidR="00737DE6" w:rsidRPr="00315335" w:rsidRDefault="00737DE6" w:rsidP="00737DE6">
      <w:pPr>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Conform Planului Județean de Gestionare a Deșeurilor estimarea privind cantităţile specifice de deşeuri menajere periculoase, se bazează pe date din Germania (3 kg/persoană pe an) şi Irlanda (2.5 kg/persoană pe an). Se estimează că în zonele urbane rata de generare ar fi similară cu cea din Irlanda, de aproximativ 2,5 kg/persoană pe an, iar pentru regiunile rurale ar trebui să fie considerabil mai mică.</w:t>
      </w:r>
    </w:p>
    <w:p w:rsidR="00737DE6" w:rsidRPr="00315335" w:rsidRDefault="00737DE6" w:rsidP="00737DE6">
      <w:pPr>
        <w:autoSpaceDE w:val="0"/>
        <w:autoSpaceDN w:val="0"/>
        <w:adjustRightInd w:val="0"/>
        <w:spacing w:after="0" w:line="240" w:lineRule="auto"/>
        <w:jc w:val="both"/>
        <w:rPr>
          <w:rFonts w:ascii="Arial" w:hAnsi="Arial" w:cs="Arial"/>
          <w:b/>
          <w:bCs/>
          <w:sz w:val="24"/>
          <w:szCs w:val="24"/>
          <w:lang w:val="it-IT"/>
        </w:rPr>
      </w:pPr>
      <w:r w:rsidRPr="00315335">
        <w:rPr>
          <w:rFonts w:ascii="Arial" w:hAnsi="Arial" w:cs="Arial"/>
          <w:sz w:val="24"/>
          <w:szCs w:val="24"/>
        </w:rPr>
        <w:t>Tabel VII.1.1.14</w:t>
      </w:r>
      <w:r w:rsidRPr="00315335">
        <w:rPr>
          <w:rFonts w:ascii="Arial" w:hAnsi="Arial" w:cs="Arial"/>
          <w:sz w:val="24"/>
          <w:szCs w:val="24"/>
          <w:lang w:val="it-IT"/>
        </w:rPr>
        <w:t xml:space="preserve"> C</w:t>
      </w:r>
      <w:r w:rsidRPr="00315335">
        <w:rPr>
          <w:rFonts w:ascii="Arial" w:hAnsi="Arial" w:cs="Arial"/>
          <w:bCs/>
          <w:sz w:val="24"/>
          <w:szCs w:val="24"/>
          <w:lang w:val="it-IT"/>
        </w:rPr>
        <w:t>antitate de deşeuri menajere periculoase estimate în județul Brăila în anul 2017</w:t>
      </w:r>
    </w:p>
    <w:p w:rsidR="00737DE6" w:rsidRPr="00315335" w:rsidRDefault="00737DE6" w:rsidP="00737DE6">
      <w:pPr>
        <w:autoSpaceDE w:val="0"/>
        <w:autoSpaceDN w:val="0"/>
        <w:adjustRightInd w:val="0"/>
        <w:spacing w:after="0" w:line="240" w:lineRule="auto"/>
        <w:ind w:firstLine="737"/>
        <w:jc w:val="both"/>
        <w:rPr>
          <w:rFonts w:ascii="Arial" w:eastAsia="SimSun" w:hAnsi="Arial" w:cs="Arial"/>
          <w:b/>
          <w:sz w:val="24"/>
          <w:szCs w:val="24"/>
          <w:highlight w:val="yellow"/>
        </w:rPr>
      </w:pPr>
      <w:r w:rsidRPr="00315335">
        <w:rPr>
          <w:rFonts w:ascii="Arial" w:hAnsi="Arial" w:cs="Arial"/>
          <w:bCs/>
          <w:sz w:val="24"/>
          <w:szCs w:val="24"/>
          <w:highlight w:val="yellow"/>
        </w:rPr>
        <w:t xml:space="preserve"> </w:t>
      </w:r>
    </w:p>
    <w:tbl>
      <w:tblPr>
        <w:tblW w:w="0" w:type="auto"/>
        <w:tblInd w:w="1101"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4A0" w:firstRow="1" w:lastRow="0" w:firstColumn="1" w:lastColumn="0" w:noHBand="0" w:noVBand="1"/>
      </w:tblPr>
      <w:tblGrid>
        <w:gridCol w:w="1985"/>
        <w:gridCol w:w="1842"/>
        <w:gridCol w:w="1931"/>
        <w:gridCol w:w="2570"/>
      </w:tblGrid>
      <w:tr w:rsidR="00315335" w:rsidRPr="00315335" w:rsidTr="00916B06">
        <w:tc>
          <w:tcPr>
            <w:tcW w:w="1985" w:type="dxa"/>
          </w:tcPr>
          <w:p w:rsidR="00737DE6" w:rsidRPr="00315335" w:rsidRDefault="00737DE6" w:rsidP="00916B06">
            <w:pPr>
              <w:autoSpaceDE w:val="0"/>
              <w:autoSpaceDN w:val="0"/>
              <w:adjustRightInd w:val="0"/>
              <w:spacing w:after="0" w:line="240" w:lineRule="auto"/>
              <w:jc w:val="both"/>
              <w:rPr>
                <w:rFonts w:ascii="Arial" w:hAnsi="Arial" w:cs="Arial"/>
                <w:sz w:val="24"/>
                <w:szCs w:val="24"/>
              </w:rPr>
            </w:pPr>
          </w:p>
        </w:tc>
        <w:tc>
          <w:tcPr>
            <w:tcW w:w="3773" w:type="dxa"/>
            <w:gridSpan w:val="2"/>
            <w:hideMark/>
          </w:tcPr>
          <w:p w:rsidR="00737DE6" w:rsidRPr="00315335" w:rsidRDefault="00737DE6" w:rsidP="00916B06">
            <w:pPr>
              <w:autoSpaceDE w:val="0"/>
              <w:autoSpaceDN w:val="0"/>
              <w:adjustRightInd w:val="0"/>
              <w:spacing w:after="0" w:line="240" w:lineRule="auto"/>
              <w:jc w:val="center"/>
              <w:rPr>
                <w:rFonts w:ascii="Arial" w:hAnsi="Arial" w:cs="Arial"/>
                <w:sz w:val="24"/>
                <w:szCs w:val="24"/>
              </w:rPr>
            </w:pPr>
            <w:r w:rsidRPr="00315335">
              <w:rPr>
                <w:rFonts w:ascii="Arial" w:hAnsi="Arial" w:cs="Arial"/>
                <w:sz w:val="24"/>
                <w:szCs w:val="24"/>
              </w:rPr>
              <w:t>Deşeuri specifice generate locuitori X Kg/ locuitor</w:t>
            </w:r>
          </w:p>
        </w:tc>
        <w:tc>
          <w:tcPr>
            <w:tcW w:w="2570" w:type="dxa"/>
            <w:hideMark/>
          </w:tcPr>
          <w:p w:rsidR="00737DE6" w:rsidRPr="00315335" w:rsidRDefault="00737DE6" w:rsidP="00916B06">
            <w:pPr>
              <w:autoSpaceDE w:val="0"/>
              <w:autoSpaceDN w:val="0"/>
              <w:adjustRightInd w:val="0"/>
              <w:spacing w:after="0" w:line="240" w:lineRule="auto"/>
              <w:ind w:firstLine="2"/>
              <w:jc w:val="center"/>
              <w:rPr>
                <w:rFonts w:ascii="Arial" w:hAnsi="Arial" w:cs="Arial"/>
                <w:sz w:val="24"/>
                <w:szCs w:val="24"/>
              </w:rPr>
            </w:pPr>
            <w:r w:rsidRPr="00315335">
              <w:rPr>
                <w:rFonts w:ascii="Arial" w:hAnsi="Arial" w:cs="Arial"/>
                <w:sz w:val="24"/>
                <w:szCs w:val="24"/>
              </w:rPr>
              <w:t>Cantitate totală de deşeuri t/an</w:t>
            </w:r>
          </w:p>
        </w:tc>
      </w:tr>
      <w:tr w:rsidR="00315335" w:rsidRPr="00315335" w:rsidTr="00916B06">
        <w:tc>
          <w:tcPr>
            <w:tcW w:w="1985" w:type="dxa"/>
            <w:hideMark/>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Urban </w:t>
            </w:r>
          </w:p>
        </w:tc>
        <w:tc>
          <w:tcPr>
            <w:tcW w:w="1842" w:type="dxa"/>
            <w:hideMark/>
          </w:tcPr>
          <w:p w:rsidR="00737DE6" w:rsidRPr="00315335" w:rsidRDefault="00737DE6" w:rsidP="00916B06">
            <w:pPr>
              <w:autoSpaceDE w:val="0"/>
              <w:autoSpaceDN w:val="0"/>
              <w:adjustRightInd w:val="0"/>
              <w:spacing w:after="0" w:line="240" w:lineRule="auto"/>
              <w:ind w:firstLine="720"/>
              <w:rPr>
                <w:rFonts w:ascii="Arial" w:hAnsi="Arial" w:cs="Arial"/>
                <w:sz w:val="24"/>
                <w:szCs w:val="24"/>
              </w:rPr>
            </w:pPr>
            <w:r w:rsidRPr="00315335">
              <w:rPr>
                <w:rFonts w:ascii="Arial" w:hAnsi="Arial" w:cs="Arial"/>
                <w:sz w:val="24"/>
                <w:szCs w:val="24"/>
              </w:rPr>
              <w:t>184693</w:t>
            </w:r>
          </w:p>
        </w:tc>
        <w:tc>
          <w:tcPr>
            <w:tcW w:w="1931" w:type="dxa"/>
            <w:hideMark/>
          </w:tcPr>
          <w:p w:rsidR="00737DE6" w:rsidRPr="00315335" w:rsidRDefault="00737DE6" w:rsidP="00916B06">
            <w:pPr>
              <w:autoSpaceDE w:val="0"/>
              <w:autoSpaceDN w:val="0"/>
              <w:adjustRightInd w:val="0"/>
              <w:spacing w:after="0" w:line="240" w:lineRule="auto"/>
              <w:ind w:firstLine="720"/>
              <w:rPr>
                <w:rFonts w:ascii="Arial" w:hAnsi="Arial" w:cs="Arial"/>
                <w:sz w:val="24"/>
                <w:szCs w:val="24"/>
              </w:rPr>
            </w:pPr>
            <w:r w:rsidRPr="00315335">
              <w:rPr>
                <w:rFonts w:ascii="Arial" w:hAnsi="Arial" w:cs="Arial"/>
                <w:sz w:val="24"/>
                <w:szCs w:val="24"/>
              </w:rPr>
              <w:t>2.5</w:t>
            </w:r>
          </w:p>
        </w:tc>
        <w:tc>
          <w:tcPr>
            <w:tcW w:w="2570" w:type="dxa"/>
            <w:hideMark/>
          </w:tcPr>
          <w:p w:rsidR="00737DE6" w:rsidRPr="00315335" w:rsidRDefault="00737DE6" w:rsidP="00916B06">
            <w:pPr>
              <w:autoSpaceDE w:val="0"/>
              <w:autoSpaceDN w:val="0"/>
              <w:adjustRightInd w:val="0"/>
              <w:spacing w:after="0" w:line="240" w:lineRule="auto"/>
              <w:ind w:firstLine="720"/>
              <w:jc w:val="center"/>
              <w:rPr>
                <w:rFonts w:ascii="Arial" w:hAnsi="Arial" w:cs="Arial"/>
                <w:sz w:val="24"/>
                <w:szCs w:val="24"/>
              </w:rPr>
            </w:pPr>
            <w:r w:rsidRPr="00315335">
              <w:rPr>
                <w:rFonts w:ascii="Arial" w:hAnsi="Arial" w:cs="Arial"/>
                <w:sz w:val="24"/>
                <w:szCs w:val="24"/>
              </w:rPr>
              <w:t xml:space="preserve">168,53 </w:t>
            </w:r>
          </w:p>
        </w:tc>
      </w:tr>
      <w:tr w:rsidR="00315335" w:rsidRPr="00315335" w:rsidTr="00916B06">
        <w:tc>
          <w:tcPr>
            <w:tcW w:w="1985" w:type="dxa"/>
            <w:hideMark/>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Rural </w:t>
            </w:r>
          </w:p>
        </w:tc>
        <w:tc>
          <w:tcPr>
            <w:tcW w:w="1842" w:type="dxa"/>
            <w:hideMark/>
          </w:tcPr>
          <w:p w:rsidR="00737DE6" w:rsidRPr="00315335" w:rsidRDefault="00737DE6" w:rsidP="00916B06">
            <w:pPr>
              <w:autoSpaceDE w:val="0"/>
              <w:autoSpaceDN w:val="0"/>
              <w:adjustRightInd w:val="0"/>
              <w:spacing w:after="0" w:line="240" w:lineRule="auto"/>
              <w:ind w:firstLine="720"/>
              <w:rPr>
                <w:rFonts w:ascii="Arial" w:hAnsi="Arial" w:cs="Arial"/>
                <w:sz w:val="24"/>
                <w:szCs w:val="24"/>
              </w:rPr>
            </w:pPr>
            <w:r w:rsidRPr="00315335">
              <w:rPr>
                <w:rFonts w:ascii="Arial" w:hAnsi="Arial" w:cs="Arial"/>
                <w:sz w:val="24"/>
                <w:szCs w:val="24"/>
              </w:rPr>
              <w:t>114432</w:t>
            </w:r>
          </w:p>
        </w:tc>
        <w:tc>
          <w:tcPr>
            <w:tcW w:w="1931" w:type="dxa"/>
            <w:hideMark/>
          </w:tcPr>
          <w:p w:rsidR="00737DE6" w:rsidRPr="00315335" w:rsidRDefault="00737DE6" w:rsidP="00916B06">
            <w:pPr>
              <w:autoSpaceDE w:val="0"/>
              <w:autoSpaceDN w:val="0"/>
              <w:adjustRightInd w:val="0"/>
              <w:spacing w:after="0" w:line="240" w:lineRule="auto"/>
              <w:ind w:firstLine="720"/>
              <w:rPr>
                <w:rFonts w:ascii="Arial" w:hAnsi="Arial" w:cs="Arial"/>
                <w:sz w:val="24"/>
                <w:szCs w:val="24"/>
              </w:rPr>
            </w:pPr>
            <w:r w:rsidRPr="00315335">
              <w:rPr>
                <w:rFonts w:ascii="Arial" w:hAnsi="Arial" w:cs="Arial"/>
                <w:sz w:val="24"/>
                <w:szCs w:val="24"/>
              </w:rPr>
              <w:t xml:space="preserve">1.5 </w:t>
            </w:r>
          </w:p>
        </w:tc>
        <w:tc>
          <w:tcPr>
            <w:tcW w:w="2570" w:type="dxa"/>
            <w:hideMark/>
          </w:tcPr>
          <w:p w:rsidR="00737DE6" w:rsidRPr="00315335" w:rsidRDefault="00737DE6" w:rsidP="00916B06">
            <w:pPr>
              <w:autoSpaceDE w:val="0"/>
              <w:autoSpaceDN w:val="0"/>
              <w:adjustRightInd w:val="0"/>
              <w:spacing w:after="0" w:line="240" w:lineRule="auto"/>
              <w:ind w:firstLine="720"/>
              <w:jc w:val="center"/>
              <w:rPr>
                <w:rFonts w:ascii="Arial" w:hAnsi="Arial" w:cs="Arial"/>
                <w:sz w:val="24"/>
                <w:szCs w:val="24"/>
              </w:rPr>
            </w:pPr>
            <w:r w:rsidRPr="00315335">
              <w:rPr>
                <w:rFonts w:ascii="Arial" w:hAnsi="Arial" w:cs="Arial"/>
                <w:sz w:val="24"/>
                <w:szCs w:val="24"/>
              </w:rPr>
              <w:t xml:space="preserve">62,65 </w:t>
            </w:r>
          </w:p>
        </w:tc>
      </w:tr>
      <w:tr w:rsidR="00315335" w:rsidRPr="00315335" w:rsidTr="00916B06">
        <w:tc>
          <w:tcPr>
            <w:tcW w:w="1985" w:type="dxa"/>
            <w:hideMark/>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xml:space="preserve">Total Judeţ </w:t>
            </w:r>
          </w:p>
        </w:tc>
        <w:tc>
          <w:tcPr>
            <w:tcW w:w="3773" w:type="dxa"/>
            <w:gridSpan w:val="2"/>
            <w:hideMark/>
          </w:tcPr>
          <w:p w:rsidR="00737DE6" w:rsidRPr="00315335" w:rsidRDefault="00737DE6" w:rsidP="00916B06">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308176</w:t>
            </w:r>
          </w:p>
        </w:tc>
        <w:tc>
          <w:tcPr>
            <w:tcW w:w="2570" w:type="dxa"/>
            <w:hideMark/>
          </w:tcPr>
          <w:p w:rsidR="00737DE6" w:rsidRPr="00315335" w:rsidRDefault="00737DE6" w:rsidP="00916B06">
            <w:pPr>
              <w:autoSpaceDE w:val="0"/>
              <w:autoSpaceDN w:val="0"/>
              <w:adjustRightInd w:val="0"/>
              <w:spacing w:after="0" w:line="240" w:lineRule="auto"/>
              <w:ind w:firstLine="720"/>
              <w:jc w:val="both"/>
              <w:rPr>
                <w:rFonts w:ascii="Arial" w:hAnsi="Arial" w:cs="Arial"/>
                <w:sz w:val="24"/>
                <w:szCs w:val="24"/>
              </w:rPr>
            </w:pPr>
            <w:r w:rsidRPr="00315335">
              <w:rPr>
                <w:rFonts w:ascii="Arial" w:hAnsi="Arial" w:cs="Arial"/>
                <w:sz w:val="24"/>
                <w:szCs w:val="24"/>
              </w:rPr>
              <w:t xml:space="preserve">238,51 </w:t>
            </w:r>
          </w:p>
        </w:tc>
      </w:tr>
    </w:tbl>
    <w:p w:rsidR="00737DE6" w:rsidRPr="00315335" w:rsidRDefault="00737DE6" w:rsidP="00737DE6">
      <w:pPr>
        <w:spacing w:after="0" w:line="240" w:lineRule="auto"/>
        <w:jc w:val="both"/>
        <w:rPr>
          <w:rFonts w:ascii="Arial" w:hAnsi="Arial" w:cs="Arial"/>
          <w:sz w:val="24"/>
          <w:szCs w:val="24"/>
          <w:highlight w:val="yellow"/>
          <w:lang w:val="it-IT"/>
        </w:rPr>
      </w:pP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Neexistând facilităţile pentru colectare selectivă, colectarea componentelor periculoase din deşeurile municipale nu se realizează. La ora actuală cea mai mare parte dintre acestea ajung fie la canalizare, fie pe depozitele de deşeuri, unde pot îngreuna procesul de descompunere, tratarea levigatului şi pot cauza poluarea gravă a apelor subterane. Din cauza naturii lor chimice, astfel de deşeuri sunt toxice sau iritante pentru om, pot exploda, sau pot lua foc, pot coroda metalele cu care vin în contact. Uleiul de motor, antigelul, vopselele, diluanţii, pesticidele, bateriile, detergenţii, medicamentele expirate, unele deşeuri electronice şi electrocasnice, deşeuri cu caracter infecţios, sunt câteva exemple de produse care ajung în deșeurile menajere și care pot conţine chimicale toxice, solvenţi, metale grele, produse petroliere, ceea ce le imprimă un caracter periculos. Sunt necesare campanii prelungite de conştientizare a publicului în legătură cu riscurile acestor deşeuri pentru mediu şi sănătatea umană.</w:t>
      </w:r>
    </w:p>
    <w:p w:rsidR="00737DE6" w:rsidRPr="00315335" w:rsidRDefault="00737DE6" w:rsidP="00737DE6">
      <w:pPr>
        <w:suppressAutoHyphens/>
        <w:spacing w:after="0" w:line="240" w:lineRule="auto"/>
        <w:jc w:val="both"/>
        <w:rPr>
          <w:rFonts w:ascii="Arial" w:hAnsi="Arial" w:cs="Arial"/>
          <w:b/>
          <w:sz w:val="24"/>
          <w:szCs w:val="24"/>
          <w:highlight w:val="yellow"/>
        </w:rPr>
      </w:pPr>
    </w:p>
    <w:p w:rsidR="00737DE6" w:rsidRPr="00315335" w:rsidRDefault="00737DE6" w:rsidP="00737DE6">
      <w:pPr>
        <w:suppressAutoHyphens/>
        <w:spacing w:after="0" w:line="240" w:lineRule="auto"/>
        <w:jc w:val="both"/>
        <w:rPr>
          <w:rFonts w:ascii="Arial" w:hAnsi="Arial" w:cs="Arial"/>
          <w:b/>
          <w:sz w:val="24"/>
          <w:szCs w:val="24"/>
        </w:rPr>
      </w:pPr>
      <w:r w:rsidRPr="00315335">
        <w:rPr>
          <w:rFonts w:ascii="Arial" w:hAnsi="Arial" w:cs="Arial"/>
          <w:b/>
          <w:sz w:val="24"/>
          <w:szCs w:val="24"/>
        </w:rPr>
        <w:t>Eliminarea deşeurilor municipale</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Ca urmare a gradului redus de colectare selectivă a deşeurilor municipale şi inexistenţei instalaţiilor pentru tratarea deşeurilor municipale, aprox. 88% din cantităţile generate sunt eliminate iar principala modalitate de eliminare a deşeurilor menajere şi asimilabile acestora este depozitarea.</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b/>
          <w:sz w:val="24"/>
          <w:szCs w:val="24"/>
        </w:rPr>
        <w:t>Depozite conforme</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Din anul 2002 funcţionează depozitul conform de deşeuri nepericuloase Muchea, administrat de SC Tracon SRL Brăila cu 3 celule, din care una închisa în 2013, una în operare și una neexploatată încă, construită în 2018. Depozitul deservește practic tot judeţul, excepţie făcând localităţile Făurei şi Ianca care elimină deșeurile municipale la depozitul Gălbinași al SC RER Ecologic Service SRL  Buzău. Începând din anul 2016 la depozitul Mucea au fost eliminate și deșeuri din județele învecinate Vrancea, Vaslui și Galați rămase fără capacități de depozitare </w:t>
      </w:r>
      <w:r w:rsidRPr="00315335">
        <w:rPr>
          <w:rFonts w:ascii="Arial" w:hAnsi="Arial" w:cs="Arial"/>
          <w:sz w:val="24"/>
          <w:szCs w:val="24"/>
        </w:rPr>
        <w:lastRenderedPageBreak/>
        <w:t>în urma închiderii depozitelor neconforme (în unele județe există depozite noi dar nu au putut fi puse în funcțiune).</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b/>
          <w:sz w:val="24"/>
          <w:szCs w:val="24"/>
        </w:rPr>
        <w:t xml:space="preserve">În cadrul proiectului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b/>
          <w:sz w:val="24"/>
          <w:szCs w:val="24"/>
        </w:rPr>
        <w:t xml:space="preserve">Depozite neconforme </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În localitatea Ianca a funcţionat un depozit neconform care a sistat activitatea la 16 iulie 2009 iar lucrările de închidere au fost realizate în cadrul proiectului ”Sistem de management integrat al deșeurilor în județul Brăila”, finalizate în 2015, fiind în perioada de urmărire postînchidere. </w:t>
      </w:r>
    </w:p>
    <w:p w:rsidR="00737DE6" w:rsidRPr="00315335" w:rsidRDefault="00737DE6" w:rsidP="00737DE6">
      <w:pPr>
        <w:spacing w:after="0" w:line="240" w:lineRule="auto"/>
        <w:ind w:firstLine="708"/>
        <w:jc w:val="both"/>
        <w:rPr>
          <w:rFonts w:ascii="Arial" w:hAnsi="Arial" w:cs="Arial"/>
          <w:bCs/>
          <w:sz w:val="24"/>
          <w:szCs w:val="24"/>
        </w:rPr>
      </w:pPr>
      <w:r w:rsidRPr="00315335">
        <w:rPr>
          <w:rFonts w:ascii="Arial" w:hAnsi="Arial" w:cs="Arial"/>
          <w:sz w:val="24"/>
          <w:szCs w:val="24"/>
        </w:rPr>
        <w:t>Depozitul neconform Făurei a</w:t>
      </w:r>
      <w:r w:rsidRPr="00315335">
        <w:rPr>
          <w:rFonts w:ascii="Arial" w:hAnsi="Arial" w:cs="Arial"/>
          <w:bCs/>
          <w:sz w:val="24"/>
          <w:szCs w:val="24"/>
        </w:rPr>
        <w:t xml:space="preserve"> sistat depozitarea deșeurilor în iunie 2017, conform calendarului de închidere, iar în trimestrul I 2018 a realizat prima etapă a lucrărilor de închidere (reprofilare și acoperire provizorie) acum fiind în perioada de tasare.</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Cantitatea de deşeuri colectată de la populaţie şi eliminată anual pe depozitul Muchea este prezentată în tabelul următor:</w:t>
      </w:r>
    </w:p>
    <w:p w:rsidR="00737DE6" w:rsidRPr="00315335" w:rsidRDefault="00737DE6" w:rsidP="00737DE6">
      <w:pPr>
        <w:spacing w:after="0" w:line="240" w:lineRule="auto"/>
        <w:jc w:val="both"/>
        <w:rPr>
          <w:rFonts w:ascii="Arial" w:hAnsi="Arial" w:cs="Arial"/>
          <w:sz w:val="24"/>
          <w:szCs w:val="24"/>
          <w:highlight w:val="yellow"/>
        </w:rPr>
      </w:pPr>
    </w:p>
    <w:p w:rsidR="00737DE6" w:rsidRPr="00315335" w:rsidRDefault="00737DE6" w:rsidP="00737DE6">
      <w:pPr>
        <w:spacing w:after="0" w:line="240" w:lineRule="auto"/>
        <w:jc w:val="both"/>
        <w:rPr>
          <w:rFonts w:ascii="Arial" w:hAnsi="Arial" w:cs="Arial"/>
          <w:sz w:val="24"/>
          <w:szCs w:val="24"/>
          <w:lang w:val="it-IT"/>
        </w:rPr>
      </w:pPr>
      <w:r w:rsidRPr="00315335">
        <w:rPr>
          <w:rFonts w:ascii="Arial" w:hAnsi="Arial" w:cs="Arial"/>
          <w:sz w:val="24"/>
          <w:szCs w:val="24"/>
        </w:rPr>
        <w:t xml:space="preserve">Tabel VII.1.1.15 </w:t>
      </w:r>
      <w:r w:rsidRPr="00315335">
        <w:rPr>
          <w:rFonts w:ascii="Arial" w:hAnsi="Arial" w:cs="Arial"/>
          <w:sz w:val="24"/>
          <w:szCs w:val="24"/>
          <w:lang w:val="it-IT"/>
        </w:rPr>
        <w:t>Cantitatea de deşeuri eliminată în depozite ecologice</w:t>
      </w:r>
    </w:p>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762"/>
        <w:gridCol w:w="851"/>
        <w:gridCol w:w="992"/>
        <w:gridCol w:w="850"/>
        <w:gridCol w:w="851"/>
        <w:gridCol w:w="850"/>
        <w:gridCol w:w="851"/>
        <w:gridCol w:w="850"/>
        <w:gridCol w:w="1124"/>
      </w:tblGrid>
      <w:tr w:rsidR="00737DE6" w:rsidRPr="00315335" w:rsidTr="00916B06">
        <w:trPr>
          <w:jc w:val="center"/>
        </w:trPr>
        <w:tc>
          <w:tcPr>
            <w:tcW w:w="1323" w:type="dxa"/>
            <w:vMerge w:val="restart"/>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Denumire depozit</w:t>
            </w:r>
          </w:p>
        </w:tc>
        <w:tc>
          <w:tcPr>
            <w:tcW w:w="1762" w:type="dxa"/>
            <w:vMerge w:val="restart"/>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Operator</w:t>
            </w:r>
          </w:p>
        </w:tc>
        <w:tc>
          <w:tcPr>
            <w:tcW w:w="7219" w:type="dxa"/>
            <w:gridSpan w:val="8"/>
          </w:tcPr>
          <w:p w:rsidR="00737DE6" w:rsidRPr="00315335" w:rsidRDefault="00737DE6" w:rsidP="00916B06">
            <w:pPr>
              <w:autoSpaceDE w:val="0"/>
              <w:autoSpaceDN w:val="0"/>
              <w:adjustRightInd w:val="0"/>
              <w:spacing w:after="0" w:line="240" w:lineRule="auto"/>
              <w:jc w:val="center"/>
              <w:rPr>
                <w:rFonts w:ascii="Arial" w:hAnsi="Arial" w:cs="Arial"/>
                <w:sz w:val="24"/>
                <w:szCs w:val="24"/>
              </w:rPr>
            </w:pPr>
            <w:r w:rsidRPr="00315335">
              <w:rPr>
                <w:rFonts w:ascii="Arial" w:hAnsi="Arial" w:cs="Arial"/>
                <w:sz w:val="24"/>
                <w:szCs w:val="24"/>
              </w:rPr>
              <w:t>Cantitatea de  deșeuri depozitată [ t ]</w:t>
            </w:r>
          </w:p>
        </w:tc>
      </w:tr>
      <w:tr w:rsidR="00737DE6" w:rsidRPr="00315335" w:rsidTr="00916B06">
        <w:trPr>
          <w:jc w:val="center"/>
        </w:trPr>
        <w:tc>
          <w:tcPr>
            <w:tcW w:w="1323" w:type="dxa"/>
            <w:vMerge/>
          </w:tcPr>
          <w:p w:rsidR="00737DE6" w:rsidRPr="00315335" w:rsidRDefault="00737DE6" w:rsidP="00916B06">
            <w:pPr>
              <w:autoSpaceDE w:val="0"/>
              <w:autoSpaceDN w:val="0"/>
              <w:adjustRightInd w:val="0"/>
              <w:spacing w:after="0" w:line="240" w:lineRule="auto"/>
              <w:jc w:val="both"/>
              <w:rPr>
                <w:rFonts w:ascii="Arial" w:hAnsi="Arial" w:cs="Arial"/>
                <w:sz w:val="24"/>
                <w:szCs w:val="24"/>
              </w:rPr>
            </w:pPr>
          </w:p>
        </w:tc>
        <w:tc>
          <w:tcPr>
            <w:tcW w:w="1762" w:type="dxa"/>
            <w:vMerge/>
          </w:tcPr>
          <w:p w:rsidR="00737DE6" w:rsidRPr="00315335" w:rsidRDefault="00737DE6" w:rsidP="00916B06">
            <w:pPr>
              <w:autoSpaceDE w:val="0"/>
              <w:autoSpaceDN w:val="0"/>
              <w:adjustRightInd w:val="0"/>
              <w:spacing w:after="0" w:line="240" w:lineRule="auto"/>
              <w:jc w:val="both"/>
              <w:rPr>
                <w:rFonts w:ascii="Arial" w:hAnsi="Arial" w:cs="Arial"/>
                <w:sz w:val="24"/>
                <w:szCs w:val="24"/>
              </w:rPr>
            </w:pPr>
          </w:p>
        </w:tc>
        <w:tc>
          <w:tcPr>
            <w:tcW w:w="851" w:type="dxa"/>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2010</w:t>
            </w:r>
          </w:p>
        </w:tc>
        <w:tc>
          <w:tcPr>
            <w:tcW w:w="992" w:type="dxa"/>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2011</w:t>
            </w:r>
          </w:p>
        </w:tc>
        <w:tc>
          <w:tcPr>
            <w:tcW w:w="850" w:type="dxa"/>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2012</w:t>
            </w:r>
          </w:p>
        </w:tc>
        <w:tc>
          <w:tcPr>
            <w:tcW w:w="851" w:type="dxa"/>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2013</w:t>
            </w:r>
          </w:p>
        </w:tc>
        <w:tc>
          <w:tcPr>
            <w:tcW w:w="850" w:type="dxa"/>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2014</w:t>
            </w:r>
          </w:p>
        </w:tc>
        <w:tc>
          <w:tcPr>
            <w:tcW w:w="851" w:type="dxa"/>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2015</w:t>
            </w:r>
          </w:p>
        </w:tc>
        <w:tc>
          <w:tcPr>
            <w:tcW w:w="850" w:type="dxa"/>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2016</w:t>
            </w:r>
          </w:p>
        </w:tc>
        <w:tc>
          <w:tcPr>
            <w:tcW w:w="1124" w:type="dxa"/>
          </w:tcPr>
          <w:p w:rsidR="00737DE6" w:rsidRPr="00315335" w:rsidRDefault="00737DE6" w:rsidP="00916B06">
            <w:pPr>
              <w:autoSpaceDE w:val="0"/>
              <w:autoSpaceDN w:val="0"/>
              <w:adjustRightInd w:val="0"/>
              <w:spacing w:after="0" w:line="240" w:lineRule="auto"/>
              <w:jc w:val="center"/>
              <w:rPr>
                <w:rFonts w:ascii="Arial" w:hAnsi="Arial" w:cs="Arial"/>
                <w:sz w:val="24"/>
                <w:szCs w:val="24"/>
              </w:rPr>
            </w:pPr>
            <w:r w:rsidRPr="00315335">
              <w:rPr>
                <w:rFonts w:ascii="Arial" w:hAnsi="Arial" w:cs="Arial"/>
                <w:sz w:val="24"/>
                <w:szCs w:val="24"/>
              </w:rPr>
              <w:t>2017</w:t>
            </w:r>
          </w:p>
        </w:tc>
      </w:tr>
      <w:tr w:rsidR="00737DE6" w:rsidRPr="00315335" w:rsidTr="00916B06">
        <w:trPr>
          <w:jc w:val="center"/>
        </w:trPr>
        <w:tc>
          <w:tcPr>
            <w:tcW w:w="1323" w:type="dxa"/>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DEDMI Muchea</w:t>
            </w:r>
          </w:p>
        </w:tc>
        <w:tc>
          <w:tcPr>
            <w:tcW w:w="1762" w:type="dxa"/>
            <w:vAlign w:val="center"/>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SC TRACON SRL</w:t>
            </w:r>
          </w:p>
        </w:tc>
        <w:tc>
          <w:tcPr>
            <w:tcW w:w="851" w:type="dxa"/>
            <w:vAlign w:val="center"/>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62246</w:t>
            </w:r>
          </w:p>
        </w:tc>
        <w:tc>
          <w:tcPr>
            <w:tcW w:w="992" w:type="dxa"/>
            <w:vAlign w:val="center"/>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62837</w:t>
            </w:r>
          </w:p>
        </w:tc>
        <w:tc>
          <w:tcPr>
            <w:tcW w:w="850" w:type="dxa"/>
            <w:vAlign w:val="center"/>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72687</w:t>
            </w:r>
          </w:p>
        </w:tc>
        <w:tc>
          <w:tcPr>
            <w:tcW w:w="851" w:type="dxa"/>
            <w:vAlign w:val="center"/>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80642</w:t>
            </w:r>
          </w:p>
        </w:tc>
        <w:tc>
          <w:tcPr>
            <w:tcW w:w="850" w:type="dxa"/>
            <w:vAlign w:val="center"/>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76870</w:t>
            </w:r>
          </w:p>
        </w:tc>
        <w:tc>
          <w:tcPr>
            <w:tcW w:w="851" w:type="dxa"/>
            <w:vAlign w:val="center"/>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84330</w:t>
            </w:r>
          </w:p>
        </w:tc>
        <w:tc>
          <w:tcPr>
            <w:tcW w:w="850" w:type="dxa"/>
            <w:vAlign w:val="center"/>
          </w:tcPr>
          <w:p w:rsidR="00737DE6" w:rsidRPr="00315335" w:rsidRDefault="00737DE6" w:rsidP="00916B0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97788</w:t>
            </w:r>
          </w:p>
        </w:tc>
        <w:tc>
          <w:tcPr>
            <w:tcW w:w="1124" w:type="dxa"/>
            <w:vAlign w:val="center"/>
          </w:tcPr>
          <w:p w:rsidR="00737DE6" w:rsidRPr="00315335" w:rsidRDefault="00737DE6" w:rsidP="00916B06">
            <w:pPr>
              <w:autoSpaceDE w:val="0"/>
              <w:autoSpaceDN w:val="0"/>
              <w:adjustRightInd w:val="0"/>
              <w:spacing w:after="0" w:line="240" w:lineRule="auto"/>
              <w:jc w:val="center"/>
              <w:rPr>
                <w:rFonts w:ascii="Arial" w:hAnsi="Arial" w:cs="Arial"/>
                <w:sz w:val="24"/>
                <w:szCs w:val="24"/>
              </w:rPr>
            </w:pPr>
            <w:r w:rsidRPr="00315335">
              <w:rPr>
                <w:rFonts w:ascii="Arial" w:hAnsi="Arial" w:cs="Arial"/>
                <w:sz w:val="24"/>
                <w:szCs w:val="24"/>
              </w:rPr>
              <w:t>180426</w:t>
            </w:r>
          </w:p>
        </w:tc>
      </w:tr>
    </w:tbl>
    <w:p w:rsidR="00737DE6" w:rsidRPr="00315335" w:rsidRDefault="00737DE6" w:rsidP="00737DE6">
      <w:pPr>
        <w:spacing w:after="0" w:line="240" w:lineRule="auto"/>
        <w:jc w:val="both"/>
        <w:rPr>
          <w:rFonts w:ascii="Arial" w:hAnsi="Arial" w:cs="Arial"/>
          <w:b/>
          <w:sz w:val="24"/>
          <w:szCs w:val="24"/>
          <w:lang w:val="it-IT"/>
        </w:rPr>
      </w:pPr>
    </w:p>
    <w:p w:rsidR="00737DE6" w:rsidRPr="00315335" w:rsidRDefault="00737DE6" w:rsidP="00737DE6">
      <w:pPr>
        <w:spacing w:after="0" w:line="240" w:lineRule="auto"/>
        <w:jc w:val="both"/>
        <w:rPr>
          <w:rFonts w:ascii="Arial" w:hAnsi="Arial" w:cs="Arial"/>
          <w:sz w:val="24"/>
          <w:szCs w:val="24"/>
          <w:lang w:val="it-IT"/>
        </w:rPr>
      </w:pPr>
      <w:r w:rsidRPr="00315335">
        <w:rPr>
          <w:rFonts w:ascii="Arial" w:hAnsi="Arial" w:cs="Arial"/>
          <w:sz w:val="24"/>
          <w:szCs w:val="24"/>
          <w:lang w:val="it-IT"/>
        </w:rPr>
        <w:t>Fig. nr.</w:t>
      </w:r>
      <w:r w:rsidRPr="00315335">
        <w:rPr>
          <w:rFonts w:ascii="Arial" w:hAnsi="Arial" w:cs="Arial"/>
          <w:sz w:val="24"/>
          <w:szCs w:val="24"/>
        </w:rPr>
        <w:t xml:space="preserve"> VII.1.1.15</w:t>
      </w:r>
      <w:r w:rsidRPr="00315335">
        <w:rPr>
          <w:rFonts w:ascii="Arial" w:hAnsi="Arial" w:cs="Arial"/>
          <w:sz w:val="24"/>
          <w:szCs w:val="24"/>
          <w:lang w:val="it-IT"/>
        </w:rPr>
        <w:t xml:space="preserve"> Cantitatea de deşeuri eliminată în depozite ecologice</w:t>
      </w:r>
    </w:p>
    <w:p w:rsidR="00737DE6" w:rsidRPr="00315335" w:rsidRDefault="00737DE6" w:rsidP="00737DE6">
      <w:pPr>
        <w:spacing w:after="0" w:line="240" w:lineRule="auto"/>
        <w:jc w:val="center"/>
        <w:rPr>
          <w:rFonts w:ascii="Arial" w:hAnsi="Arial" w:cs="Arial"/>
          <w:b/>
          <w:sz w:val="24"/>
          <w:szCs w:val="24"/>
        </w:rPr>
      </w:pPr>
      <w:r w:rsidRPr="00315335">
        <w:rPr>
          <w:rFonts w:ascii="Arial" w:hAnsi="Arial" w:cs="Arial"/>
          <w:b/>
          <w:noProof/>
          <w:sz w:val="24"/>
          <w:szCs w:val="24"/>
        </w:rPr>
        <w:drawing>
          <wp:inline distT="0" distB="0" distL="0" distR="0">
            <wp:extent cx="6238875" cy="2619375"/>
            <wp:effectExtent l="0" t="0" r="0" b="0"/>
            <wp:docPr id="251" name="Diagramă 2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737DE6" w:rsidRPr="00315335" w:rsidRDefault="00737DE6" w:rsidP="00737DE6">
      <w:pPr>
        <w:spacing w:after="0" w:line="240" w:lineRule="auto"/>
        <w:ind w:firstLine="708"/>
        <w:jc w:val="both"/>
        <w:rPr>
          <w:rFonts w:ascii="Arial" w:hAnsi="Arial" w:cs="Arial"/>
          <w:b/>
          <w:sz w:val="24"/>
          <w:szCs w:val="24"/>
        </w:rPr>
      </w:pP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Din iunie 2017 în județul Brăila s-a sistat depozitarea pe depozite neconforme:</w:t>
      </w: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 xml:space="preserve">Tabel VII.1.1.16 </w:t>
      </w:r>
      <w:r w:rsidRPr="00315335">
        <w:rPr>
          <w:rFonts w:ascii="Arial" w:hAnsi="Arial" w:cs="Arial"/>
          <w:sz w:val="24"/>
          <w:szCs w:val="24"/>
          <w:lang w:val="it-IT"/>
        </w:rPr>
        <w:t xml:space="preserve">Deşeuri municipale depozitate în depozite urbane neconforme </w:t>
      </w:r>
    </w:p>
    <w:p w:rsidR="00737DE6" w:rsidRPr="00315335" w:rsidRDefault="00737DE6" w:rsidP="00737DE6">
      <w:pPr>
        <w:spacing w:after="0" w:line="240" w:lineRule="auto"/>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gridCol w:w="862"/>
        <w:gridCol w:w="845"/>
        <w:gridCol w:w="844"/>
        <w:gridCol w:w="851"/>
        <w:gridCol w:w="850"/>
        <w:gridCol w:w="851"/>
        <w:gridCol w:w="851"/>
      </w:tblGrid>
      <w:tr w:rsidR="00737DE6" w:rsidRPr="00315335" w:rsidTr="00916B06">
        <w:trPr>
          <w:trHeight w:val="384"/>
        </w:trPr>
        <w:tc>
          <w:tcPr>
            <w:tcW w:w="1701" w:type="dxa"/>
            <w:vMerge w:val="restart"/>
            <w:shd w:val="clear" w:color="auto" w:fill="auto"/>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Denumire depozit</w:t>
            </w:r>
          </w:p>
        </w:tc>
        <w:tc>
          <w:tcPr>
            <w:tcW w:w="2552" w:type="dxa"/>
            <w:vMerge w:val="restart"/>
            <w:shd w:val="clear" w:color="auto" w:fill="auto"/>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Operator</w:t>
            </w:r>
          </w:p>
        </w:tc>
        <w:tc>
          <w:tcPr>
            <w:tcW w:w="5954" w:type="dxa"/>
            <w:gridSpan w:val="7"/>
            <w:shd w:val="clear" w:color="auto" w:fill="auto"/>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Cantitatea de deşeuri depozitată</w:t>
            </w:r>
          </w:p>
        </w:tc>
      </w:tr>
      <w:tr w:rsidR="00737DE6" w:rsidRPr="00315335" w:rsidTr="00916B06">
        <w:trPr>
          <w:trHeight w:val="248"/>
        </w:trPr>
        <w:tc>
          <w:tcPr>
            <w:tcW w:w="1701" w:type="dxa"/>
            <w:vMerge/>
            <w:shd w:val="clear" w:color="auto" w:fill="auto"/>
            <w:vAlign w:val="center"/>
            <w:hideMark/>
          </w:tcPr>
          <w:p w:rsidR="00737DE6" w:rsidRPr="00315335" w:rsidRDefault="00737DE6" w:rsidP="00916B06">
            <w:pPr>
              <w:spacing w:after="0" w:line="240" w:lineRule="auto"/>
              <w:jc w:val="center"/>
              <w:rPr>
                <w:rFonts w:ascii="Arial" w:hAnsi="Arial" w:cs="Arial"/>
                <w:sz w:val="24"/>
                <w:szCs w:val="24"/>
              </w:rPr>
            </w:pPr>
          </w:p>
        </w:tc>
        <w:tc>
          <w:tcPr>
            <w:tcW w:w="2552" w:type="dxa"/>
            <w:vMerge/>
            <w:shd w:val="clear" w:color="auto" w:fill="auto"/>
            <w:vAlign w:val="center"/>
            <w:hideMark/>
          </w:tcPr>
          <w:p w:rsidR="00737DE6" w:rsidRPr="00315335" w:rsidRDefault="00737DE6" w:rsidP="00916B06">
            <w:pPr>
              <w:spacing w:after="0" w:line="240" w:lineRule="auto"/>
              <w:jc w:val="center"/>
              <w:rPr>
                <w:rFonts w:ascii="Arial" w:hAnsi="Arial" w:cs="Arial"/>
                <w:sz w:val="24"/>
                <w:szCs w:val="24"/>
              </w:rPr>
            </w:pPr>
          </w:p>
        </w:tc>
        <w:tc>
          <w:tcPr>
            <w:tcW w:w="862" w:type="dxa"/>
            <w:shd w:val="clear" w:color="auto" w:fill="auto"/>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2011</w:t>
            </w:r>
          </w:p>
        </w:tc>
        <w:tc>
          <w:tcPr>
            <w:tcW w:w="845" w:type="dxa"/>
            <w:shd w:val="clear" w:color="auto" w:fill="auto"/>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2012</w:t>
            </w:r>
          </w:p>
        </w:tc>
        <w:tc>
          <w:tcPr>
            <w:tcW w:w="844" w:type="dxa"/>
            <w:shd w:val="clear" w:color="auto" w:fill="auto"/>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2013</w:t>
            </w:r>
          </w:p>
        </w:tc>
        <w:tc>
          <w:tcPr>
            <w:tcW w:w="851" w:type="dxa"/>
            <w:shd w:val="clear" w:color="auto" w:fill="auto"/>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2014</w:t>
            </w:r>
          </w:p>
        </w:tc>
        <w:tc>
          <w:tcPr>
            <w:tcW w:w="850"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2015</w:t>
            </w:r>
          </w:p>
        </w:tc>
        <w:tc>
          <w:tcPr>
            <w:tcW w:w="851"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2016</w:t>
            </w:r>
          </w:p>
        </w:tc>
        <w:tc>
          <w:tcPr>
            <w:tcW w:w="851" w:type="dxa"/>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2017</w:t>
            </w:r>
          </w:p>
        </w:tc>
      </w:tr>
      <w:tr w:rsidR="00737DE6" w:rsidRPr="00315335" w:rsidTr="00916B06">
        <w:tc>
          <w:tcPr>
            <w:tcW w:w="1701" w:type="dxa"/>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Făurei</w:t>
            </w:r>
          </w:p>
        </w:tc>
        <w:tc>
          <w:tcPr>
            <w:tcW w:w="2552" w:type="dxa"/>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Direcţia Serviciilor Publice Făurei</w:t>
            </w:r>
          </w:p>
        </w:tc>
        <w:tc>
          <w:tcPr>
            <w:tcW w:w="862" w:type="dxa"/>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627</w:t>
            </w:r>
          </w:p>
        </w:tc>
        <w:tc>
          <w:tcPr>
            <w:tcW w:w="845" w:type="dxa"/>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295</w:t>
            </w:r>
          </w:p>
        </w:tc>
        <w:tc>
          <w:tcPr>
            <w:tcW w:w="844" w:type="dxa"/>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128,45</w:t>
            </w:r>
          </w:p>
        </w:tc>
        <w:tc>
          <w:tcPr>
            <w:tcW w:w="851" w:type="dxa"/>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120,13</w:t>
            </w:r>
          </w:p>
        </w:tc>
        <w:tc>
          <w:tcPr>
            <w:tcW w:w="850"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138,15</w:t>
            </w:r>
          </w:p>
        </w:tc>
        <w:tc>
          <w:tcPr>
            <w:tcW w:w="851"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97,43</w:t>
            </w:r>
          </w:p>
        </w:tc>
        <w:tc>
          <w:tcPr>
            <w:tcW w:w="851"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65,58</w:t>
            </w:r>
          </w:p>
        </w:tc>
      </w:tr>
    </w:tbl>
    <w:p w:rsidR="00737DE6" w:rsidRPr="00315335" w:rsidRDefault="00737DE6" w:rsidP="00737DE6">
      <w:pPr>
        <w:spacing w:after="0" w:line="240" w:lineRule="auto"/>
        <w:rPr>
          <w:rFonts w:ascii="Arial" w:hAnsi="Arial" w:cs="Arial"/>
          <w:b/>
          <w:sz w:val="24"/>
          <w:szCs w:val="24"/>
        </w:rPr>
      </w:pPr>
    </w:p>
    <w:p w:rsidR="00737DE6" w:rsidRPr="00315335" w:rsidRDefault="00737DE6" w:rsidP="00737DE6">
      <w:pPr>
        <w:spacing w:after="0" w:line="240" w:lineRule="auto"/>
        <w:rPr>
          <w:rFonts w:ascii="Arial" w:hAnsi="Arial" w:cs="Arial"/>
          <w:b/>
          <w:sz w:val="24"/>
          <w:szCs w:val="24"/>
          <w:lang w:val="it-IT"/>
        </w:rPr>
      </w:pPr>
      <w:r w:rsidRPr="00315335">
        <w:rPr>
          <w:rFonts w:ascii="Arial" w:hAnsi="Arial" w:cs="Arial"/>
          <w:sz w:val="24"/>
          <w:szCs w:val="24"/>
          <w:lang w:val="it-IT"/>
        </w:rPr>
        <w:t xml:space="preserve">Fig </w:t>
      </w:r>
      <w:r w:rsidRPr="00315335">
        <w:rPr>
          <w:rFonts w:ascii="Arial" w:hAnsi="Arial" w:cs="Arial"/>
          <w:sz w:val="24"/>
          <w:szCs w:val="24"/>
        </w:rPr>
        <w:t xml:space="preserve">VII.1.1.16 </w:t>
      </w:r>
      <w:r w:rsidRPr="00315335">
        <w:rPr>
          <w:rFonts w:ascii="Arial" w:hAnsi="Arial" w:cs="Arial"/>
          <w:sz w:val="24"/>
          <w:szCs w:val="24"/>
          <w:lang w:val="it-IT"/>
        </w:rPr>
        <w:t xml:space="preserve"> Deşeuri municipale depozitate în depozite urbane neconforme </w:t>
      </w:r>
    </w:p>
    <w:p w:rsidR="00737DE6" w:rsidRPr="00315335" w:rsidRDefault="00737DE6" w:rsidP="00737DE6">
      <w:pPr>
        <w:spacing w:after="0" w:line="240" w:lineRule="auto"/>
        <w:jc w:val="both"/>
        <w:rPr>
          <w:rFonts w:ascii="Arial" w:hAnsi="Arial" w:cs="Arial"/>
          <w:sz w:val="24"/>
          <w:szCs w:val="24"/>
        </w:rPr>
      </w:pPr>
      <w:r w:rsidRPr="00315335">
        <w:rPr>
          <w:rFonts w:ascii="Arial" w:hAnsi="Arial" w:cs="Arial"/>
          <w:b/>
          <w:noProof/>
          <w:sz w:val="24"/>
          <w:szCs w:val="24"/>
        </w:rPr>
        <w:lastRenderedPageBreak/>
        <w:drawing>
          <wp:inline distT="0" distB="0" distL="0" distR="0" wp14:anchorId="56C03465" wp14:editId="26A6E0AF">
            <wp:extent cx="6452235" cy="2063115"/>
            <wp:effectExtent l="0" t="0" r="0" b="0"/>
            <wp:docPr id="249" name="Object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b/>
          <w:sz w:val="24"/>
          <w:szCs w:val="24"/>
        </w:rPr>
      </w:pPr>
      <w:r w:rsidRPr="00315335">
        <w:rPr>
          <w:rFonts w:ascii="Arial" w:hAnsi="Arial" w:cs="Arial"/>
          <w:b/>
          <w:sz w:val="24"/>
          <w:szCs w:val="24"/>
        </w:rPr>
        <w:t>VII.1.2 Generarea şi gestionarea deşeurilor industriale</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Deşeurile industriale rezultă în urma desfăşurării diferitelor activităţi economice. Pot avea caracter periculos sau nepericulos. Cantităţiile de deşeuri de producţie generate sunt inconstante de la an la an, datorită variaţiei activităţii generatoare de deşeuri, a retehnologizării, a preocupării crescânde de a minimiza cantitatea de deşeuri generată. </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 xml:space="preserve">Evidenţa şi gestiunea deşeurilor industriale revine în sarcina agentului economic generator. Generatorii de deşeuri industriale îşi gestionează prin mijloace proprii sau prin contracte încheiate cu operatori economici specializaţi şi autorizaţi conform legii, valorificarea sau eliminarea prin depozitare/incinerare a deşeurilor produse. </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Monitorizarea agenţilor economici care generează deşeuri de producţie se realizează lunar, semestrial sau anual în conformitate cu prevederile Legii 211/2011 privind regimul deşeurilor, ale HG 856/2002 privind evidenţa gestiunii deşeurilor şi pentru aprobarea listei cuprinzând deşeurile, inclusiv deşeurile periculoase, cu modificările ulterioare şi ale autorizaţiei de mediu. Cantităţiile de deşeuri de producţie generate anual sunt înregistrate şi raportate on line de către agenţii economici prin chestionarele de anchetă statistică în cadrul aplicației electronice Sistemul Integrat de Mediu- Statistica deșeurilor începând cu anul 2012. La nivel naţional se procedează la validarea acestor date, constituindu-se astfel baza de raportare a datelor către EUROSTAT.</w:t>
      </w:r>
    </w:p>
    <w:p w:rsidR="00737DE6" w:rsidRPr="00315335" w:rsidRDefault="00737DE6" w:rsidP="00737DE6">
      <w:pPr>
        <w:spacing w:after="0" w:line="240" w:lineRule="auto"/>
        <w:ind w:firstLine="708"/>
        <w:jc w:val="both"/>
        <w:rPr>
          <w:rFonts w:ascii="Arial" w:hAnsi="Arial" w:cs="Arial"/>
          <w:b/>
          <w:sz w:val="24"/>
          <w:szCs w:val="24"/>
        </w:rPr>
      </w:pPr>
    </w:p>
    <w:p w:rsidR="00737DE6" w:rsidRPr="00315335" w:rsidRDefault="00737DE6" w:rsidP="00737DE6">
      <w:pPr>
        <w:spacing w:after="0" w:line="240" w:lineRule="auto"/>
        <w:rPr>
          <w:rFonts w:ascii="Arial" w:hAnsi="Arial" w:cs="Arial"/>
          <w:b/>
          <w:sz w:val="24"/>
          <w:szCs w:val="24"/>
          <w:lang w:val="it-IT"/>
        </w:rPr>
      </w:pPr>
      <w:r w:rsidRPr="00315335">
        <w:rPr>
          <w:rFonts w:ascii="Arial" w:hAnsi="Arial" w:cs="Arial"/>
          <w:sz w:val="24"/>
          <w:szCs w:val="24"/>
        </w:rPr>
        <w:t xml:space="preserve">Tabel VII.1.2.1 </w:t>
      </w:r>
      <w:r w:rsidRPr="00315335">
        <w:rPr>
          <w:rFonts w:ascii="Arial" w:hAnsi="Arial" w:cs="Arial"/>
          <w:sz w:val="24"/>
          <w:szCs w:val="24"/>
          <w:lang w:val="it-IT"/>
        </w:rPr>
        <w:t>Deşeuri generate la nivelul județului Brăila pe activităţi economice</w:t>
      </w:r>
    </w:p>
    <w:p w:rsidR="00737DE6" w:rsidRPr="00315335" w:rsidRDefault="00737DE6" w:rsidP="00737DE6">
      <w:pPr>
        <w:autoSpaceDE w:val="0"/>
        <w:autoSpaceDN w:val="0"/>
        <w:adjustRightInd w:val="0"/>
        <w:spacing w:after="0" w:line="240" w:lineRule="auto"/>
        <w:jc w:val="both"/>
        <w:rPr>
          <w:rFonts w:ascii="Arial" w:hAnsi="Arial" w:cs="Arial"/>
          <w:b/>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106"/>
        <w:gridCol w:w="1681"/>
        <w:gridCol w:w="1545"/>
        <w:gridCol w:w="1685"/>
        <w:gridCol w:w="1433"/>
      </w:tblGrid>
      <w:tr w:rsidR="00315335" w:rsidRPr="00315335" w:rsidTr="00B617F7">
        <w:trPr>
          <w:trHeight w:val="858"/>
          <w:jc w:val="center"/>
        </w:trPr>
        <w:tc>
          <w:tcPr>
            <w:tcW w:w="3106" w:type="dxa"/>
            <w:shd w:val="clear" w:color="auto" w:fill="auto"/>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Activitate economică</w:t>
            </w:r>
          </w:p>
        </w:tc>
        <w:tc>
          <w:tcPr>
            <w:tcW w:w="1681"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Cantitate generată</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2014</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t ]</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Cantitate generată</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2015</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t ]</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Cantitate generată</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2016</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t ]</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Cantitate generată</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2017</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t ]</w:t>
            </w:r>
          </w:p>
        </w:tc>
      </w:tr>
      <w:tr w:rsidR="00315335" w:rsidRPr="00315335" w:rsidTr="00B617F7">
        <w:trPr>
          <w:jc w:val="center"/>
        </w:trPr>
        <w:tc>
          <w:tcPr>
            <w:tcW w:w="3106" w:type="dxa"/>
            <w:shd w:val="clear" w:color="auto" w:fill="auto"/>
            <w:vAlign w:val="center"/>
          </w:tcPr>
          <w:p w:rsidR="00737DE6" w:rsidRPr="00315335" w:rsidRDefault="00737DE6" w:rsidP="00916B06">
            <w:pPr>
              <w:spacing w:after="0" w:line="240" w:lineRule="auto"/>
              <w:jc w:val="both"/>
              <w:rPr>
                <w:rFonts w:ascii="Arial" w:hAnsi="Arial" w:cs="Arial"/>
                <w:b/>
                <w:sz w:val="24"/>
                <w:szCs w:val="24"/>
              </w:rPr>
            </w:pPr>
            <w:r w:rsidRPr="00315335">
              <w:rPr>
                <w:rFonts w:ascii="Arial" w:hAnsi="Arial" w:cs="Arial"/>
                <w:b/>
                <w:sz w:val="24"/>
                <w:szCs w:val="24"/>
              </w:rPr>
              <w:t>Industria metalurgică</w:t>
            </w:r>
          </w:p>
        </w:tc>
        <w:tc>
          <w:tcPr>
            <w:tcW w:w="1681"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3080.86</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1552,33</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2099,30</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2807,72</w:t>
            </w:r>
          </w:p>
        </w:tc>
      </w:tr>
      <w:tr w:rsidR="00315335" w:rsidRPr="00315335" w:rsidTr="00B617F7">
        <w:trPr>
          <w:jc w:val="center"/>
        </w:trPr>
        <w:tc>
          <w:tcPr>
            <w:tcW w:w="3106"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Industria constructoare de mașini</w:t>
            </w:r>
          </w:p>
        </w:tc>
        <w:tc>
          <w:tcPr>
            <w:tcW w:w="1681"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8349.96</w:t>
            </w:r>
          </w:p>
        </w:tc>
        <w:tc>
          <w:tcPr>
            <w:tcW w:w="1545"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7329,67</w:t>
            </w:r>
          </w:p>
        </w:tc>
        <w:tc>
          <w:tcPr>
            <w:tcW w:w="1685"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2587,68</w:t>
            </w:r>
          </w:p>
        </w:tc>
        <w:tc>
          <w:tcPr>
            <w:tcW w:w="1433"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2593,23</w:t>
            </w:r>
          </w:p>
        </w:tc>
      </w:tr>
      <w:tr w:rsidR="00315335" w:rsidRPr="00315335" w:rsidTr="00B617F7">
        <w:trPr>
          <w:jc w:val="center"/>
        </w:trPr>
        <w:tc>
          <w:tcPr>
            <w:tcW w:w="3106"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Industria uşoară</w:t>
            </w:r>
          </w:p>
        </w:tc>
        <w:tc>
          <w:tcPr>
            <w:tcW w:w="1681"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245,74</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269,36</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130,03</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234,59</w:t>
            </w:r>
          </w:p>
        </w:tc>
      </w:tr>
      <w:tr w:rsidR="00315335" w:rsidRPr="00315335" w:rsidTr="00B617F7">
        <w:trPr>
          <w:jc w:val="center"/>
        </w:trPr>
        <w:tc>
          <w:tcPr>
            <w:tcW w:w="3106"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Zootehnie</w:t>
            </w:r>
          </w:p>
        </w:tc>
        <w:tc>
          <w:tcPr>
            <w:tcW w:w="1681"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12175,32</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3845,30</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1285,31</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8119,08</w:t>
            </w:r>
          </w:p>
        </w:tc>
      </w:tr>
      <w:tr w:rsidR="00315335" w:rsidRPr="00315335" w:rsidTr="00B617F7">
        <w:trPr>
          <w:jc w:val="center"/>
        </w:trPr>
        <w:tc>
          <w:tcPr>
            <w:tcW w:w="3106"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Industria alimentară</w:t>
            </w:r>
          </w:p>
        </w:tc>
        <w:tc>
          <w:tcPr>
            <w:tcW w:w="1681"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31,83</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41,45</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7754,69</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2447,90</w:t>
            </w:r>
          </w:p>
        </w:tc>
      </w:tr>
      <w:tr w:rsidR="00315335" w:rsidRPr="00315335" w:rsidTr="00B617F7">
        <w:trPr>
          <w:jc w:val="center"/>
        </w:trPr>
        <w:tc>
          <w:tcPr>
            <w:tcW w:w="3106"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Industria energetică</w:t>
            </w:r>
          </w:p>
        </w:tc>
        <w:tc>
          <w:tcPr>
            <w:tcW w:w="1681"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823,29</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502,06</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80,47</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123,85</w:t>
            </w:r>
          </w:p>
        </w:tc>
      </w:tr>
      <w:tr w:rsidR="00315335" w:rsidRPr="00315335" w:rsidTr="00B617F7">
        <w:trPr>
          <w:jc w:val="center"/>
        </w:trPr>
        <w:tc>
          <w:tcPr>
            <w:tcW w:w="3106"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Industria construcţiilor navale</w:t>
            </w:r>
          </w:p>
        </w:tc>
        <w:tc>
          <w:tcPr>
            <w:tcW w:w="1681"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6005,20</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8200,15</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4772,06</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5146,99</w:t>
            </w:r>
          </w:p>
        </w:tc>
      </w:tr>
      <w:tr w:rsidR="00315335" w:rsidRPr="00315335" w:rsidTr="00B617F7">
        <w:trPr>
          <w:jc w:val="center"/>
        </w:trPr>
        <w:tc>
          <w:tcPr>
            <w:tcW w:w="3106"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Industria extractivă</w:t>
            </w:r>
          </w:p>
        </w:tc>
        <w:tc>
          <w:tcPr>
            <w:tcW w:w="1681"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20,46</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3041,54</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647218,20</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6559,71</w:t>
            </w:r>
          </w:p>
        </w:tc>
      </w:tr>
      <w:tr w:rsidR="00315335" w:rsidRPr="00315335" w:rsidTr="00B617F7">
        <w:trPr>
          <w:jc w:val="center"/>
        </w:trPr>
        <w:tc>
          <w:tcPr>
            <w:tcW w:w="3106"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Comerţ</w:t>
            </w:r>
          </w:p>
        </w:tc>
        <w:tc>
          <w:tcPr>
            <w:tcW w:w="1681"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1014,38</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2398,11</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751,63</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1190,78</w:t>
            </w:r>
          </w:p>
        </w:tc>
      </w:tr>
      <w:tr w:rsidR="00315335" w:rsidRPr="00315335" w:rsidTr="00B617F7">
        <w:trPr>
          <w:jc w:val="center"/>
        </w:trPr>
        <w:tc>
          <w:tcPr>
            <w:tcW w:w="3106" w:type="dxa"/>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Altele</w:t>
            </w:r>
          </w:p>
        </w:tc>
        <w:tc>
          <w:tcPr>
            <w:tcW w:w="1681"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244,44</w:t>
            </w:r>
          </w:p>
        </w:tc>
        <w:tc>
          <w:tcPr>
            <w:tcW w:w="154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26907,61</w:t>
            </w:r>
          </w:p>
        </w:tc>
        <w:tc>
          <w:tcPr>
            <w:tcW w:w="1685"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13062,38</w:t>
            </w:r>
          </w:p>
        </w:tc>
        <w:tc>
          <w:tcPr>
            <w:tcW w:w="143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313,25</w:t>
            </w:r>
          </w:p>
        </w:tc>
      </w:tr>
    </w:tbl>
    <w:p w:rsidR="00737DE6" w:rsidRPr="00315335" w:rsidRDefault="00737DE6" w:rsidP="00737DE6">
      <w:pPr>
        <w:autoSpaceDE w:val="0"/>
        <w:autoSpaceDN w:val="0"/>
        <w:adjustRightInd w:val="0"/>
        <w:spacing w:after="0" w:line="240" w:lineRule="auto"/>
        <w:jc w:val="both"/>
        <w:rPr>
          <w:rFonts w:ascii="Arial" w:hAnsi="Arial" w:cs="Arial"/>
          <w:b/>
          <w:sz w:val="24"/>
          <w:szCs w:val="24"/>
        </w:rPr>
      </w:pPr>
    </w:p>
    <w:p w:rsidR="00737DE6" w:rsidRPr="00315335" w:rsidRDefault="00737DE6" w:rsidP="00737DE6">
      <w:pPr>
        <w:pStyle w:val="char0"/>
        <w:rPr>
          <w:rFonts w:ascii="Arial" w:hAnsi="Arial" w:cs="Arial"/>
          <w:b/>
          <w:lang w:val="ro-RO"/>
        </w:rPr>
      </w:pPr>
      <w:r w:rsidRPr="00315335">
        <w:rPr>
          <w:rFonts w:ascii="Arial" w:hAnsi="Arial" w:cs="Arial"/>
          <w:b/>
          <w:lang w:val="ro-RO"/>
        </w:rPr>
        <w:t>Generarea deşeurilor de producţie periculoase</w:t>
      </w:r>
    </w:p>
    <w:p w:rsidR="00737DE6" w:rsidRPr="00315335" w:rsidRDefault="00737DE6" w:rsidP="00EA50A2">
      <w:pPr>
        <w:pStyle w:val="char0"/>
        <w:rPr>
          <w:rFonts w:ascii="Arial" w:hAnsi="Arial" w:cs="Arial"/>
          <w:b/>
        </w:rPr>
      </w:pPr>
      <w:r w:rsidRPr="00315335">
        <w:rPr>
          <w:rFonts w:ascii="Arial" w:hAnsi="Arial" w:cs="Arial"/>
          <w:b/>
          <w:lang w:val="ro-RO"/>
        </w:rPr>
        <w:t xml:space="preserve"> </w:t>
      </w:r>
      <w:r w:rsidRPr="00315335">
        <w:rPr>
          <w:rFonts w:ascii="Arial" w:hAnsi="Arial" w:cs="Arial"/>
        </w:rPr>
        <w:t xml:space="preserve">Așa cum rezultă din tabelul VII.1.2.1, cantitatea cea mai mare de deșeuri industriale se generează în industria extractivă, fiind vorba de principala categorie de deşeuri periculoase, produse din activitatea de foraj şi extracţie petrol pe structurile Jugureanu – Padina, </w:t>
      </w:r>
      <w:r w:rsidRPr="00315335">
        <w:rPr>
          <w:rFonts w:ascii="Arial" w:hAnsi="Arial" w:cs="Arial"/>
        </w:rPr>
        <w:lastRenderedPageBreak/>
        <w:t xml:space="preserve">Lişcoteanca, Stăncuţa, Bordei Verde şi Oprişeneşti dar și din activitatea de foraj pentru exploatarea resurselor de gaz metan.  </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Transportul deșeurilor periculoase de la generatori la instalațiile de valorificare sau eliminare este supravegheat prin aprobarea și înregistrarea fiecărui transport de către autoritățile teritoriale pentru protecția mediului, conform prevederilor H.G. nr. 1061/2008 privind transportul deşeurilor periculoase şi nepericuloase pe teritoriul României. Astfel, în anul 2018, au fost aprobate 186 formulare pentru transport:  </w:t>
      </w:r>
    </w:p>
    <w:p w:rsidR="00737DE6" w:rsidRPr="00315335" w:rsidRDefault="00737DE6" w:rsidP="0010044C">
      <w:pPr>
        <w:numPr>
          <w:ilvl w:val="0"/>
          <w:numId w:val="83"/>
        </w:numPr>
        <w:spacing w:after="0" w:line="240" w:lineRule="auto"/>
        <w:rPr>
          <w:rFonts w:ascii="Arial" w:hAnsi="Arial" w:cs="Arial"/>
          <w:sz w:val="24"/>
          <w:szCs w:val="24"/>
        </w:rPr>
      </w:pPr>
      <w:r w:rsidRPr="00315335">
        <w:rPr>
          <w:rFonts w:ascii="Arial" w:hAnsi="Arial" w:cs="Arial"/>
          <w:sz w:val="24"/>
          <w:szCs w:val="24"/>
        </w:rPr>
        <w:t>101 formulare pentru SC SETCAR SA ( din care 6 pentru transportul echipamentelor cu conținut de PCB).  În baza acestor formulare aprobate SC SETCAR SA Brăila a efectuat un număr de 824 transporturi pentru a duce pe amplasamentul propriu în vederea tratării / neutralizării, o cantitate de 1301706,49 tone deșeuri periculoase.</w:t>
      </w:r>
    </w:p>
    <w:p w:rsidR="00737DE6" w:rsidRPr="00315335" w:rsidRDefault="00737DE6" w:rsidP="0010044C">
      <w:pPr>
        <w:numPr>
          <w:ilvl w:val="0"/>
          <w:numId w:val="83"/>
        </w:numPr>
        <w:spacing w:after="0" w:line="240" w:lineRule="auto"/>
        <w:rPr>
          <w:rFonts w:ascii="Arial" w:hAnsi="Arial" w:cs="Arial"/>
          <w:sz w:val="24"/>
          <w:szCs w:val="24"/>
        </w:rPr>
      </w:pPr>
      <w:r w:rsidRPr="00315335">
        <w:rPr>
          <w:rFonts w:ascii="Arial" w:hAnsi="Arial" w:cs="Arial"/>
          <w:sz w:val="24"/>
          <w:szCs w:val="24"/>
        </w:rPr>
        <w:t>11 fomulare de transport pentru SC OMV PETROM SA. În baza acestor fomulare a fost transportată o cantitate de 18771,46  tone de deșeu de pământ și pietre cu conținut de substanțe periculoase (17 05 03*), în vederea bioremedierii.</w:t>
      </w:r>
    </w:p>
    <w:p w:rsidR="00737DE6" w:rsidRPr="00315335" w:rsidRDefault="00737DE6" w:rsidP="0010044C">
      <w:pPr>
        <w:numPr>
          <w:ilvl w:val="0"/>
          <w:numId w:val="83"/>
        </w:numPr>
        <w:spacing w:after="0" w:line="240" w:lineRule="auto"/>
        <w:rPr>
          <w:rFonts w:ascii="Arial" w:hAnsi="Arial" w:cs="Arial"/>
          <w:sz w:val="24"/>
          <w:szCs w:val="24"/>
        </w:rPr>
      </w:pPr>
      <w:r w:rsidRPr="00315335">
        <w:rPr>
          <w:rFonts w:ascii="Arial" w:hAnsi="Arial" w:cs="Arial"/>
          <w:sz w:val="24"/>
          <w:szCs w:val="24"/>
        </w:rPr>
        <w:t>5 formulare de transport pentru SC IRMEX TRADING SRL, în baza cărora a efectuat un număr de 106 transporturi.</w:t>
      </w:r>
    </w:p>
    <w:p w:rsidR="00737DE6" w:rsidRPr="00315335" w:rsidRDefault="00737DE6" w:rsidP="00737DE6">
      <w:pPr>
        <w:spacing w:after="0" w:line="240" w:lineRule="auto"/>
        <w:jc w:val="both"/>
        <w:rPr>
          <w:rFonts w:ascii="Arial" w:hAnsi="Arial" w:cs="Arial"/>
          <w:sz w:val="24"/>
          <w:szCs w:val="24"/>
          <w:lang w:val="it-IT"/>
        </w:rPr>
      </w:pPr>
      <w:r w:rsidRPr="00315335">
        <w:rPr>
          <w:rFonts w:ascii="Arial" w:hAnsi="Arial" w:cs="Arial"/>
          <w:sz w:val="24"/>
          <w:szCs w:val="24"/>
        </w:rPr>
        <w:t xml:space="preserve">Tabel VII.1.2.2 </w:t>
      </w:r>
      <w:r w:rsidRPr="00315335">
        <w:rPr>
          <w:rFonts w:ascii="Arial" w:hAnsi="Arial" w:cs="Arial"/>
          <w:sz w:val="24"/>
          <w:szCs w:val="24"/>
          <w:lang w:val="it-IT"/>
        </w:rPr>
        <w:t xml:space="preserve">Deşeuri de producţie generate şi valorificate </w:t>
      </w:r>
    </w:p>
    <w:tbl>
      <w:tblPr>
        <w:tblW w:w="9072"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11"/>
        <w:gridCol w:w="1452"/>
        <w:gridCol w:w="1512"/>
        <w:gridCol w:w="1484"/>
        <w:gridCol w:w="1461"/>
        <w:gridCol w:w="1452"/>
      </w:tblGrid>
      <w:tr w:rsidR="00315335" w:rsidRPr="00315335" w:rsidTr="00916B06">
        <w:trPr>
          <w:trHeight w:val="1373"/>
        </w:trPr>
        <w:tc>
          <w:tcPr>
            <w:tcW w:w="1711" w:type="dxa"/>
            <w:shd w:val="clear" w:color="auto" w:fill="auto"/>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Anul</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2017</w:t>
            </w:r>
          </w:p>
        </w:tc>
        <w:tc>
          <w:tcPr>
            <w:tcW w:w="1452"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Stoc</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Inițial</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1512" w:type="dxa"/>
            <w:shd w:val="clear" w:color="auto" w:fill="auto"/>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Cantităţi generate</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1484" w:type="dxa"/>
            <w:shd w:val="clear" w:color="auto" w:fill="auto"/>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xml:space="preserve">Cantităţi valorificate </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1461"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 xml:space="preserve">Cantităţi eliminate </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1452" w:type="dxa"/>
            <w:shd w:val="clear" w:color="auto" w:fill="auto"/>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Stoc</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final</w:t>
            </w:r>
          </w:p>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r>
      <w:tr w:rsidR="00315335" w:rsidRPr="00315335" w:rsidTr="00916B06">
        <w:tc>
          <w:tcPr>
            <w:tcW w:w="1711"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Deșeuri nepericuloase</w:t>
            </w:r>
          </w:p>
        </w:tc>
        <w:tc>
          <w:tcPr>
            <w:tcW w:w="1452"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195,55</w:t>
            </w:r>
          </w:p>
        </w:tc>
        <w:tc>
          <w:tcPr>
            <w:tcW w:w="1512"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27107,37</w:t>
            </w:r>
          </w:p>
        </w:tc>
        <w:tc>
          <w:tcPr>
            <w:tcW w:w="1484"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20528,45</w:t>
            </w:r>
          </w:p>
        </w:tc>
        <w:tc>
          <w:tcPr>
            <w:tcW w:w="1461"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6120,32</w:t>
            </w:r>
          </w:p>
        </w:tc>
        <w:tc>
          <w:tcPr>
            <w:tcW w:w="1452"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1554,15</w:t>
            </w:r>
          </w:p>
        </w:tc>
      </w:tr>
      <w:tr w:rsidR="00315335" w:rsidRPr="00315335" w:rsidTr="00916B06">
        <w:tc>
          <w:tcPr>
            <w:tcW w:w="1711"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Deșeuri periculoase</w:t>
            </w:r>
          </w:p>
        </w:tc>
        <w:tc>
          <w:tcPr>
            <w:tcW w:w="1452"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433,92</w:t>
            </w:r>
          </w:p>
        </w:tc>
        <w:tc>
          <w:tcPr>
            <w:tcW w:w="1512"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2739,63</w:t>
            </w:r>
          </w:p>
        </w:tc>
        <w:tc>
          <w:tcPr>
            <w:tcW w:w="1484"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1314,45</w:t>
            </w:r>
          </w:p>
        </w:tc>
        <w:tc>
          <w:tcPr>
            <w:tcW w:w="1461"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1432,27</w:t>
            </w:r>
          </w:p>
        </w:tc>
        <w:tc>
          <w:tcPr>
            <w:tcW w:w="1452"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426,83</w:t>
            </w:r>
          </w:p>
        </w:tc>
      </w:tr>
      <w:tr w:rsidR="00315335" w:rsidRPr="00315335" w:rsidTr="00916B06">
        <w:tc>
          <w:tcPr>
            <w:tcW w:w="1711"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Total deșeuri generate</w:t>
            </w:r>
          </w:p>
        </w:tc>
        <w:tc>
          <w:tcPr>
            <w:tcW w:w="1452"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1529,47</w:t>
            </w:r>
          </w:p>
        </w:tc>
        <w:tc>
          <w:tcPr>
            <w:tcW w:w="1512"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29847,00</w:t>
            </w:r>
          </w:p>
        </w:tc>
        <w:tc>
          <w:tcPr>
            <w:tcW w:w="1484"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21842,91</w:t>
            </w:r>
          </w:p>
        </w:tc>
        <w:tc>
          <w:tcPr>
            <w:tcW w:w="1461"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7552,59</w:t>
            </w:r>
          </w:p>
        </w:tc>
        <w:tc>
          <w:tcPr>
            <w:tcW w:w="1452"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1980,97</w:t>
            </w:r>
          </w:p>
        </w:tc>
      </w:tr>
    </w:tbl>
    <w:p w:rsidR="00737DE6" w:rsidRPr="00315335" w:rsidRDefault="00737DE6" w:rsidP="00737DE6">
      <w:pPr>
        <w:pStyle w:val="Implicit"/>
        <w:tabs>
          <w:tab w:val="left" w:pos="1440"/>
        </w:tabs>
        <w:spacing w:after="0" w:line="240" w:lineRule="auto"/>
        <w:jc w:val="both"/>
        <w:rPr>
          <w:rFonts w:ascii="Arial" w:hAnsi="Arial" w:cs="Arial"/>
          <w:b/>
          <w:color w:val="auto"/>
          <w:lang w:val="ro-RO"/>
        </w:rPr>
      </w:pP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Așa cum rezultă din tabelul VII.1.2.2, pentru anul 2017 majoritatea deșeurilor de producție generate au fost eliminate și într-o proporție mai mare au fost valorificate deșeurile nepericuloase. La sfârşitul anului nu existau stocuri semnificative de deşeuri de producţie în cadrul societăţilor generatoare, acestea fiind eliminate pe parcursul anului.      </w:t>
      </w:r>
    </w:p>
    <w:p w:rsidR="00737DE6" w:rsidRPr="00315335" w:rsidRDefault="00737DE6" w:rsidP="00737DE6">
      <w:pPr>
        <w:spacing w:after="0" w:line="240" w:lineRule="auto"/>
        <w:jc w:val="both"/>
        <w:rPr>
          <w:rFonts w:ascii="Arial" w:hAnsi="Arial" w:cs="Arial"/>
          <w:b/>
          <w:sz w:val="24"/>
          <w:szCs w:val="24"/>
          <w:lang w:val="fr-FR"/>
        </w:rPr>
      </w:pPr>
    </w:p>
    <w:p w:rsidR="00737DE6" w:rsidRPr="00315335" w:rsidRDefault="00737DE6" w:rsidP="00737DE6">
      <w:pPr>
        <w:spacing w:after="0" w:line="240" w:lineRule="auto"/>
        <w:jc w:val="both"/>
        <w:rPr>
          <w:rFonts w:ascii="Arial" w:hAnsi="Arial" w:cs="Arial"/>
          <w:b/>
          <w:sz w:val="24"/>
          <w:szCs w:val="24"/>
          <w:lang w:val="fr-FR"/>
        </w:rPr>
      </w:pPr>
      <w:r w:rsidRPr="00315335">
        <w:rPr>
          <w:rFonts w:ascii="Arial" w:hAnsi="Arial" w:cs="Arial"/>
          <w:b/>
          <w:sz w:val="24"/>
          <w:szCs w:val="24"/>
          <w:lang w:val="fr-FR"/>
        </w:rPr>
        <w:t>Eliminarea deşeurilor de producţie</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Deşeurile de producţie nepericuloase, provenite de la operatorii economici, asimilabile cu cele menajere sunt eliminate la depozitul ecologic Muchea al SC Tracon SA Brăila. Nu există niciun depozit de deșeuri industriale nepericuloase în funcțiune. </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Depozitul neconform pentru deşeuri industriale nepericuloase al SC Celhart Donaris SA, a sistat activitatea în 2009, cu plan de închidere care trebuia finalizată la 31.12.2018, dar nu s-a respectat graficul de lucrări. Deținătorul a depus trei solicitări de schimbare a soluției tehnice de închidere (mai simplificată) față de proiectul tehnic de închidere reglementat în anul 2012 și de decalare a unor lucrări care nu au putut fi acceptate, deoarece nu sunt în concordanță cu legislația și obligațiile de mediu a căror respectare este prioritară.</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Deșeurile periculoase se elimină pe depozite autorizate de deșeuri periculoase sau prin alte metode, ca de exemplu incinerarea. În judeţul Brăila există numai instalaţii de incinerare pentru deşeuri nepericuloase de origine animală provenite din zootehnie şi de la instalaţiile de procesare carne: trei incineratoare aferente unor ferme și alte trei instalații care deservesc linii de prelucrare carne. Acestea incinerează deci numai deșeurile proprii.</w:t>
      </w:r>
    </w:p>
    <w:p w:rsidR="00737DE6" w:rsidRPr="00315335" w:rsidRDefault="00737DE6" w:rsidP="00737DE6">
      <w:pPr>
        <w:spacing w:after="0" w:line="240" w:lineRule="auto"/>
        <w:jc w:val="both"/>
        <w:rPr>
          <w:rFonts w:ascii="Arial" w:hAnsi="Arial" w:cs="Arial"/>
          <w:b/>
          <w:sz w:val="24"/>
          <w:szCs w:val="24"/>
          <w:lang w:val="fr-FR"/>
        </w:rPr>
      </w:pPr>
    </w:p>
    <w:p w:rsidR="00737DE6" w:rsidRPr="00315335" w:rsidRDefault="00737DE6" w:rsidP="00737DE6">
      <w:pPr>
        <w:spacing w:after="0" w:line="240" w:lineRule="auto"/>
        <w:jc w:val="both"/>
        <w:rPr>
          <w:rFonts w:ascii="Arial" w:hAnsi="Arial" w:cs="Arial"/>
          <w:b/>
          <w:sz w:val="24"/>
          <w:szCs w:val="24"/>
          <w:lang w:val="fr-FR"/>
        </w:rPr>
      </w:pPr>
      <w:r w:rsidRPr="00315335">
        <w:rPr>
          <w:rFonts w:ascii="Arial" w:hAnsi="Arial" w:cs="Arial"/>
          <w:b/>
          <w:sz w:val="24"/>
          <w:szCs w:val="24"/>
          <w:lang w:val="fr-FR"/>
        </w:rPr>
        <w:t xml:space="preserve">Eliminarea deşeurilor de producţie periculoase </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În județul Brăila nu mai există depozite de deşeuri industriale periculoase. În localitatea Oprişeneşti au funcționat două bataluri pentru eliminarea deşeurilor de şlam petrolier care au sistat activitatea la sfârşitul anului 2006 conform calendarului de închidere a depozitelor de deşeuri periculoase din industria extractivă a petrolului, prevăzut de HG 349/2005 privind depozitarea deşeurilor. Un batal a fost desfiinţat și s-a finalizat proiectul de umplere și </w:t>
      </w:r>
      <w:r w:rsidRPr="00315335">
        <w:rPr>
          <w:rFonts w:ascii="Arial" w:hAnsi="Arial" w:cs="Arial"/>
          <w:sz w:val="24"/>
          <w:szCs w:val="24"/>
        </w:rPr>
        <w:lastRenderedPageBreak/>
        <w:t xml:space="preserve">remediere în 2014, la celălalt au fost procesate deșeurile însă nu au fost încă realizate lucrări de remediere a amplasamentului.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 xml:space="preserve">Pentru tratarea deşeurilor cu conţinut de produse petroliere, funcționează din 2010 o staţie de bioremediere în localitatea Oprişeneşti administrată de OMV Petrom. Deşeurile ce pot fi tratate în staţia de bioremediere sunt: sol rezultat din lucrări de dezafectare/decontaminare, din contaminări accidentale (scurgeri de ţiţei), sediment din procesarea mecanică a şlamului petrolier şi alte deşeuri cu conţinut de substanţe periculoase din constrcţii şi demolări. Tratarea constă în biodegradarea aerobă iar materialul bioremediat poate fi folosit pentru umpluturi în lucrări de excavaţii din care a fost preluat solul contaminat. Pămîntul bioremediat care nu se încadrează în limitele stabilite de Ord. 757/1997 se elimină pe un depozit de deşeuri nepericuloase.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p>
    <w:p w:rsidR="00737DE6" w:rsidRPr="00315335" w:rsidRDefault="00737DE6" w:rsidP="00737DE6">
      <w:pPr>
        <w:spacing w:after="0" w:line="240" w:lineRule="auto"/>
        <w:jc w:val="both"/>
        <w:rPr>
          <w:rFonts w:ascii="Arial" w:hAnsi="Arial" w:cs="Arial"/>
          <w:sz w:val="24"/>
          <w:szCs w:val="24"/>
        </w:rPr>
      </w:pPr>
      <w:r w:rsidRPr="00315335">
        <w:rPr>
          <w:rFonts w:ascii="Arial" w:hAnsi="Arial" w:cs="Arial"/>
          <w:b/>
          <w:sz w:val="24"/>
          <w:szCs w:val="24"/>
        </w:rPr>
        <w:t xml:space="preserve">    VII.1.3 </w:t>
      </w:r>
      <w:r w:rsidRPr="00315335">
        <w:rPr>
          <w:rFonts w:ascii="Arial" w:hAnsi="Arial" w:cs="Arial"/>
          <w:b/>
          <w:i/>
          <w:sz w:val="24"/>
          <w:szCs w:val="24"/>
        </w:rPr>
        <w:t>Fluxuri speciale de deşeuri</w:t>
      </w:r>
    </w:p>
    <w:p w:rsidR="00737DE6" w:rsidRPr="00315335" w:rsidRDefault="00737DE6" w:rsidP="00737DE6">
      <w:pPr>
        <w:spacing w:after="0" w:line="240" w:lineRule="auto"/>
        <w:jc w:val="both"/>
        <w:rPr>
          <w:rFonts w:ascii="Arial" w:hAnsi="Arial" w:cs="Arial"/>
          <w:sz w:val="24"/>
          <w:szCs w:val="24"/>
        </w:rPr>
      </w:pPr>
      <w:r w:rsidRPr="00315335">
        <w:rPr>
          <w:rFonts w:ascii="Arial" w:hAnsi="Arial" w:cs="Arial"/>
          <w:b/>
          <w:sz w:val="24"/>
          <w:szCs w:val="24"/>
        </w:rPr>
        <w:t xml:space="preserve">         VII.1.3.1 Deșeuri de echipamente electrice și electronice (DEEE)</w:t>
      </w:r>
    </w:p>
    <w:p w:rsidR="00737DE6" w:rsidRPr="00315335" w:rsidRDefault="00737DE6" w:rsidP="00737DE6">
      <w:pPr>
        <w:autoSpaceDE w:val="0"/>
        <w:autoSpaceDN w:val="0"/>
        <w:adjustRightInd w:val="0"/>
        <w:spacing w:after="0" w:line="240" w:lineRule="auto"/>
        <w:jc w:val="both"/>
        <w:rPr>
          <w:rFonts w:ascii="Arial" w:hAnsi="Arial" w:cs="Arial"/>
          <w:b/>
          <w:sz w:val="24"/>
          <w:szCs w:val="24"/>
        </w:rPr>
      </w:pPr>
      <w:r w:rsidRPr="00315335">
        <w:rPr>
          <w:rFonts w:ascii="Arial" w:hAnsi="Arial" w:cs="Arial"/>
          <w:sz w:val="24"/>
          <w:szCs w:val="24"/>
        </w:rPr>
        <w:t xml:space="preserve">  </w:t>
      </w:r>
      <w:r w:rsidRPr="00315335">
        <w:rPr>
          <w:rFonts w:ascii="Arial" w:hAnsi="Arial" w:cs="Arial"/>
          <w:sz w:val="24"/>
          <w:szCs w:val="24"/>
        </w:rPr>
        <w:tab/>
        <w:t xml:space="preserve">În prezent, deşeurile de echipamente electrice şi electronice (DEEE) sunt considerate a fi unele dintre categoriile de deşeuri cu cea mai rapidă creştere. DEEE conţin o serie de substanţe periculoase care sunt în acelaşi timp şi materiale valoroase. Reglementările în vigoare stabilesc măsuri pentru a reduce generarea de DEEE şi pentru a spori gradul de colectare, reutilizare, reciclare şi valorificare prin responsabilizarea producătorului.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 xml:space="preserve">Gestionarea DEEE inră sub incidenţa Directivei 2002/96/CE a Parlamentului şi Consiliului European din 27 ianuarie 2003 care a fost transpusă în legislaţia românească prin OUG nr. 5/2015 privind deșeurile de echipamente electrice și electronice. Aceasta are ca obiectiv prevenirea producerii deşeurilor de EEE, precum şi reutilizarea, reciclarea şi alte forme de valorificare a acestora, astfel încât să se reducă volumul de deşeuri eliminate.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 xml:space="preserve">Colectarea separată a DEEE, recuperarea şi tratarea ulterioară într-un mod ecologic contribuie la reducerea impactului asupra mediului precum şi la o mai bună eficienţă a resurselor.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Producătorii de EEE trebuie să se înscrie în Registrul naţional al producătorilor de echipamente electrice şi electronice, care este gestionat de Agenţia Naţională pentru Protecţia Mediului, procedură care a demarat în anul 2006. Producătorii care nu deţin număr de înregistrare valabil nu pot introduce pe piaţă echipamente electrice şi electronice.</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 xml:space="preserve">Începând cu data de 31.12.2008 rata minimă de colectare a DEEE trebuia să fie de cel puţin </w:t>
      </w:r>
      <w:smartTag w:uri="urn:schemas-microsoft-com:office:smarttags" w:element="metricconverter">
        <w:smartTagPr>
          <w:attr w:name="ProductID" w:val="4 kg"/>
        </w:smartTagPr>
        <w:r w:rsidRPr="00315335">
          <w:rPr>
            <w:rFonts w:ascii="Arial" w:hAnsi="Arial" w:cs="Arial"/>
            <w:sz w:val="24"/>
            <w:szCs w:val="24"/>
          </w:rPr>
          <w:t>4 kg</w:t>
        </w:r>
      </w:smartTag>
      <w:r w:rsidRPr="00315335">
        <w:rPr>
          <w:rFonts w:ascii="Arial" w:hAnsi="Arial" w:cs="Arial"/>
          <w:sz w:val="24"/>
          <w:szCs w:val="24"/>
        </w:rPr>
        <w:t xml:space="preserve"> DEEE/locuitor, fiind stabilite şi obiective de valorificare/reciclare a DEEE, pe tip de echipament. Pentru colectarea separată a DEEE şi atingerea obiectivelor naţionale de colectare, au fost înfiinţate puncte de colectare selectivă a acestor deşeuri. În acelaşi timp </w:t>
      </w:r>
      <w:r w:rsidRPr="00315335">
        <w:rPr>
          <w:rFonts w:ascii="Arial" w:hAnsi="Arial" w:cs="Arial"/>
          <w:bCs/>
          <w:sz w:val="24"/>
          <w:szCs w:val="24"/>
        </w:rPr>
        <w:t xml:space="preserve">distribuitorii, </w:t>
      </w:r>
      <w:r w:rsidRPr="00315335">
        <w:rPr>
          <w:rFonts w:ascii="Arial" w:hAnsi="Arial" w:cs="Arial"/>
          <w:sz w:val="24"/>
          <w:szCs w:val="24"/>
        </w:rPr>
        <w:t>la furnizarea unui produs nou, la solicitarea cumpărătorului, sunt obligaţi să preia DEEE în sistem unul la unul, fără a solicita plata, în aceleaşi condiţii precum cele de livrare a produsului nou, dacă echipamentul este de tip echivalent şi a îndeplinit aceleaşi funcţii ca şi echipamentul nou furnizat.</w:t>
      </w: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lang w:val="it-IT"/>
        </w:rPr>
        <w:t xml:space="preserve">Tabel nr. VII.1.3.1.- 2 </w:t>
      </w:r>
      <w:r w:rsidRPr="00315335">
        <w:rPr>
          <w:rFonts w:ascii="Arial" w:hAnsi="Arial" w:cs="Arial"/>
          <w:sz w:val="24"/>
          <w:szCs w:val="24"/>
        </w:rPr>
        <w:t>Cantități de DEEE colectate în județul Brăila în perioada 2013-2018</w:t>
      </w:r>
    </w:p>
    <w:tbl>
      <w:tblPr>
        <w:tblW w:w="9729" w:type="dxa"/>
        <w:jc w:val="center"/>
        <w:tblLayout w:type="fixed"/>
        <w:tblLook w:val="04A0" w:firstRow="1" w:lastRow="0" w:firstColumn="1" w:lastColumn="0" w:noHBand="0" w:noVBand="1"/>
      </w:tblPr>
      <w:tblGrid>
        <w:gridCol w:w="3208"/>
        <w:gridCol w:w="1077"/>
        <w:gridCol w:w="992"/>
        <w:gridCol w:w="1012"/>
        <w:gridCol w:w="1200"/>
        <w:gridCol w:w="1106"/>
        <w:gridCol w:w="1134"/>
      </w:tblGrid>
      <w:tr w:rsidR="00737DE6" w:rsidRPr="00315335" w:rsidTr="00916B06">
        <w:trPr>
          <w:trHeight w:val="300"/>
          <w:jc w:val="center"/>
        </w:trPr>
        <w:tc>
          <w:tcPr>
            <w:tcW w:w="320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Anul</w:t>
            </w:r>
          </w:p>
        </w:tc>
        <w:tc>
          <w:tcPr>
            <w:tcW w:w="1077" w:type="dxa"/>
            <w:tcBorders>
              <w:top w:val="single" w:sz="4" w:space="0" w:color="auto"/>
              <w:left w:val="nil"/>
              <w:bottom w:val="single" w:sz="4" w:space="0" w:color="auto"/>
              <w:right w:val="single" w:sz="4" w:space="0" w:color="auto"/>
            </w:tcBorders>
            <w:shd w:val="clear" w:color="auto" w:fill="BFBFBF"/>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2013</w:t>
            </w:r>
          </w:p>
        </w:tc>
        <w:tc>
          <w:tcPr>
            <w:tcW w:w="992" w:type="dxa"/>
            <w:tcBorders>
              <w:top w:val="single" w:sz="4" w:space="0" w:color="auto"/>
              <w:left w:val="nil"/>
              <w:bottom w:val="single" w:sz="4" w:space="0" w:color="auto"/>
              <w:right w:val="single" w:sz="4" w:space="0" w:color="auto"/>
            </w:tcBorders>
            <w:shd w:val="clear" w:color="auto" w:fill="BFBFBF"/>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2014</w:t>
            </w:r>
          </w:p>
        </w:tc>
        <w:tc>
          <w:tcPr>
            <w:tcW w:w="1012" w:type="dxa"/>
            <w:tcBorders>
              <w:top w:val="single" w:sz="4" w:space="0" w:color="auto"/>
              <w:left w:val="nil"/>
              <w:bottom w:val="single" w:sz="4" w:space="0" w:color="auto"/>
              <w:right w:val="single" w:sz="4" w:space="0" w:color="auto"/>
            </w:tcBorders>
            <w:shd w:val="clear" w:color="auto" w:fill="BFBFBF"/>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2015</w:t>
            </w:r>
          </w:p>
        </w:tc>
        <w:tc>
          <w:tcPr>
            <w:tcW w:w="1200" w:type="dxa"/>
            <w:tcBorders>
              <w:top w:val="single" w:sz="4" w:space="0" w:color="auto"/>
              <w:left w:val="nil"/>
              <w:bottom w:val="single" w:sz="4" w:space="0" w:color="auto"/>
              <w:right w:val="single" w:sz="4" w:space="0" w:color="auto"/>
            </w:tcBorders>
            <w:shd w:val="clear" w:color="auto" w:fill="BFBFBF"/>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2016</w:t>
            </w:r>
          </w:p>
        </w:tc>
        <w:tc>
          <w:tcPr>
            <w:tcW w:w="1106" w:type="dxa"/>
            <w:tcBorders>
              <w:top w:val="single" w:sz="4" w:space="0" w:color="auto"/>
              <w:left w:val="nil"/>
              <w:bottom w:val="single" w:sz="4" w:space="0" w:color="auto"/>
              <w:right w:val="single" w:sz="4" w:space="0" w:color="auto"/>
            </w:tcBorders>
            <w:shd w:val="clear" w:color="auto" w:fill="BFBFBF"/>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2017</w:t>
            </w:r>
          </w:p>
        </w:tc>
        <w:tc>
          <w:tcPr>
            <w:tcW w:w="1134" w:type="dxa"/>
            <w:tcBorders>
              <w:top w:val="single" w:sz="4" w:space="0" w:color="auto"/>
              <w:left w:val="nil"/>
              <w:bottom w:val="single" w:sz="4" w:space="0" w:color="auto"/>
              <w:right w:val="single" w:sz="4" w:space="0" w:color="auto"/>
            </w:tcBorders>
            <w:shd w:val="clear" w:color="auto" w:fill="BFBFBF"/>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2018</w:t>
            </w:r>
          </w:p>
        </w:tc>
      </w:tr>
      <w:tr w:rsidR="00737DE6" w:rsidRPr="00315335" w:rsidTr="00916B06">
        <w:trPr>
          <w:trHeight w:val="300"/>
          <w:jc w:val="center"/>
        </w:trPr>
        <w:tc>
          <w:tcPr>
            <w:tcW w:w="3208" w:type="dxa"/>
            <w:tcBorders>
              <w:top w:val="nil"/>
              <w:left w:val="single" w:sz="4" w:space="0" w:color="auto"/>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Cantitatea de deșeuri DEEE colectată</w:t>
            </w:r>
          </w:p>
        </w:tc>
        <w:tc>
          <w:tcPr>
            <w:tcW w:w="1077"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30,75</w:t>
            </w:r>
          </w:p>
        </w:tc>
        <w:tc>
          <w:tcPr>
            <w:tcW w:w="992"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106,75</w:t>
            </w:r>
          </w:p>
        </w:tc>
        <w:tc>
          <w:tcPr>
            <w:tcW w:w="1012"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288,8</w:t>
            </w:r>
          </w:p>
        </w:tc>
        <w:tc>
          <w:tcPr>
            <w:tcW w:w="1200"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rPr>
                <w:rFonts w:ascii="Arial" w:hAnsi="Arial" w:cs="Arial"/>
                <w:b/>
                <w:sz w:val="24"/>
                <w:szCs w:val="24"/>
              </w:rPr>
            </w:pPr>
            <w:r w:rsidRPr="00315335">
              <w:rPr>
                <w:rFonts w:ascii="Arial" w:hAnsi="Arial" w:cs="Arial"/>
                <w:sz w:val="24"/>
                <w:szCs w:val="24"/>
              </w:rPr>
              <w:t>375,185</w:t>
            </w:r>
          </w:p>
        </w:tc>
        <w:tc>
          <w:tcPr>
            <w:tcW w:w="1106"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74,996</w:t>
            </w:r>
          </w:p>
        </w:tc>
        <w:tc>
          <w:tcPr>
            <w:tcW w:w="1134"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351,154</w:t>
            </w:r>
          </w:p>
        </w:tc>
      </w:tr>
    </w:tbl>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bCs/>
          <w:sz w:val="24"/>
          <w:szCs w:val="24"/>
          <w:lang w:val="it-IT"/>
        </w:rPr>
        <w:t>Figura</w:t>
      </w:r>
      <w:r w:rsidRPr="00315335">
        <w:rPr>
          <w:rFonts w:ascii="Arial" w:hAnsi="Arial" w:cs="Arial"/>
          <w:sz w:val="24"/>
          <w:szCs w:val="24"/>
          <w:lang w:val="it-IT"/>
        </w:rPr>
        <w:t xml:space="preserve"> nr. VII.I.3.1.-1 </w:t>
      </w:r>
      <w:r w:rsidRPr="00315335">
        <w:rPr>
          <w:rFonts w:ascii="Arial" w:hAnsi="Arial" w:cs="Arial"/>
          <w:sz w:val="24"/>
          <w:szCs w:val="24"/>
        </w:rPr>
        <w:t>Cantități de DEEE colectate în județul Brăila în perioada 2013-2018</w:t>
      </w:r>
    </w:p>
    <w:p w:rsidR="00737DE6" w:rsidRPr="00315335" w:rsidRDefault="00737DE6" w:rsidP="00737DE6">
      <w:pPr>
        <w:spacing w:after="0" w:line="240" w:lineRule="auto"/>
        <w:rPr>
          <w:rFonts w:ascii="Arial" w:hAnsi="Arial" w:cs="Arial"/>
          <w:sz w:val="24"/>
          <w:szCs w:val="24"/>
          <w:lang w:val="en-US"/>
        </w:rPr>
      </w:pPr>
    </w:p>
    <w:p w:rsidR="00737DE6" w:rsidRPr="00315335" w:rsidRDefault="00737DE6" w:rsidP="00737DE6">
      <w:pPr>
        <w:spacing w:after="0" w:line="240" w:lineRule="auto"/>
        <w:rPr>
          <w:rFonts w:ascii="Arial" w:hAnsi="Arial" w:cs="Arial"/>
          <w:sz w:val="24"/>
          <w:szCs w:val="24"/>
          <w:lang w:val="en-US"/>
        </w:rPr>
      </w:pPr>
      <w:r w:rsidRPr="00315335">
        <w:rPr>
          <w:rFonts w:ascii="Arial" w:hAnsi="Arial" w:cs="Arial"/>
          <w:sz w:val="24"/>
          <w:szCs w:val="24"/>
          <w:lang w:val="en-US"/>
        </w:rPr>
        <w:t xml:space="preserve">                                   </w:t>
      </w:r>
      <w:r w:rsidRPr="00315335">
        <w:rPr>
          <w:rFonts w:ascii="Arial" w:hAnsi="Arial" w:cs="Arial"/>
          <w:noProof/>
          <w:sz w:val="24"/>
          <w:szCs w:val="24"/>
        </w:rPr>
        <w:drawing>
          <wp:inline distT="0" distB="0" distL="0" distR="0" wp14:anchorId="6B0652D1" wp14:editId="6CA4136F">
            <wp:extent cx="3981450" cy="1485900"/>
            <wp:effectExtent l="0" t="0" r="0" b="0"/>
            <wp:docPr id="9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737DE6" w:rsidRPr="00315335" w:rsidRDefault="00737DE6" w:rsidP="00737DE6">
      <w:pPr>
        <w:spacing w:after="0" w:line="240" w:lineRule="auto"/>
        <w:rPr>
          <w:rFonts w:ascii="Arial" w:hAnsi="Arial" w:cs="Arial"/>
          <w:sz w:val="24"/>
          <w:szCs w:val="24"/>
          <w:lang w:val="en-US"/>
        </w:rPr>
      </w:pPr>
    </w:p>
    <w:p w:rsidR="00737DE6" w:rsidRPr="00315335" w:rsidRDefault="00737DE6" w:rsidP="00737DE6">
      <w:pPr>
        <w:spacing w:after="0" w:line="240" w:lineRule="auto"/>
        <w:jc w:val="center"/>
        <w:rPr>
          <w:rFonts w:ascii="Arial" w:hAnsi="Arial" w:cs="Arial"/>
          <w:sz w:val="24"/>
          <w:szCs w:val="24"/>
          <w:lang w:val="en-US"/>
        </w:rPr>
      </w:pPr>
    </w:p>
    <w:p w:rsidR="00737DE6" w:rsidRPr="00315335" w:rsidRDefault="00737DE6" w:rsidP="00737DE6">
      <w:pPr>
        <w:autoSpaceDE w:val="0"/>
        <w:autoSpaceDN w:val="0"/>
        <w:adjustRightInd w:val="0"/>
        <w:spacing w:after="0" w:line="240" w:lineRule="auto"/>
        <w:ind w:firstLine="737"/>
        <w:jc w:val="both"/>
        <w:rPr>
          <w:rFonts w:ascii="Arial" w:hAnsi="Arial" w:cs="Arial"/>
          <w:sz w:val="24"/>
          <w:szCs w:val="24"/>
        </w:rPr>
      </w:pPr>
      <w:r w:rsidRPr="00315335">
        <w:rPr>
          <w:rFonts w:ascii="Arial" w:hAnsi="Arial" w:cs="Arial"/>
          <w:sz w:val="24"/>
          <w:szCs w:val="24"/>
        </w:rPr>
        <w:lastRenderedPageBreak/>
        <w:t>Pentru anul 2018 se constata o crestere privind colectarea de DEEE fata de anul 2017,  insa cantităţile de DEEE colectate se situează  sub cele stabilite prin ţintele naţionale, fiind sub 4kg/locuitor/an (au rezultat 1,75 kg/locuitor/an).</w:t>
      </w:r>
    </w:p>
    <w:p w:rsidR="00737DE6" w:rsidRPr="00315335" w:rsidRDefault="00737DE6" w:rsidP="00737DE6">
      <w:pPr>
        <w:autoSpaceDE w:val="0"/>
        <w:autoSpaceDN w:val="0"/>
        <w:adjustRightInd w:val="0"/>
        <w:spacing w:after="0" w:line="240" w:lineRule="auto"/>
        <w:ind w:firstLine="737"/>
        <w:jc w:val="both"/>
        <w:rPr>
          <w:rFonts w:ascii="Arial" w:hAnsi="Arial" w:cs="Arial"/>
          <w:b/>
          <w:sz w:val="24"/>
          <w:szCs w:val="24"/>
        </w:rPr>
      </w:pPr>
      <w:r w:rsidRPr="00315335">
        <w:rPr>
          <w:rFonts w:ascii="Arial" w:hAnsi="Arial" w:cs="Arial"/>
          <w:sz w:val="24"/>
          <w:szCs w:val="24"/>
        </w:rPr>
        <w:t xml:space="preserve"> În judeţul Brăila nu există operatori economici autorizaţi pentru tratarea DEEE.</w:t>
      </w:r>
    </w:p>
    <w:p w:rsidR="00737DE6" w:rsidRPr="00315335" w:rsidRDefault="00737DE6" w:rsidP="00737DE6">
      <w:pPr>
        <w:autoSpaceDE w:val="0"/>
        <w:autoSpaceDN w:val="0"/>
        <w:adjustRightInd w:val="0"/>
        <w:spacing w:after="0" w:line="240" w:lineRule="auto"/>
        <w:jc w:val="both"/>
        <w:rPr>
          <w:rFonts w:ascii="Arial" w:hAnsi="Arial" w:cs="Arial"/>
          <w:b/>
          <w:i/>
          <w:sz w:val="24"/>
          <w:szCs w:val="24"/>
        </w:rPr>
      </w:pPr>
      <w:r w:rsidRPr="00315335">
        <w:rPr>
          <w:rFonts w:ascii="Arial" w:hAnsi="Arial" w:cs="Arial"/>
          <w:b/>
          <w:sz w:val="24"/>
          <w:szCs w:val="24"/>
        </w:rPr>
        <w:t xml:space="preserve">VII.1.3.2 </w:t>
      </w:r>
      <w:r w:rsidRPr="00315335">
        <w:rPr>
          <w:rFonts w:ascii="Arial" w:hAnsi="Arial" w:cs="Arial"/>
          <w:b/>
          <w:i/>
          <w:sz w:val="24"/>
          <w:szCs w:val="24"/>
        </w:rPr>
        <w:t xml:space="preserve">Deşeuri de ambalaje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 xml:space="preserve">Ambalajele implică o utilizare a resurselor şi de obicei au o durată de viaţă scurtă. Există impactul asupra mediului începând cu extracţia resurselor, producţia de ambalaje, colectarea deşeurilor de ambalaje şi tratarea acestora până la eliminarea lor. </w:t>
      </w:r>
    </w:p>
    <w:p w:rsidR="00737DE6" w:rsidRPr="00315335" w:rsidRDefault="00737DE6" w:rsidP="00737DE6">
      <w:pPr>
        <w:autoSpaceDE w:val="0"/>
        <w:autoSpaceDN w:val="0"/>
        <w:adjustRightInd w:val="0"/>
        <w:spacing w:after="0" w:line="240" w:lineRule="auto"/>
        <w:ind w:firstLine="708"/>
        <w:jc w:val="both"/>
        <w:rPr>
          <w:rFonts w:ascii="Arial" w:hAnsi="Arial" w:cs="Arial"/>
          <w:kern w:val="36"/>
          <w:sz w:val="24"/>
          <w:szCs w:val="24"/>
        </w:rPr>
      </w:pPr>
      <w:r w:rsidRPr="00315335">
        <w:rPr>
          <w:rFonts w:ascii="Arial" w:hAnsi="Arial" w:cs="Arial"/>
          <w:sz w:val="24"/>
          <w:szCs w:val="24"/>
        </w:rPr>
        <w:t>Deşeurile de ambalaje sunt prevăzute în reglementări naţionale specifice şi există ţinte specifice pentru reciclarea şi valorificarea lor. Informaţiile privind cantităţile de deşeuri de ambalaje generate oferă un indicator al eficienţei politicilor de prevenire a deşeurilor la nivel naţional. În acest scop, în fiecare an, autorităţile teritoriale pentru protecţia mediului realizează inventarul ambalajelor şi deşeurilor de ambalaje pentru anul precedent, conform Legii nr. 249/2015 privind modalitatea de gestionare a ambalajelor şi a deşeurilor de ambalaje cu modificările ulterioare și a Ord. MMP 794/2012 privind procedura de raportare a datelor referitoare la ambalaje si deşeuri de ambalaje.</w:t>
      </w:r>
    </w:p>
    <w:p w:rsidR="00737DE6" w:rsidRPr="00315335" w:rsidRDefault="00737DE6" w:rsidP="00737DE6">
      <w:pPr>
        <w:autoSpaceDE w:val="0"/>
        <w:autoSpaceDN w:val="0"/>
        <w:adjustRightInd w:val="0"/>
        <w:spacing w:after="0" w:line="240" w:lineRule="auto"/>
        <w:jc w:val="both"/>
        <w:rPr>
          <w:rFonts w:ascii="Arial" w:hAnsi="Arial" w:cs="Arial"/>
          <w:b/>
          <w:sz w:val="24"/>
          <w:szCs w:val="24"/>
        </w:rPr>
      </w:pPr>
      <w:r w:rsidRPr="00315335">
        <w:rPr>
          <w:rFonts w:ascii="Arial" w:hAnsi="Arial" w:cs="Arial"/>
          <w:sz w:val="24"/>
          <w:szCs w:val="24"/>
        </w:rPr>
        <w:t>Inventarul cuprinde:</w:t>
      </w:r>
    </w:p>
    <w:p w:rsidR="00737DE6" w:rsidRPr="00315335" w:rsidRDefault="00737DE6" w:rsidP="0010044C">
      <w:pPr>
        <w:pStyle w:val="Listparagraf"/>
        <w:numPr>
          <w:ilvl w:val="0"/>
          <w:numId w:val="63"/>
        </w:numPr>
        <w:ind w:left="714" w:hanging="357"/>
        <w:rPr>
          <w:rFonts w:ascii="Arial" w:eastAsia="Calibri" w:hAnsi="Arial" w:cs="Arial"/>
          <w:b/>
        </w:rPr>
      </w:pPr>
      <w:r w:rsidRPr="00315335">
        <w:rPr>
          <w:rFonts w:ascii="Arial" w:hAnsi="Arial" w:cs="Arial"/>
        </w:rPr>
        <w:t>Operatorii economici, producători şi importatori de ambalaje de desfacere, producători/importatori de produse ambalate, precum şi cei care supraambalează produse ambalate;</w:t>
      </w:r>
    </w:p>
    <w:p w:rsidR="00737DE6" w:rsidRPr="00315335" w:rsidRDefault="00737DE6" w:rsidP="0010044C">
      <w:pPr>
        <w:pStyle w:val="Listparagraf"/>
        <w:numPr>
          <w:ilvl w:val="0"/>
          <w:numId w:val="63"/>
        </w:numPr>
        <w:ind w:left="714" w:hanging="357"/>
        <w:rPr>
          <w:rFonts w:ascii="Arial" w:hAnsi="Arial" w:cs="Arial"/>
          <w:b/>
        </w:rPr>
      </w:pPr>
      <w:r w:rsidRPr="00315335">
        <w:rPr>
          <w:rFonts w:ascii="Arial" w:hAnsi="Arial" w:cs="Arial"/>
        </w:rPr>
        <w:t>Operatorii economici autorizaţi pentru desfăşurarea activităţii de colectare, reciclare sau valorificare a deşeurilor de ambalaje, comercianţii de deşeuri de ambalaje şi operatorii de salubritate care desfăşoară şi activitatea de colectare ca operator economic autorizat pentru colectarea deşeurilor de ambalaje;</w:t>
      </w:r>
    </w:p>
    <w:p w:rsidR="00737DE6" w:rsidRPr="00315335" w:rsidRDefault="00737DE6" w:rsidP="0010044C">
      <w:pPr>
        <w:pStyle w:val="Listparagraf"/>
        <w:numPr>
          <w:ilvl w:val="0"/>
          <w:numId w:val="63"/>
        </w:numPr>
        <w:ind w:left="714" w:hanging="357"/>
        <w:rPr>
          <w:rFonts w:ascii="Arial" w:hAnsi="Arial" w:cs="Arial"/>
          <w:b/>
        </w:rPr>
      </w:pPr>
      <w:r w:rsidRPr="00315335">
        <w:rPr>
          <w:rFonts w:ascii="Arial" w:hAnsi="Arial" w:cs="Arial"/>
        </w:rPr>
        <w:t>Autorităţile administraţiei publice locale sunt obligate să transmită datele privind deşeurile de ambalaje colectate prin serviciul public de salubrizare a localităţii, în baza datelor furnizate de către operatorii serviciului de salubrizare care deservesc localitatea respectivă;</w:t>
      </w:r>
    </w:p>
    <w:p w:rsidR="00737DE6" w:rsidRPr="00315335" w:rsidRDefault="00737DE6" w:rsidP="00737DE6">
      <w:pPr>
        <w:autoSpaceDE w:val="0"/>
        <w:autoSpaceDN w:val="0"/>
        <w:adjustRightInd w:val="0"/>
        <w:spacing w:after="0" w:line="240" w:lineRule="auto"/>
        <w:ind w:firstLine="357"/>
        <w:jc w:val="both"/>
        <w:rPr>
          <w:rFonts w:ascii="Arial" w:hAnsi="Arial" w:cs="Arial"/>
          <w:b/>
          <w:sz w:val="24"/>
          <w:szCs w:val="24"/>
        </w:rPr>
      </w:pPr>
      <w:r w:rsidRPr="00315335">
        <w:rPr>
          <w:rFonts w:ascii="Arial" w:hAnsi="Arial" w:cs="Arial"/>
          <w:sz w:val="24"/>
          <w:szCs w:val="24"/>
        </w:rPr>
        <w:t xml:space="preserve">Procedura de raportare implică aplicația specială on-line prin intermediul căreia trebuie introduse datele ce trebuie raportate de către operatorul economic în cadrul sistemului integrat de mediu.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 xml:space="preserve">Astfel pentru anul 2016 au fost inventariaţi un număr de </w:t>
      </w:r>
      <w:r w:rsidRPr="00315335">
        <w:rPr>
          <w:rFonts w:ascii="Arial" w:hAnsi="Arial" w:cs="Arial"/>
          <w:bCs/>
          <w:sz w:val="24"/>
          <w:szCs w:val="24"/>
        </w:rPr>
        <w:t>110 operatorii</w:t>
      </w:r>
      <w:r w:rsidRPr="00315335">
        <w:rPr>
          <w:rFonts w:ascii="Arial" w:hAnsi="Arial" w:cs="Arial"/>
          <w:sz w:val="24"/>
          <w:szCs w:val="24"/>
        </w:rPr>
        <w:t xml:space="preserve"> economici </w:t>
      </w:r>
      <w:r w:rsidRPr="00315335">
        <w:rPr>
          <w:rFonts w:ascii="Arial" w:hAnsi="Arial" w:cs="Arial"/>
          <w:bCs/>
          <w:sz w:val="24"/>
          <w:szCs w:val="24"/>
        </w:rPr>
        <w:t xml:space="preserve">care intră sub incidenţa legislaţiei menţionate, (dintre aceştia, 52 au predat responsabilitatea catre 6 operatori autorizaţi pentru preluarea responsabilităţii de realizare a obiectivelor de valorificare/reciclare) </w:t>
      </w:r>
      <w:r w:rsidRPr="00315335">
        <w:rPr>
          <w:rFonts w:ascii="Arial" w:hAnsi="Arial" w:cs="Arial"/>
          <w:sz w:val="24"/>
          <w:szCs w:val="24"/>
        </w:rPr>
        <w:t>după cum urmează:</w:t>
      </w:r>
    </w:p>
    <w:p w:rsidR="00737DE6" w:rsidRPr="00315335" w:rsidRDefault="00737DE6" w:rsidP="0010044C">
      <w:pPr>
        <w:pStyle w:val="Listparagraf"/>
        <w:numPr>
          <w:ilvl w:val="0"/>
          <w:numId w:val="74"/>
        </w:numPr>
        <w:jc w:val="both"/>
        <w:rPr>
          <w:rStyle w:val="do1"/>
          <w:rFonts w:ascii="Arial" w:hAnsi="Arial" w:cs="Arial"/>
          <w:b w:val="0"/>
          <w:sz w:val="24"/>
          <w:szCs w:val="24"/>
        </w:rPr>
      </w:pPr>
      <w:r w:rsidRPr="00315335">
        <w:rPr>
          <w:rStyle w:val="do1"/>
          <w:rFonts w:ascii="Arial" w:hAnsi="Arial" w:cs="Arial"/>
          <w:sz w:val="24"/>
          <w:szCs w:val="24"/>
        </w:rPr>
        <w:t>36 producători și importatori de ambalaje şi produse ambalate ;</w:t>
      </w:r>
    </w:p>
    <w:p w:rsidR="00737DE6" w:rsidRPr="00315335" w:rsidRDefault="00737DE6" w:rsidP="0010044C">
      <w:pPr>
        <w:pStyle w:val="Listparagraf"/>
        <w:numPr>
          <w:ilvl w:val="0"/>
          <w:numId w:val="74"/>
        </w:numPr>
        <w:jc w:val="both"/>
        <w:rPr>
          <w:rStyle w:val="do1"/>
          <w:rFonts w:ascii="Arial" w:hAnsi="Arial" w:cs="Arial"/>
          <w:b w:val="0"/>
          <w:sz w:val="24"/>
          <w:szCs w:val="24"/>
        </w:rPr>
      </w:pPr>
      <w:r w:rsidRPr="00315335">
        <w:rPr>
          <w:rStyle w:val="do1"/>
          <w:rFonts w:ascii="Arial" w:hAnsi="Arial" w:cs="Arial"/>
          <w:sz w:val="24"/>
          <w:szCs w:val="24"/>
        </w:rPr>
        <w:t xml:space="preserve">6 producători de ambalaje; </w:t>
      </w:r>
    </w:p>
    <w:p w:rsidR="00737DE6" w:rsidRPr="00315335" w:rsidRDefault="00737DE6" w:rsidP="0010044C">
      <w:pPr>
        <w:pStyle w:val="Listparagraf"/>
        <w:numPr>
          <w:ilvl w:val="0"/>
          <w:numId w:val="74"/>
        </w:numPr>
        <w:jc w:val="both"/>
        <w:rPr>
          <w:rStyle w:val="do1"/>
          <w:rFonts w:ascii="Arial" w:hAnsi="Arial" w:cs="Arial"/>
          <w:b w:val="0"/>
          <w:sz w:val="24"/>
          <w:szCs w:val="24"/>
        </w:rPr>
      </w:pPr>
      <w:r w:rsidRPr="00315335">
        <w:rPr>
          <w:rStyle w:val="do1"/>
          <w:rFonts w:ascii="Arial" w:hAnsi="Arial" w:cs="Arial"/>
          <w:sz w:val="24"/>
          <w:szCs w:val="24"/>
        </w:rPr>
        <w:t>7 colectori de deşeuri de ambalaje;</w:t>
      </w:r>
    </w:p>
    <w:p w:rsidR="00737DE6" w:rsidRPr="00315335" w:rsidRDefault="00737DE6" w:rsidP="0010044C">
      <w:pPr>
        <w:pStyle w:val="Listparagraf"/>
        <w:numPr>
          <w:ilvl w:val="0"/>
          <w:numId w:val="74"/>
        </w:numPr>
        <w:jc w:val="both"/>
        <w:rPr>
          <w:rStyle w:val="do1"/>
          <w:rFonts w:ascii="Arial" w:hAnsi="Arial" w:cs="Arial"/>
          <w:b w:val="0"/>
          <w:sz w:val="24"/>
          <w:szCs w:val="24"/>
        </w:rPr>
      </w:pPr>
      <w:r w:rsidRPr="00315335">
        <w:rPr>
          <w:rStyle w:val="do1"/>
          <w:rFonts w:ascii="Arial" w:hAnsi="Arial" w:cs="Arial"/>
          <w:sz w:val="24"/>
          <w:szCs w:val="24"/>
        </w:rPr>
        <w:t>6 operatori autorizaţi pentru preluarea responsabilităţii de realizare a obiectivelor de valorificare/reciclare;</w:t>
      </w:r>
    </w:p>
    <w:p w:rsidR="00737DE6" w:rsidRPr="00315335" w:rsidRDefault="00737DE6" w:rsidP="0010044C">
      <w:pPr>
        <w:pStyle w:val="Listparagraf"/>
        <w:numPr>
          <w:ilvl w:val="0"/>
          <w:numId w:val="74"/>
        </w:numPr>
        <w:jc w:val="both"/>
        <w:rPr>
          <w:rStyle w:val="do1"/>
          <w:rFonts w:ascii="Arial" w:hAnsi="Arial" w:cs="Arial"/>
          <w:b w:val="0"/>
          <w:bCs w:val="0"/>
          <w:sz w:val="24"/>
          <w:szCs w:val="24"/>
        </w:rPr>
      </w:pPr>
      <w:r w:rsidRPr="00315335">
        <w:rPr>
          <w:rStyle w:val="do1"/>
          <w:rFonts w:ascii="Arial" w:hAnsi="Arial" w:cs="Arial"/>
          <w:sz w:val="24"/>
          <w:szCs w:val="24"/>
        </w:rPr>
        <w:t>Primariile Brăila, Ianca, Făurei şi Însurăţei.</w:t>
      </w:r>
    </w:p>
    <w:p w:rsidR="00737DE6" w:rsidRPr="00315335" w:rsidRDefault="00737DE6" w:rsidP="00737DE6">
      <w:pPr>
        <w:pStyle w:val="Listparagraf"/>
        <w:rPr>
          <w:rFonts w:ascii="Arial" w:hAnsi="Arial" w:cs="Arial"/>
          <w:b/>
        </w:rPr>
      </w:pPr>
      <w:r w:rsidRPr="00315335">
        <w:rPr>
          <w:rFonts w:ascii="Arial" w:hAnsi="Arial" w:cs="Arial"/>
        </w:rPr>
        <w:t>Tabel nr. VII.1.3.2.1 Cantitatea de ambalaje colectate in județul Brăila</w:t>
      </w:r>
    </w:p>
    <w:tbl>
      <w:tblPr>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E0" w:firstRow="1" w:lastRow="1" w:firstColumn="1" w:lastColumn="0" w:noHBand="0" w:noVBand="1"/>
      </w:tblPr>
      <w:tblGrid>
        <w:gridCol w:w="2932"/>
        <w:gridCol w:w="5103"/>
      </w:tblGrid>
      <w:tr w:rsidR="00315335" w:rsidRPr="00315335" w:rsidTr="00916B06">
        <w:tc>
          <w:tcPr>
            <w:tcW w:w="2932" w:type="dxa"/>
            <w:shd w:val="clear" w:color="auto" w:fill="EEECE1"/>
          </w:tcPr>
          <w:p w:rsidR="00737DE6" w:rsidRPr="00315335" w:rsidRDefault="00737DE6" w:rsidP="00916B06">
            <w:pPr>
              <w:pStyle w:val="Listparagraf"/>
              <w:ind w:left="0"/>
              <w:jc w:val="center"/>
              <w:rPr>
                <w:rStyle w:val="do1"/>
                <w:rFonts w:ascii="Arial" w:hAnsi="Arial" w:cs="Arial"/>
                <w:sz w:val="24"/>
                <w:szCs w:val="24"/>
              </w:rPr>
            </w:pPr>
          </w:p>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Anul</w:t>
            </w:r>
          </w:p>
        </w:tc>
        <w:tc>
          <w:tcPr>
            <w:tcW w:w="5103" w:type="dxa"/>
            <w:shd w:val="clear" w:color="auto" w:fill="EEECE1"/>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Cantitatea de ambalaje colectată</w:t>
            </w:r>
          </w:p>
          <w:p w:rsidR="00737DE6" w:rsidRPr="00315335" w:rsidRDefault="00737DE6" w:rsidP="00916B06">
            <w:pPr>
              <w:pStyle w:val="Listparagraf"/>
              <w:ind w:left="0"/>
              <w:jc w:val="center"/>
              <w:rPr>
                <w:rStyle w:val="do1"/>
                <w:rFonts w:ascii="Arial" w:hAnsi="Arial" w:cs="Arial"/>
                <w:sz w:val="24"/>
                <w:szCs w:val="24"/>
              </w:rPr>
            </w:pPr>
            <w:r w:rsidRPr="00315335">
              <w:rPr>
                <w:rFonts w:ascii="Arial" w:hAnsi="Arial" w:cs="Arial"/>
              </w:rPr>
              <w:t>[ t ]</w:t>
            </w:r>
          </w:p>
        </w:tc>
      </w:tr>
      <w:tr w:rsidR="00315335" w:rsidRPr="00315335" w:rsidTr="00916B06">
        <w:tc>
          <w:tcPr>
            <w:tcW w:w="2932" w:type="dxa"/>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2013</w:t>
            </w:r>
          </w:p>
        </w:tc>
        <w:tc>
          <w:tcPr>
            <w:tcW w:w="5103" w:type="dxa"/>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2640,87</w:t>
            </w:r>
          </w:p>
        </w:tc>
      </w:tr>
      <w:tr w:rsidR="00315335" w:rsidRPr="00315335" w:rsidTr="00916B06">
        <w:tc>
          <w:tcPr>
            <w:tcW w:w="2932" w:type="dxa"/>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2014</w:t>
            </w:r>
          </w:p>
        </w:tc>
        <w:tc>
          <w:tcPr>
            <w:tcW w:w="5103" w:type="dxa"/>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29370,71</w:t>
            </w:r>
          </w:p>
        </w:tc>
      </w:tr>
      <w:tr w:rsidR="00315335" w:rsidRPr="00315335" w:rsidTr="00916B06">
        <w:tc>
          <w:tcPr>
            <w:tcW w:w="2932" w:type="dxa"/>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2015</w:t>
            </w:r>
          </w:p>
        </w:tc>
        <w:tc>
          <w:tcPr>
            <w:tcW w:w="5103" w:type="dxa"/>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11540,94</w:t>
            </w:r>
          </w:p>
        </w:tc>
      </w:tr>
      <w:tr w:rsidR="00315335" w:rsidRPr="00315335" w:rsidTr="00916B06">
        <w:tc>
          <w:tcPr>
            <w:tcW w:w="2932" w:type="dxa"/>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2016</w:t>
            </w:r>
          </w:p>
        </w:tc>
        <w:tc>
          <w:tcPr>
            <w:tcW w:w="5103" w:type="dxa"/>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976,65</w:t>
            </w:r>
          </w:p>
        </w:tc>
      </w:tr>
    </w:tbl>
    <w:p w:rsidR="00737DE6" w:rsidRPr="00315335" w:rsidRDefault="00737DE6" w:rsidP="00737DE6">
      <w:pPr>
        <w:pStyle w:val="Listparagraf"/>
        <w:rPr>
          <w:rStyle w:val="do1"/>
          <w:rFonts w:ascii="Arial" w:hAnsi="Arial" w:cs="Arial"/>
          <w:sz w:val="24"/>
          <w:szCs w:val="24"/>
        </w:rPr>
      </w:pPr>
    </w:p>
    <w:p w:rsidR="00737DE6" w:rsidRPr="00315335" w:rsidRDefault="00737DE6" w:rsidP="00737DE6">
      <w:pPr>
        <w:pStyle w:val="Listparagraf"/>
        <w:rPr>
          <w:rStyle w:val="do1"/>
          <w:rFonts w:ascii="Arial" w:hAnsi="Arial" w:cs="Arial"/>
          <w:b w:val="0"/>
          <w:sz w:val="24"/>
          <w:szCs w:val="24"/>
        </w:rPr>
      </w:pPr>
      <w:r w:rsidRPr="00315335">
        <w:rPr>
          <w:rStyle w:val="do1"/>
          <w:rFonts w:ascii="Arial" w:hAnsi="Arial" w:cs="Arial"/>
          <w:sz w:val="24"/>
          <w:szCs w:val="24"/>
        </w:rPr>
        <w:t>Cantitatea de deseuri de ambalaje colectate la nivelul județului Brăila-2015</w:t>
      </w:r>
    </w:p>
    <w:p w:rsidR="00737DE6" w:rsidRPr="00315335" w:rsidRDefault="00737DE6" w:rsidP="00737DE6">
      <w:pPr>
        <w:pStyle w:val="Listparagraf"/>
        <w:ind w:left="0"/>
        <w:jc w:val="center"/>
        <w:rPr>
          <w:rStyle w:val="do1"/>
          <w:rFonts w:ascii="Arial" w:hAnsi="Arial" w:cs="Arial"/>
          <w:sz w:val="24"/>
          <w:szCs w:val="24"/>
        </w:rPr>
      </w:pPr>
    </w:p>
    <w:tbl>
      <w:tblPr>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E0" w:firstRow="1" w:lastRow="1" w:firstColumn="1" w:lastColumn="0" w:noHBand="0" w:noVBand="1"/>
      </w:tblPr>
      <w:tblGrid>
        <w:gridCol w:w="2932"/>
        <w:gridCol w:w="2655"/>
        <w:gridCol w:w="2448"/>
      </w:tblGrid>
      <w:tr w:rsidR="00315335" w:rsidRPr="00315335" w:rsidTr="00916B06">
        <w:tc>
          <w:tcPr>
            <w:tcW w:w="2932" w:type="dxa"/>
            <w:vMerge w:val="restart"/>
            <w:shd w:val="clear" w:color="auto" w:fill="EEECE1"/>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Material</w:t>
            </w:r>
          </w:p>
        </w:tc>
        <w:tc>
          <w:tcPr>
            <w:tcW w:w="5103" w:type="dxa"/>
            <w:gridSpan w:val="2"/>
            <w:shd w:val="clear" w:color="auto" w:fill="EEECE1"/>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Cantitatea de deseuri de ambalaje colectate</w:t>
            </w:r>
          </w:p>
        </w:tc>
      </w:tr>
      <w:tr w:rsidR="00315335" w:rsidRPr="00315335" w:rsidTr="00916B06">
        <w:tc>
          <w:tcPr>
            <w:tcW w:w="2932" w:type="dxa"/>
            <w:vMerge/>
            <w:shd w:val="clear" w:color="auto" w:fill="EEECE1"/>
          </w:tcPr>
          <w:p w:rsidR="00737DE6" w:rsidRPr="00315335" w:rsidRDefault="00737DE6" w:rsidP="00916B06">
            <w:pPr>
              <w:pStyle w:val="Listparagraf"/>
              <w:ind w:left="0"/>
              <w:jc w:val="center"/>
              <w:rPr>
                <w:rStyle w:val="do1"/>
                <w:rFonts w:ascii="Arial" w:hAnsi="Arial" w:cs="Arial"/>
                <w:sz w:val="24"/>
                <w:szCs w:val="24"/>
              </w:rPr>
            </w:pPr>
          </w:p>
        </w:tc>
        <w:tc>
          <w:tcPr>
            <w:tcW w:w="2655" w:type="dxa"/>
            <w:tcBorders>
              <w:right w:val="single" w:sz="4" w:space="0" w:color="auto"/>
            </w:tcBorders>
            <w:shd w:val="clear" w:color="auto" w:fill="EEECE1"/>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 xml:space="preserve">Cantitate totală </w:t>
            </w:r>
          </w:p>
          <w:p w:rsidR="00737DE6" w:rsidRPr="00315335" w:rsidRDefault="00737DE6" w:rsidP="00916B06">
            <w:pPr>
              <w:pStyle w:val="Listparagraf"/>
              <w:ind w:left="0"/>
              <w:jc w:val="center"/>
              <w:rPr>
                <w:rStyle w:val="do1"/>
                <w:rFonts w:ascii="Arial" w:hAnsi="Arial" w:cs="Arial"/>
                <w:sz w:val="24"/>
                <w:szCs w:val="24"/>
              </w:rPr>
            </w:pPr>
            <w:r w:rsidRPr="00315335">
              <w:rPr>
                <w:rFonts w:ascii="Arial" w:hAnsi="Arial" w:cs="Arial"/>
              </w:rPr>
              <w:t>[ t ]</w:t>
            </w:r>
          </w:p>
        </w:tc>
        <w:tc>
          <w:tcPr>
            <w:tcW w:w="2448" w:type="dxa"/>
            <w:tcBorders>
              <w:left w:val="single" w:sz="4" w:space="0" w:color="auto"/>
            </w:tcBorders>
            <w:shd w:val="clear" w:color="auto" w:fill="EEECE1"/>
          </w:tcPr>
          <w:p w:rsidR="00737DE6" w:rsidRPr="00315335" w:rsidRDefault="00737DE6" w:rsidP="00916B06">
            <w:pPr>
              <w:pStyle w:val="Listparagraf"/>
              <w:ind w:left="0"/>
              <w:jc w:val="center"/>
              <w:rPr>
                <w:rStyle w:val="do1"/>
                <w:rFonts w:ascii="Arial" w:hAnsi="Arial" w:cs="Arial"/>
                <w:sz w:val="24"/>
                <w:szCs w:val="24"/>
              </w:rPr>
            </w:pPr>
            <w:r w:rsidRPr="00315335">
              <w:rPr>
                <w:rStyle w:val="do1"/>
                <w:rFonts w:ascii="Arial" w:hAnsi="Arial" w:cs="Arial"/>
                <w:sz w:val="24"/>
                <w:szCs w:val="24"/>
              </w:rPr>
              <w:t xml:space="preserve">Din care deșeuri periculoase </w:t>
            </w:r>
          </w:p>
          <w:p w:rsidR="00737DE6" w:rsidRPr="00315335" w:rsidRDefault="00737DE6" w:rsidP="00916B06">
            <w:pPr>
              <w:pStyle w:val="Listparagraf"/>
              <w:ind w:left="0"/>
              <w:jc w:val="center"/>
              <w:rPr>
                <w:rStyle w:val="do1"/>
                <w:rFonts w:ascii="Arial" w:hAnsi="Arial" w:cs="Arial"/>
                <w:sz w:val="24"/>
                <w:szCs w:val="24"/>
              </w:rPr>
            </w:pPr>
            <w:r w:rsidRPr="00315335">
              <w:rPr>
                <w:rFonts w:ascii="Arial" w:hAnsi="Arial" w:cs="Arial"/>
              </w:rPr>
              <w:lastRenderedPageBreak/>
              <w:t>[ t ]</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lastRenderedPageBreak/>
              <w:t>Sticla</w:t>
            </w:r>
          </w:p>
        </w:tc>
        <w:tc>
          <w:tcPr>
            <w:tcW w:w="2655" w:type="dxa"/>
            <w:tcBorders>
              <w:righ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0</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0</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t>Pet</w:t>
            </w:r>
          </w:p>
        </w:tc>
        <w:tc>
          <w:tcPr>
            <w:tcW w:w="2655" w:type="dxa"/>
            <w:tcBorders>
              <w:right w:val="single" w:sz="4" w:space="0" w:color="auto"/>
            </w:tcBorders>
            <w:vAlign w:val="center"/>
          </w:tcPr>
          <w:p w:rsidR="00737DE6" w:rsidRPr="00315335" w:rsidRDefault="00737DE6" w:rsidP="00916B06">
            <w:pPr>
              <w:spacing w:after="0" w:line="240" w:lineRule="auto"/>
              <w:jc w:val="center"/>
              <w:rPr>
                <w:rStyle w:val="do1"/>
                <w:rFonts w:ascii="Arial" w:hAnsi="Arial" w:cs="Arial"/>
                <w:b w:val="0"/>
                <w:sz w:val="24"/>
                <w:szCs w:val="24"/>
              </w:rPr>
            </w:pPr>
            <w:r w:rsidRPr="00315335">
              <w:rPr>
                <w:rStyle w:val="do1"/>
                <w:rFonts w:ascii="Arial" w:hAnsi="Arial" w:cs="Arial"/>
                <w:sz w:val="24"/>
                <w:szCs w:val="24"/>
              </w:rPr>
              <w:t>517,006</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0</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t>Alte plastice</w:t>
            </w:r>
          </w:p>
        </w:tc>
        <w:tc>
          <w:tcPr>
            <w:tcW w:w="2655" w:type="dxa"/>
            <w:tcBorders>
              <w:right w:val="single" w:sz="4" w:space="0" w:color="auto"/>
            </w:tcBorders>
            <w:vAlign w:val="center"/>
          </w:tcPr>
          <w:p w:rsidR="00737DE6" w:rsidRPr="00315335" w:rsidRDefault="00737DE6" w:rsidP="00916B06">
            <w:pPr>
              <w:spacing w:after="0" w:line="240" w:lineRule="auto"/>
              <w:jc w:val="center"/>
              <w:rPr>
                <w:rStyle w:val="do1"/>
                <w:rFonts w:ascii="Arial" w:hAnsi="Arial" w:cs="Arial"/>
                <w:b w:val="0"/>
                <w:sz w:val="24"/>
                <w:szCs w:val="24"/>
              </w:rPr>
            </w:pPr>
            <w:r w:rsidRPr="00315335">
              <w:rPr>
                <w:rStyle w:val="do1"/>
                <w:rFonts w:ascii="Arial" w:hAnsi="Arial" w:cs="Arial"/>
                <w:sz w:val="24"/>
                <w:szCs w:val="24"/>
              </w:rPr>
              <w:t>343,865</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7,25</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t>Total plastic</w:t>
            </w:r>
          </w:p>
        </w:tc>
        <w:tc>
          <w:tcPr>
            <w:tcW w:w="2655" w:type="dxa"/>
            <w:tcBorders>
              <w:right w:val="single" w:sz="4" w:space="0" w:color="auto"/>
            </w:tcBorders>
            <w:vAlign w:val="center"/>
          </w:tcPr>
          <w:p w:rsidR="00737DE6" w:rsidRPr="00315335" w:rsidRDefault="00737DE6" w:rsidP="00916B06">
            <w:pPr>
              <w:spacing w:after="0" w:line="240" w:lineRule="auto"/>
              <w:jc w:val="center"/>
              <w:rPr>
                <w:rStyle w:val="do1"/>
                <w:rFonts w:ascii="Arial" w:hAnsi="Arial" w:cs="Arial"/>
                <w:b w:val="0"/>
                <w:bCs w:val="0"/>
                <w:sz w:val="24"/>
                <w:szCs w:val="24"/>
              </w:rPr>
            </w:pPr>
            <w:r w:rsidRPr="00315335">
              <w:rPr>
                <w:rStyle w:val="do1"/>
                <w:rFonts w:ascii="Arial" w:hAnsi="Arial" w:cs="Arial"/>
                <w:sz w:val="24"/>
                <w:szCs w:val="24"/>
              </w:rPr>
              <w:t>860,871</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0</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t>Hartie și carton</w:t>
            </w:r>
          </w:p>
        </w:tc>
        <w:tc>
          <w:tcPr>
            <w:tcW w:w="2655" w:type="dxa"/>
            <w:tcBorders>
              <w:right w:val="single" w:sz="4" w:space="0" w:color="auto"/>
            </w:tcBorders>
            <w:vAlign w:val="center"/>
          </w:tcPr>
          <w:p w:rsidR="00737DE6" w:rsidRPr="00315335" w:rsidRDefault="00737DE6" w:rsidP="00916B06">
            <w:pPr>
              <w:spacing w:after="0" w:line="240" w:lineRule="auto"/>
              <w:jc w:val="center"/>
              <w:rPr>
                <w:rStyle w:val="do1"/>
                <w:rFonts w:ascii="Arial" w:hAnsi="Arial" w:cs="Arial"/>
                <w:b w:val="0"/>
                <w:sz w:val="24"/>
                <w:szCs w:val="24"/>
              </w:rPr>
            </w:pPr>
            <w:r w:rsidRPr="00315335">
              <w:rPr>
                <w:rStyle w:val="do1"/>
                <w:rFonts w:ascii="Arial" w:hAnsi="Arial" w:cs="Arial"/>
                <w:sz w:val="24"/>
                <w:szCs w:val="24"/>
              </w:rPr>
              <w:t>3715,123</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1,84</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t>Aluminiu</w:t>
            </w:r>
          </w:p>
        </w:tc>
        <w:tc>
          <w:tcPr>
            <w:tcW w:w="2655" w:type="dxa"/>
            <w:tcBorders>
              <w:right w:val="single" w:sz="4" w:space="0" w:color="auto"/>
            </w:tcBorders>
            <w:vAlign w:val="center"/>
          </w:tcPr>
          <w:p w:rsidR="00737DE6" w:rsidRPr="00315335" w:rsidRDefault="00737DE6" w:rsidP="00916B06">
            <w:pPr>
              <w:spacing w:after="0" w:line="240" w:lineRule="auto"/>
              <w:jc w:val="center"/>
              <w:rPr>
                <w:rStyle w:val="do1"/>
                <w:rFonts w:ascii="Arial" w:hAnsi="Arial" w:cs="Arial"/>
                <w:b w:val="0"/>
                <w:sz w:val="24"/>
                <w:szCs w:val="24"/>
              </w:rPr>
            </w:pPr>
            <w:r w:rsidRPr="00315335">
              <w:rPr>
                <w:rStyle w:val="do1"/>
                <w:rFonts w:ascii="Arial" w:hAnsi="Arial" w:cs="Arial"/>
                <w:sz w:val="24"/>
                <w:szCs w:val="24"/>
              </w:rPr>
              <w:t>24,323</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0</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t>Otel</w:t>
            </w:r>
          </w:p>
        </w:tc>
        <w:tc>
          <w:tcPr>
            <w:tcW w:w="2655" w:type="dxa"/>
            <w:tcBorders>
              <w:right w:val="single" w:sz="4" w:space="0" w:color="auto"/>
            </w:tcBorders>
            <w:vAlign w:val="center"/>
          </w:tcPr>
          <w:p w:rsidR="00737DE6" w:rsidRPr="00315335" w:rsidRDefault="00737DE6" w:rsidP="00916B06">
            <w:pPr>
              <w:spacing w:after="0" w:line="240" w:lineRule="auto"/>
              <w:jc w:val="center"/>
              <w:rPr>
                <w:rStyle w:val="do1"/>
                <w:rFonts w:ascii="Arial" w:hAnsi="Arial" w:cs="Arial"/>
                <w:b w:val="0"/>
                <w:sz w:val="24"/>
                <w:szCs w:val="24"/>
              </w:rPr>
            </w:pPr>
            <w:r w:rsidRPr="00315335">
              <w:rPr>
                <w:rStyle w:val="do1"/>
                <w:rFonts w:ascii="Arial" w:hAnsi="Arial" w:cs="Arial"/>
                <w:sz w:val="24"/>
                <w:szCs w:val="24"/>
              </w:rPr>
              <w:t>255,822</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0</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t>Total metal</w:t>
            </w:r>
          </w:p>
        </w:tc>
        <w:tc>
          <w:tcPr>
            <w:tcW w:w="2655" w:type="dxa"/>
            <w:tcBorders>
              <w:right w:val="single" w:sz="4" w:space="0" w:color="auto"/>
            </w:tcBorders>
            <w:vAlign w:val="center"/>
          </w:tcPr>
          <w:p w:rsidR="00737DE6" w:rsidRPr="00315335" w:rsidRDefault="00737DE6" w:rsidP="00916B06">
            <w:pPr>
              <w:spacing w:after="0" w:line="240" w:lineRule="auto"/>
              <w:jc w:val="center"/>
              <w:rPr>
                <w:rStyle w:val="do1"/>
                <w:rFonts w:ascii="Arial" w:hAnsi="Arial" w:cs="Arial"/>
                <w:b w:val="0"/>
                <w:bCs w:val="0"/>
                <w:sz w:val="24"/>
                <w:szCs w:val="24"/>
              </w:rPr>
            </w:pPr>
            <w:r w:rsidRPr="00315335">
              <w:rPr>
                <w:rStyle w:val="do1"/>
                <w:rFonts w:ascii="Arial" w:hAnsi="Arial" w:cs="Arial"/>
                <w:sz w:val="24"/>
                <w:szCs w:val="24"/>
              </w:rPr>
              <w:t>280,145</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0</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t>Lemn</w:t>
            </w:r>
          </w:p>
        </w:tc>
        <w:tc>
          <w:tcPr>
            <w:tcW w:w="2655" w:type="dxa"/>
            <w:tcBorders>
              <w:right w:val="single" w:sz="4" w:space="0" w:color="auto"/>
            </w:tcBorders>
            <w:vAlign w:val="center"/>
          </w:tcPr>
          <w:p w:rsidR="00737DE6" w:rsidRPr="00315335" w:rsidRDefault="00737DE6" w:rsidP="00916B06">
            <w:pPr>
              <w:spacing w:after="0" w:line="240" w:lineRule="auto"/>
              <w:jc w:val="center"/>
              <w:rPr>
                <w:rStyle w:val="do1"/>
                <w:rFonts w:ascii="Arial" w:hAnsi="Arial" w:cs="Arial"/>
                <w:b w:val="0"/>
                <w:sz w:val="24"/>
                <w:szCs w:val="24"/>
              </w:rPr>
            </w:pPr>
            <w:r w:rsidRPr="00315335">
              <w:rPr>
                <w:rStyle w:val="do1"/>
                <w:rFonts w:ascii="Arial" w:hAnsi="Arial" w:cs="Arial"/>
                <w:sz w:val="24"/>
                <w:szCs w:val="24"/>
              </w:rPr>
              <w:t>1042,84</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0</w:t>
            </w:r>
          </w:p>
        </w:tc>
      </w:tr>
      <w:tr w:rsidR="00315335" w:rsidRPr="00315335" w:rsidTr="00916B06">
        <w:tc>
          <w:tcPr>
            <w:tcW w:w="2932" w:type="dxa"/>
            <w:vAlign w:val="center"/>
          </w:tcPr>
          <w:p w:rsidR="00737DE6" w:rsidRPr="00315335" w:rsidRDefault="00737DE6" w:rsidP="00916B06">
            <w:pPr>
              <w:pStyle w:val="Listparagraf"/>
              <w:ind w:left="0"/>
              <w:rPr>
                <w:rStyle w:val="do1"/>
                <w:rFonts w:ascii="Arial" w:hAnsi="Arial" w:cs="Arial"/>
                <w:b w:val="0"/>
                <w:sz w:val="24"/>
                <w:szCs w:val="24"/>
              </w:rPr>
            </w:pPr>
            <w:r w:rsidRPr="00315335">
              <w:rPr>
                <w:rStyle w:val="do1"/>
                <w:rFonts w:ascii="Arial" w:hAnsi="Arial" w:cs="Arial"/>
                <w:sz w:val="24"/>
                <w:szCs w:val="24"/>
              </w:rPr>
              <w:t>Total general</w:t>
            </w:r>
          </w:p>
        </w:tc>
        <w:tc>
          <w:tcPr>
            <w:tcW w:w="2655" w:type="dxa"/>
            <w:tcBorders>
              <w:right w:val="single" w:sz="4" w:space="0" w:color="auto"/>
            </w:tcBorders>
            <w:vAlign w:val="center"/>
          </w:tcPr>
          <w:p w:rsidR="00737DE6" w:rsidRPr="00315335" w:rsidRDefault="00737DE6" w:rsidP="00916B06">
            <w:pPr>
              <w:spacing w:after="0" w:line="240" w:lineRule="auto"/>
              <w:jc w:val="center"/>
              <w:rPr>
                <w:rStyle w:val="do1"/>
                <w:rFonts w:ascii="Arial" w:hAnsi="Arial" w:cs="Arial"/>
                <w:b w:val="0"/>
                <w:bCs w:val="0"/>
                <w:sz w:val="24"/>
                <w:szCs w:val="24"/>
              </w:rPr>
            </w:pPr>
            <w:r w:rsidRPr="00315335">
              <w:rPr>
                <w:rStyle w:val="do1"/>
                <w:rFonts w:ascii="Arial" w:hAnsi="Arial" w:cs="Arial"/>
                <w:sz w:val="24"/>
                <w:szCs w:val="24"/>
              </w:rPr>
              <w:t>5898,979</w:t>
            </w:r>
          </w:p>
        </w:tc>
        <w:tc>
          <w:tcPr>
            <w:tcW w:w="2448" w:type="dxa"/>
            <w:tcBorders>
              <w:left w:val="single" w:sz="4" w:space="0" w:color="auto"/>
            </w:tcBorders>
            <w:vAlign w:val="center"/>
          </w:tcPr>
          <w:p w:rsidR="00737DE6" w:rsidRPr="00315335" w:rsidRDefault="00737DE6" w:rsidP="00916B06">
            <w:pPr>
              <w:pStyle w:val="Listparagraf"/>
              <w:ind w:left="0"/>
              <w:jc w:val="center"/>
              <w:rPr>
                <w:rStyle w:val="do1"/>
                <w:rFonts w:ascii="Arial" w:hAnsi="Arial" w:cs="Arial"/>
                <w:b w:val="0"/>
                <w:sz w:val="24"/>
                <w:szCs w:val="24"/>
              </w:rPr>
            </w:pPr>
            <w:r w:rsidRPr="00315335">
              <w:rPr>
                <w:rStyle w:val="do1"/>
                <w:rFonts w:ascii="Arial" w:hAnsi="Arial" w:cs="Arial"/>
                <w:sz w:val="24"/>
                <w:szCs w:val="24"/>
              </w:rPr>
              <w:t>9,09</w:t>
            </w:r>
          </w:p>
        </w:tc>
      </w:tr>
    </w:tbl>
    <w:p w:rsidR="00737DE6" w:rsidRPr="00315335" w:rsidRDefault="00737DE6" w:rsidP="00737DE6">
      <w:pPr>
        <w:pStyle w:val="Listparagraf"/>
        <w:ind w:left="0"/>
        <w:jc w:val="center"/>
        <w:rPr>
          <w:rStyle w:val="do1"/>
          <w:rFonts w:ascii="Arial" w:hAnsi="Arial" w:cs="Arial"/>
          <w:sz w:val="24"/>
          <w:szCs w:val="24"/>
        </w:rPr>
      </w:pPr>
    </w:p>
    <w:p w:rsidR="00737DE6" w:rsidRPr="00315335" w:rsidRDefault="00737DE6" w:rsidP="00737DE6">
      <w:pPr>
        <w:pStyle w:val="Listparagraf"/>
        <w:rPr>
          <w:rStyle w:val="do1"/>
          <w:rFonts w:ascii="Arial" w:hAnsi="Arial" w:cs="Arial"/>
          <w:b w:val="0"/>
          <w:sz w:val="24"/>
          <w:szCs w:val="24"/>
        </w:rPr>
      </w:pPr>
    </w:p>
    <w:p w:rsidR="00737DE6" w:rsidRPr="00315335" w:rsidRDefault="00737DE6" w:rsidP="00737DE6">
      <w:pPr>
        <w:spacing w:after="0" w:line="240" w:lineRule="auto"/>
        <w:rPr>
          <w:rFonts w:ascii="Arial" w:hAnsi="Arial" w:cs="Arial"/>
          <w:b/>
          <w:sz w:val="24"/>
          <w:szCs w:val="24"/>
        </w:rPr>
      </w:pPr>
      <w:r w:rsidRPr="00315335">
        <w:rPr>
          <w:rFonts w:ascii="Arial" w:hAnsi="Arial" w:cs="Arial"/>
          <w:sz w:val="24"/>
          <w:szCs w:val="24"/>
        </w:rPr>
        <w:t xml:space="preserve">Tabel nr VII.1.3.2.2 Deșeuri de ambalaje valorificate la nivel național </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4A0" w:firstRow="1" w:lastRow="0" w:firstColumn="1" w:lastColumn="0" w:noHBand="0" w:noVBand="1"/>
      </w:tblPr>
      <w:tblGrid>
        <w:gridCol w:w="961"/>
        <w:gridCol w:w="947"/>
        <w:gridCol w:w="810"/>
        <w:gridCol w:w="1134"/>
        <w:gridCol w:w="962"/>
        <w:gridCol w:w="963"/>
        <w:gridCol w:w="962"/>
        <w:gridCol w:w="963"/>
        <w:gridCol w:w="962"/>
        <w:gridCol w:w="964"/>
        <w:gridCol w:w="963"/>
      </w:tblGrid>
      <w:tr w:rsidR="00737DE6" w:rsidRPr="00315335" w:rsidTr="00916B06">
        <w:tc>
          <w:tcPr>
            <w:tcW w:w="961" w:type="dxa"/>
            <w:vMerge w:val="restart"/>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Tip material</w:t>
            </w:r>
          </w:p>
        </w:tc>
        <w:tc>
          <w:tcPr>
            <w:tcW w:w="1757"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2012</w:t>
            </w:r>
          </w:p>
        </w:tc>
        <w:tc>
          <w:tcPr>
            <w:tcW w:w="2096"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2013</w:t>
            </w:r>
          </w:p>
        </w:tc>
        <w:tc>
          <w:tcPr>
            <w:tcW w:w="1925"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2014</w:t>
            </w:r>
          </w:p>
        </w:tc>
        <w:tc>
          <w:tcPr>
            <w:tcW w:w="1925"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2015</w:t>
            </w:r>
          </w:p>
        </w:tc>
        <w:tc>
          <w:tcPr>
            <w:tcW w:w="1927"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2016</w:t>
            </w:r>
          </w:p>
        </w:tc>
      </w:tr>
      <w:tr w:rsidR="00737DE6" w:rsidRPr="00315335" w:rsidTr="00916B06">
        <w:tc>
          <w:tcPr>
            <w:tcW w:w="961" w:type="dxa"/>
            <w:vMerge/>
          </w:tcPr>
          <w:p w:rsidR="00737DE6" w:rsidRPr="00315335" w:rsidRDefault="00737DE6" w:rsidP="00916B06">
            <w:pPr>
              <w:spacing w:after="0" w:line="240" w:lineRule="auto"/>
              <w:rPr>
                <w:rFonts w:ascii="Arial" w:hAnsi="Arial" w:cs="Arial"/>
                <w:sz w:val="24"/>
                <w:szCs w:val="24"/>
              </w:rPr>
            </w:pPr>
          </w:p>
        </w:tc>
        <w:tc>
          <w:tcPr>
            <w:tcW w:w="947"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810"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 ]</w:t>
            </w:r>
          </w:p>
        </w:tc>
        <w:tc>
          <w:tcPr>
            <w:tcW w:w="1134"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2"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 ]</w:t>
            </w:r>
          </w:p>
        </w:tc>
        <w:tc>
          <w:tcPr>
            <w:tcW w:w="962"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2"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 ]</w:t>
            </w:r>
          </w:p>
        </w:tc>
        <w:tc>
          <w:tcPr>
            <w:tcW w:w="964"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 ]</w:t>
            </w:r>
          </w:p>
        </w:tc>
      </w:tr>
      <w:tr w:rsidR="00737DE6" w:rsidRPr="00315335" w:rsidTr="00916B06">
        <w:tc>
          <w:tcPr>
            <w:tcW w:w="961"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Sticlă</w:t>
            </w:r>
          </w:p>
        </w:tc>
        <w:tc>
          <w:tcPr>
            <w:tcW w:w="947"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106192</w:t>
            </w:r>
          </w:p>
        </w:tc>
        <w:tc>
          <w:tcPr>
            <w:tcW w:w="810"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66.26</w:t>
            </w:r>
          </w:p>
        </w:tc>
        <w:tc>
          <w:tcPr>
            <w:tcW w:w="113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73467</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106192</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66.26</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73467</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79874</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41,10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134646</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64,10</w:t>
            </w:r>
          </w:p>
        </w:tc>
      </w:tr>
      <w:tr w:rsidR="00737DE6" w:rsidRPr="00315335" w:rsidTr="00916B06">
        <w:tc>
          <w:tcPr>
            <w:tcW w:w="961"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Plastic</w:t>
            </w:r>
          </w:p>
        </w:tc>
        <w:tc>
          <w:tcPr>
            <w:tcW w:w="947"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154778</w:t>
            </w:r>
          </w:p>
        </w:tc>
        <w:tc>
          <w:tcPr>
            <w:tcW w:w="810"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51.93</w:t>
            </w:r>
          </w:p>
        </w:tc>
        <w:tc>
          <w:tcPr>
            <w:tcW w:w="113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158218</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154778</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51.93</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158218</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170595</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47,50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173972</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49,90</w:t>
            </w:r>
          </w:p>
        </w:tc>
      </w:tr>
      <w:tr w:rsidR="00737DE6" w:rsidRPr="00315335" w:rsidTr="00916B06">
        <w:tc>
          <w:tcPr>
            <w:tcW w:w="961"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Hârtie și carton</w:t>
            </w:r>
          </w:p>
        </w:tc>
        <w:tc>
          <w:tcPr>
            <w:tcW w:w="947"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212648</w:t>
            </w:r>
          </w:p>
        </w:tc>
        <w:tc>
          <w:tcPr>
            <w:tcW w:w="810"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70.16</w:t>
            </w:r>
          </w:p>
        </w:tc>
        <w:tc>
          <w:tcPr>
            <w:tcW w:w="113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239745</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212648</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70.16</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239745</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395861</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89,60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398322</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93,20</w:t>
            </w:r>
          </w:p>
        </w:tc>
      </w:tr>
      <w:tr w:rsidR="00737DE6" w:rsidRPr="00315335" w:rsidTr="00916B06">
        <w:tc>
          <w:tcPr>
            <w:tcW w:w="961"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Metal</w:t>
            </w:r>
          </w:p>
        </w:tc>
        <w:tc>
          <w:tcPr>
            <w:tcW w:w="947"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32398</w:t>
            </w:r>
          </w:p>
        </w:tc>
        <w:tc>
          <w:tcPr>
            <w:tcW w:w="810"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55.54</w:t>
            </w:r>
          </w:p>
        </w:tc>
        <w:tc>
          <w:tcPr>
            <w:tcW w:w="113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28732</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32398</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55.54</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28732</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42845</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64,10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39767</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62,10</w:t>
            </w:r>
          </w:p>
        </w:tc>
      </w:tr>
      <w:tr w:rsidR="00737DE6" w:rsidRPr="00315335" w:rsidTr="00916B06">
        <w:tc>
          <w:tcPr>
            <w:tcW w:w="961"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Lemn</w:t>
            </w:r>
          </w:p>
        </w:tc>
        <w:tc>
          <w:tcPr>
            <w:tcW w:w="947"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102696</w:t>
            </w:r>
          </w:p>
        </w:tc>
        <w:tc>
          <w:tcPr>
            <w:tcW w:w="810"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42.83</w:t>
            </w:r>
          </w:p>
        </w:tc>
        <w:tc>
          <w:tcPr>
            <w:tcW w:w="113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73886</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102696</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42.83</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73886</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105520</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31,50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94465</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31,50</w:t>
            </w:r>
          </w:p>
        </w:tc>
      </w:tr>
      <w:tr w:rsidR="00737DE6" w:rsidRPr="00315335" w:rsidTr="00916B06">
        <w:tc>
          <w:tcPr>
            <w:tcW w:w="961"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Altele</w:t>
            </w:r>
          </w:p>
        </w:tc>
        <w:tc>
          <w:tcPr>
            <w:tcW w:w="947"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810"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0.00</w:t>
            </w:r>
          </w:p>
        </w:tc>
        <w:tc>
          <w:tcPr>
            <w:tcW w:w="113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0.00</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0.00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12</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38,70</w:t>
            </w:r>
          </w:p>
        </w:tc>
      </w:tr>
    </w:tbl>
    <w:p w:rsidR="00737DE6" w:rsidRPr="00315335" w:rsidRDefault="00737DE6" w:rsidP="00737DE6">
      <w:pPr>
        <w:spacing w:after="0" w:line="240" w:lineRule="auto"/>
        <w:rPr>
          <w:rFonts w:ascii="Arial" w:hAnsi="Arial" w:cs="Arial"/>
          <w:b/>
          <w:sz w:val="24"/>
          <w:szCs w:val="24"/>
        </w:rPr>
      </w:pPr>
    </w:p>
    <w:p w:rsidR="00737DE6" w:rsidRPr="00315335" w:rsidRDefault="00737DE6" w:rsidP="00737DE6">
      <w:pPr>
        <w:spacing w:after="0" w:line="240" w:lineRule="auto"/>
        <w:rPr>
          <w:rFonts w:ascii="Arial" w:hAnsi="Arial" w:cs="Arial"/>
          <w:sz w:val="24"/>
          <w:szCs w:val="24"/>
        </w:rPr>
      </w:pP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 xml:space="preserve">Tabel nr. VII.1.3.2.3  Deșeuri de ambalaje reciclate la nivel național </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1138"/>
        <w:gridCol w:w="945"/>
        <w:gridCol w:w="910"/>
        <w:gridCol w:w="945"/>
        <w:gridCol w:w="911"/>
        <w:gridCol w:w="946"/>
        <w:gridCol w:w="911"/>
        <w:gridCol w:w="946"/>
        <w:gridCol w:w="911"/>
        <w:gridCol w:w="947"/>
        <w:gridCol w:w="912"/>
      </w:tblGrid>
      <w:tr w:rsidR="00315335" w:rsidRPr="00315335" w:rsidTr="00916B06">
        <w:tc>
          <w:tcPr>
            <w:tcW w:w="962" w:type="dxa"/>
            <w:vMerge w:val="restart"/>
          </w:tcPr>
          <w:p w:rsidR="00737DE6" w:rsidRPr="00315335" w:rsidRDefault="00737DE6" w:rsidP="00916B06">
            <w:pPr>
              <w:spacing w:after="0" w:line="240" w:lineRule="auto"/>
              <w:rPr>
                <w:rFonts w:ascii="Arial" w:hAnsi="Arial" w:cs="Arial"/>
                <w:b/>
                <w:sz w:val="24"/>
                <w:szCs w:val="24"/>
              </w:rPr>
            </w:pPr>
            <w:r w:rsidRPr="00315335">
              <w:rPr>
                <w:rFonts w:ascii="Arial" w:hAnsi="Arial" w:cs="Arial"/>
                <w:b/>
                <w:sz w:val="24"/>
                <w:szCs w:val="24"/>
              </w:rPr>
              <w:t>Tip material</w:t>
            </w:r>
          </w:p>
        </w:tc>
        <w:tc>
          <w:tcPr>
            <w:tcW w:w="1924"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2012</w:t>
            </w:r>
          </w:p>
        </w:tc>
        <w:tc>
          <w:tcPr>
            <w:tcW w:w="1925"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2013</w:t>
            </w:r>
          </w:p>
        </w:tc>
        <w:tc>
          <w:tcPr>
            <w:tcW w:w="1926"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2014</w:t>
            </w:r>
          </w:p>
        </w:tc>
        <w:tc>
          <w:tcPr>
            <w:tcW w:w="1926"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2015</w:t>
            </w:r>
          </w:p>
        </w:tc>
        <w:tc>
          <w:tcPr>
            <w:tcW w:w="1928" w:type="dxa"/>
            <w:gridSpan w:val="2"/>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rPr>
              <w:t>2016</w:t>
            </w:r>
          </w:p>
        </w:tc>
      </w:tr>
      <w:tr w:rsidR="00315335" w:rsidRPr="00315335" w:rsidTr="00916B06">
        <w:tc>
          <w:tcPr>
            <w:tcW w:w="962" w:type="dxa"/>
            <w:vMerge/>
          </w:tcPr>
          <w:p w:rsidR="00737DE6" w:rsidRPr="00315335" w:rsidRDefault="00737DE6" w:rsidP="00916B06">
            <w:pPr>
              <w:spacing w:after="0" w:line="240" w:lineRule="auto"/>
              <w:rPr>
                <w:rFonts w:ascii="Arial" w:hAnsi="Arial" w:cs="Arial"/>
                <w:b/>
                <w:sz w:val="24"/>
                <w:szCs w:val="24"/>
              </w:rPr>
            </w:pPr>
          </w:p>
        </w:tc>
        <w:tc>
          <w:tcPr>
            <w:tcW w:w="962"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2"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 ]</w:t>
            </w:r>
          </w:p>
        </w:tc>
        <w:tc>
          <w:tcPr>
            <w:tcW w:w="962"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 ]</w:t>
            </w:r>
          </w:p>
        </w:tc>
        <w:tc>
          <w:tcPr>
            <w:tcW w:w="96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 ]</w:t>
            </w:r>
          </w:p>
        </w:tc>
        <w:tc>
          <w:tcPr>
            <w:tcW w:w="96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3"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 ]</w:t>
            </w:r>
          </w:p>
        </w:tc>
        <w:tc>
          <w:tcPr>
            <w:tcW w:w="964"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t ]</w:t>
            </w:r>
          </w:p>
        </w:tc>
        <w:tc>
          <w:tcPr>
            <w:tcW w:w="964" w:type="dxa"/>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b/>
                <w:sz w:val="24"/>
                <w:szCs w:val="24"/>
                <w:lang w:val="en-US"/>
              </w:rPr>
              <w:t>[</w:t>
            </w:r>
            <w:r w:rsidRPr="00315335">
              <w:rPr>
                <w:rFonts w:ascii="Arial" w:hAnsi="Arial" w:cs="Arial"/>
                <w:b/>
                <w:sz w:val="24"/>
                <w:szCs w:val="24"/>
              </w:rPr>
              <w:t xml:space="preserve"> % ]</w:t>
            </w:r>
          </w:p>
        </w:tc>
      </w:tr>
      <w:tr w:rsidR="00315335" w:rsidRPr="00315335" w:rsidTr="00916B06">
        <w:tc>
          <w:tcPr>
            <w:tcW w:w="962"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Sticlă</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106192</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66,26</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92088</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49,24</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106192</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66.26</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79874</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41,10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134646</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64,10</w:t>
            </w:r>
          </w:p>
        </w:tc>
      </w:tr>
      <w:tr w:rsidR="00315335" w:rsidRPr="00315335" w:rsidTr="00916B06">
        <w:tc>
          <w:tcPr>
            <w:tcW w:w="962"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Plastic</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152852</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51,29</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166279</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51,65</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152852</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51.29</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167554</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46,70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162351</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46,50</w:t>
            </w:r>
          </w:p>
        </w:tc>
      </w:tr>
      <w:tr w:rsidR="00315335" w:rsidRPr="00315335" w:rsidTr="00916B06">
        <w:tc>
          <w:tcPr>
            <w:tcW w:w="962"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Hârtie și carton</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211698</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69,84</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323767</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74,65</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211698</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69.84</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394300</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89,30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395378</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92,50</w:t>
            </w:r>
          </w:p>
        </w:tc>
      </w:tr>
      <w:tr w:rsidR="00315335" w:rsidRPr="00315335" w:rsidTr="00916B06">
        <w:tc>
          <w:tcPr>
            <w:tcW w:w="962"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Metal</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32398</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55,54</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36462</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52,81</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32398</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55.54</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42845</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64,10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39767</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62,10</w:t>
            </w:r>
          </w:p>
        </w:tc>
      </w:tr>
      <w:tr w:rsidR="00315335" w:rsidRPr="00315335" w:rsidTr="00916B06">
        <w:tc>
          <w:tcPr>
            <w:tcW w:w="962"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Lemn</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98660</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41,15</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77111</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28,92</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98660</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41.15</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96203</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28,80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82891</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27,60</w:t>
            </w:r>
          </w:p>
        </w:tc>
      </w:tr>
      <w:tr w:rsidR="00315335" w:rsidRPr="00315335" w:rsidTr="00916B06">
        <w:tc>
          <w:tcPr>
            <w:tcW w:w="962" w:type="dxa"/>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Altele</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0,00</w:t>
            </w:r>
          </w:p>
        </w:tc>
        <w:tc>
          <w:tcPr>
            <w:tcW w:w="962"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0,00</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0.00</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963"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0,00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w:t>
            </w:r>
          </w:p>
        </w:tc>
        <w:tc>
          <w:tcPr>
            <w:tcW w:w="964" w:type="dxa"/>
            <w:vAlign w:val="bottom"/>
          </w:tcPr>
          <w:p w:rsidR="00737DE6" w:rsidRPr="00315335" w:rsidRDefault="00737DE6" w:rsidP="00916B06">
            <w:pPr>
              <w:spacing w:after="0" w:line="240" w:lineRule="auto"/>
              <w:jc w:val="center"/>
              <w:rPr>
                <w:rFonts w:ascii="Arial" w:hAnsi="Arial" w:cs="Arial"/>
                <w:sz w:val="20"/>
                <w:szCs w:val="20"/>
              </w:rPr>
            </w:pPr>
            <w:r w:rsidRPr="00315335">
              <w:rPr>
                <w:rFonts w:ascii="Arial" w:hAnsi="Arial" w:cs="Arial"/>
                <w:sz w:val="20"/>
                <w:szCs w:val="20"/>
              </w:rPr>
              <w:t>0,00</w:t>
            </w:r>
          </w:p>
        </w:tc>
      </w:tr>
    </w:tbl>
    <w:p w:rsidR="00737DE6" w:rsidRPr="00315335" w:rsidRDefault="00737DE6" w:rsidP="00737DE6">
      <w:pPr>
        <w:spacing w:after="0" w:line="240" w:lineRule="auto"/>
        <w:rPr>
          <w:rFonts w:ascii="Arial" w:hAnsi="Arial" w:cs="Arial"/>
          <w:b/>
          <w:sz w:val="24"/>
          <w:szCs w:val="24"/>
        </w:rPr>
      </w:pPr>
    </w:p>
    <w:p w:rsidR="00737DE6" w:rsidRPr="00315335" w:rsidRDefault="00737DE6" w:rsidP="00737DE6">
      <w:pPr>
        <w:tabs>
          <w:tab w:val="left" w:leader="dot" w:pos="9356"/>
        </w:tabs>
        <w:spacing w:after="0" w:line="240" w:lineRule="auto"/>
        <w:rPr>
          <w:rFonts w:ascii="Arial" w:hAnsi="Arial" w:cs="Arial"/>
          <w:sz w:val="24"/>
          <w:szCs w:val="24"/>
        </w:rPr>
      </w:pPr>
      <w:r w:rsidRPr="00315335">
        <w:rPr>
          <w:rFonts w:ascii="Arial" w:hAnsi="Arial" w:cs="Arial"/>
          <w:sz w:val="24"/>
          <w:szCs w:val="24"/>
        </w:rPr>
        <w:t xml:space="preserve">    Tabel nr. VII.1.3.2.4   Modul cum au fost realizate obiectivele de reciclare și valorificare la nivel național-2016</w:t>
      </w:r>
    </w:p>
    <w:p w:rsidR="00737DE6" w:rsidRPr="00315335" w:rsidRDefault="00737DE6" w:rsidP="00737DE6">
      <w:pPr>
        <w:tabs>
          <w:tab w:val="left" w:leader="dot" w:pos="9356"/>
        </w:tabs>
        <w:spacing w:after="0" w:line="240" w:lineRule="auto"/>
        <w:rPr>
          <w:rFonts w:ascii="Arial" w:hAnsi="Arial" w:cs="Arial"/>
          <w:b/>
          <w:sz w:val="24"/>
          <w:szCs w:val="24"/>
        </w:rPr>
      </w:pP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2835"/>
        <w:gridCol w:w="3544"/>
      </w:tblGrid>
      <w:tr w:rsidR="00315335" w:rsidRPr="00315335" w:rsidTr="00D6778D">
        <w:trPr>
          <w:trHeight w:val="300"/>
          <w:jc w:val="center"/>
        </w:trPr>
        <w:tc>
          <w:tcPr>
            <w:tcW w:w="3132" w:type="dxa"/>
            <w:shd w:val="clear" w:color="000000" w:fill="FFFFFF"/>
            <w:noWrap/>
            <w:vAlign w:val="center"/>
            <w:hideMark/>
          </w:tcPr>
          <w:p w:rsidR="00737DE6" w:rsidRPr="00315335" w:rsidRDefault="00737DE6" w:rsidP="00916B06">
            <w:pPr>
              <w:spacing w:after="0" w:line="240" w:lineRule="auto"/>
              <w:rPr>
                <w:rFonts w:ascii="Arial" w:hAnsi="Arial" w:cs="Arial"/>
                <w:bCs/>
                <w:sz w:val="24"/>
                <w:szCs w:val="24"/>
              </w:rPr>
            </w:pPr>
            <w:r w:rsidRPr="00315335">
              <w:rPr>
                <w:rFonts w:ascii="Arial" w:hAnsi="Arial" w:cs="Arial"/>
                <w:bCs/>
                <w:sz w:val="24"/>
                <w:szCs w:val="24"/>
              </w:rPr>
              <w:t>Material</w:t>
            </w:r>
          </w:p>
        </w:tc>
        <w:tc>
          <w:tcPr>
            <w:tcW w:w="2835" w:type="dxa"/>
            <w:shd w:val="clear" w:color="000000" w:fill="FFFFFF"/>
            <w:noWrap/>
            <w:vAlign w:val="center"/>
            <w:hideMark/>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Reciclare</w:t>
            </w:r>
          </w:p>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w:t>
            </w:r>
          </w:p>
        </w:tc>
        <w:tc>
          <w:tcPr>
            <w:tcW w:w="3544" w:type="dxa"/>
            <w:shd w:val="clear" w:color="000000" w:fill="FFFFFF"/>
            <w:noWrap/>
            <w:vAlign w:val="center"/>
            <w:hideMark/>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Valorificare</w:t>
            </w:r>
          </w:p>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w:t>
            </w:r>
          </w:p>
        </w:tc>
      </w:tr>
      <w:tr w:rsidR="00315335" w:rsidRPr="00315335" w:rsidTr="00D6778D">
        <w:trPr>
          <w:trHeight w:val="300"/>
          <w:jc w:val="center"/>
        </w:trPr>
        <w:tc>
          <w:tcPr>
            <w:tcW w:w="3132" w:type="dxa"/>
            <w:shd w:val="clear" w:color="000000" w:fill="FFFFFF"/>
            <w:noWrap/>
            <w:vAlign w:val="center"/>
            <w:hideMark/>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Sticla</w:t>
            </w:r>
          </w:p>
        </w:tc>
        <w:tc>
          <w:tcPr>
            <w:tcW w:w="2835" w:type="dxa"/>
            <w:shd w:val="clear" w:color="000000" w:fill="FFFFFF"/>
            <w:noWrap/>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64,10</w:t>
            </w:r>
          </w:p>
        </w:tc>
        <w:tc>
          <w:tcPr>
            <w:tcW w:w="3544" w:type="dxa"/>
            <w:shd w:val="clear" w:color="000000" w:fill="FFFFFF"/>
            <w:noWrap/>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64,10</w:t>
            </w:r>
          </w:p>
        </w:tc>
      </w:tr>
      <w:tr w:rsidR="00315335" w:rsidRPr="00315335" w:rsidTr="00D6778D">
        <w:trPr>
          <w:trHeight w:val="300"/>
          <w:jc w:val="center"/>
        </w:trPr>
        <w:tc>
          <w:tcPr>
            <w:tcW w:w="3132" w:type="dxa"/>
            <w:shd w:val="clear" w:color="000000" w:fill="FFFFFF"/>
            <w:noWrap/>
            <w:vAlign w:val="center"/>
            <w:hideMark/>
          </w:tcPr>
          <w:p w:rsidR="00737DE6" w:rsidRPr="00315335" w:rsidRDefault="00737DE6" w:rsidP="00916B06">
            <w:pPr>
              <w:spacing w:after="0" w:line="240" w:lineRule="auto"/>
              <w:rPr>
                <w:rFonts w:ascii="Arial" w:hAnsi="Arial" w:cs="Arial"/>
                <w:bCs/>
                <w:sz w:val="24"/>
                <w:szCs w:val="24"/>
              </w:rPr>
            </w:pPr>
            <w:r w:rsidRPr="00315335">
              <w:rPr>
                <w:rFonts w:ascii="Arial" w:hAnsi="Arial" w:cs="Arial"/>
                <w:bCs/>
                <w:sz w:val="24"/>
                <w:szCs w:val="24"/>
              </w:rPr>
              <w:t>Plastic</w:t>
            </w:r>
          </w:p>
        </w:tc>
        <w:tc>
          <w:tcPr>
            <w:tcW w:w="2835" w:type="dxa"/>
            <w:shd w:val="clear" w:color="000000" w:fill="FFFFFF"/>
            <w:noWrap/>
            <w:vAlign w:val="center"/>
            <w:hideMark/>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46,50</w:t>
            </w:r>
          </w:p>
        </w:tc>
        <w:tc>
          <w:tcPr>
            <w:tcW w:w="3544" w:type="dxa"/>
            <w:shd w:val="clear" w:color="000000" w:fill="FFFFFF"/>
            <w:noWrap/>
            <w:vAlign w:val="center"/>
            <w:hideMark/>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49,9</w:t>
            </w:r>
          </w:p>
        </w:tc>
      </w:tr>
      <w:tr w:rsidR="00315335" w:rsidRPr="00315335" w:rsidTr="00D6778D">
        <w:trPr>
          <w:trHeight w:val="300"/>
          <w:jc w:val="center"/>
        </w:trPr>
        <w:tc>
          <w:tcPr>
            <w:tcW w:w="3132" w:type="dxa"/>
            <w:shd w:val="clear" w:color="000000" w:fill="FFFFFF"/>
            <w:noWrap/>
            <w:vAlign w:val="center"/>
            <w:hideMark/>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Hartie și carton</w:t>
            </w:r>
          </w:p>
        </w:tc>
        <w:tc>
          <w:tcPr>
            <w:tcW w:w="2835" w:type="dxa"/>
            <w:shd w:val="clear" w:color="000000" w:fill="FFFFFF"/>
            <w:noWrap/>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62,10</w:t>
            </w:r>
          </w:p>
        </w:tc>
        <w:tc>
          <w:tcPr>
            <w:tcW w:w="3544" w:type="dxa"/>
            <w:shd w:val="clear" w:color="000000" w:fill="FFFFFF"/>
            <w:noWrap/>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93,20</w:t>
            </w:r>
          </w:p>
        </w:tc>
      </w:tr>
      <w:tr w:rsidR="00315335" w:rsidRPr="00315335" w:rsidTr="00D6778D">
        <w:trPr>
          <w:trHeight w:val="300"/>
          <w:jc w:val="center"/>
        </w:trPr>
        <w:tc>
          <w:tcPr>
            <w:tcW w:w="3132" w:type="dxa"/>
            <w:shd w:val="clear" w:color="000000" w:fill="FFFFFF"/>
            <w:noWrap/>
            <w:vAlign w:val="center"/>
            <w:hideMark/>
          </w:tcPr>
          <w:p w:rsidR="00737DE6" w:rsidRPr="00315335" w:rsidRDefault="00737DE6" w:rsidP="00916B06">
            <w:pPr>
              <w:spacing w:after="0" w:line="240" w:lineRule="auto"/>
              <w:rPr>
                <w:rFonts w:ascii="Arial" w:hAnsi="Arial" w:cs="Arial"/>
                <w:bCs/>
                <w:sz w:val="24"/>
                <w:szCs w:val="24"/>
              </w:rPr>
            </w:pPr>
            <w:r w:rsidRPr="00315335">
              <w:rPr>
                <w:rFonts w:ascii="Arial" w:hAnsi="Arial" w:cs="Arial"/>
                <w:bCs/>
                <w:sz w:val="24"/>
                <w:szCs w:val="24"/>
              </w:rPr>
              <w:t>Metal</w:t>
            </w:r>
          </w:p>
        </w:tc>
        <w:tc>
          <w:tcPr>
            <w:tcW w:w="2835" w:type="dxa"/>
            <w:shd w:val="clear" w:color="000000" w:fill="FFFFFF"/>
            <w:noWrap/>
            <w:vAlign w:val="center"/>
            <w:hideMark/>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62,10</w:t>
            </w:r>
          </w:p>
        </w:tc>
        <w:tc>
          <w:tcPr>
            <w:tcW w:w="3544" w:type="dxa"/>
            <w:shd w:val="clear" w:color="000000" w:fill="FFFFFF"/>
            <w:noWrap/>
            <w:vAlign w:val="center"/>
            <w:hideMark/>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62,10</w:t>
            </w:r>
          </w:p>
        </w:tc>
      </w:tr>
      <w:tr w:rsidR="00315335" w:rsidRPr="00315335" w:rsidTr="00D6778D">
        <w:trPr>
          <w:trHeight w:val="300"/>
          <w:jc w:val="center"/>
        </w:trPr>
        <w:tc>
          <w:tcPr>
            <w:tcW w:w="3132" w:type="dxa"/>
            <w:shd w:val="clear" w:color="000000" w:fill="FFFFFF"/>
            <w:noWrap/>
            <w:vAlign w:val="center"/>
            <w:hideMark/>
          </w:tcPr>
          <w:p w:rsidR="00737DE6" w:rsidRPr="00315335" w:rsidRDefault="00737DE6" w:rsidP="00916B06">
            <w:pPr>
              <w:spacing w:after="0" w:line="240" w:lineRule="auto"/>
              <w:rPr>
                <w:rFonts w:ascii="Arial" w:hAnsi="Arial" w:cs="Arial"/>
                <w:sz w:val="24"/>
                <w:szCs w:val="24"/>
              </w:rPr>
            </w:pPr>
            <w:r w:rsidRPr="00315335">
              <w:rPr>
                <w:rFonts w:ascii="Arial" w:hAnsi="Arial" w:cs="Arial"/>
                <w:sz w:val="24"/>
                <w:szCs w:val="24"/>
              </w:rPr>
              <w:t>Lemn</w:t>
            </w:r>
          </w:p>
        </w:tc>
        <w:tc>
          <w:tcPr>
            <w:tcW w:w="2835" w:type="dxa"/>
            <w:shd w:val="clear" w:color="000000" w:fill="FFFFFF"/>
            <w:noWrap/>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27,6</w:t>
            </w:r>
          </w:p>
        </w:tc>
        <w:tc>
          <w:tcPr>
            <w:tcW w:w="3544" w:type="dxa"/>
            <w:shd w:val="clear" w:color="000000" w:fill="FFFFFF"/>
            <w:noWrap/>
            <w:vAlign w:val="center"/>
            <w:hideMark/>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31,50</w:t>
            </w:r>
          </w:p>
        </w:tc>
      </w:tr>
      <w:tr w:rsidR="00315335" w:rsidRPr="00315335" w:rsidTr="00D6778D">
        <w:trPr>
          <w:trHeight w:val="300"/>
          <w:jc w:val="center"/>
        </w:trPr>
        <w:tc>
          <w:tcPr>
            <w:tcW w:w="3132" w:type="dxa"/>
            <w:shd w:val="clear" w:color="000000" w:fill="FFFFFF"/>
            <w:noWrap/>
            <w:vAlign w:val="center"/>
            <w:hideMark/>
          </w:tcPr>
          <w:p w:rsidR="00737DE6" w:rsidRPr="00315335" w:rsidRDefault="00737DE6" w:rsidP="00916B06">
            <w:pPr>
              <w:spacing w:after="0" w:line="240" w:lineRule="auto"/>
              <w:rPr>
                <w:rFonts w:ascii="Arial" w:hAnsi="Arial" w:cs="Arial"/>
                <w:bCs/>
                <w:sz w:val="24"/>
                <w:szCs w:val="24"/>
              </w:rPr>
            </w:pPr>
            <w:r w:rsidRPr="00315335">
              <w:rPr>
                <w:rFonts w:ascii="Arial" w:hAnsi="Arial" w:cs="Arial"/>
                <w:bCs/>
                <w:sz w:val="24"/>
                <w:szCs w:val="24"/>
              </w:rPr>
              <w:t>Total General</w:t>
            </w:r>
          </w:p>
        </w:tc>
        <w:tc>
          <w:tcPr>
            <w:tcW w:w="2835" w:type="dxa"/>
            <w:shd w:val="clear" w:color="000000" w:fill="FFFFFF"/>
            <w:noWrap/>
            <w:vAlign w:val="center"/>
            <w:hideMark/>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60,37</w:t>
            </w:r>
          </w:p>
        </w:tc>
        <w:tc>
          <w:tcPr>
            <w:tcW w:w="3544" w:type="dxa"/>
            <w:shd w:val="clear" w:color="000000" w:fill="FFFFFF"/>
            <w:noWrap/>
            <w:vAlign w:val="center"/>
            <w:hideMark/>
          </w:tcPr>
          <w:p w:rsidR="00737DE6" w:rsidRPr="00315335" w:rsidRDefault="00737DE6" w:rsidP="00916B06">
            <w:pPr>
              <w:spacing w:after="0" w:line="240" w:lineRule="auto"/>
              <w:jc w:val="center"/>
              <w:rPr>
                <w:rFonts w:ascii="Arial" w:hAnsi="Arial" w:cs="Arial"/>
                <w:bCs/>
                <w:sz w:val="24"/>
                <w:szCs w:val="24"/>
              </w:rPr>
            </w:pPr>
            <w:r w:rsidRPr="00315335">
              <w:rPr>
                <w:rFonts w:ascii="Arial" w:hAnsi="Arial" w:cs="Arial"/>
                <w:bCs/>
                <w:sz w:val="24"/>
                <w:szCs w:val="24"/>
              </w:rPr>
              <w:t>62,30</w:t>
            </w:r>
          </w:p>
        </w:tc>
      </w:tr>
    </w:tbl>
    <w:p w:rsidR="00737DE6" w:rsidRPr="00315335" w:rsidRDefault="00737DE6" w:rsidP="00737DE6">
      <w:pPr>
        <w:tabs>
          <w:tab w:val="left" w:leader="dot" w:pos="9356"/>
        </w:tabs>
        <w:spacing w:after="0" w:line="240" w:lineRule="auto"/>
        <w:rPr>
          <w:rFonts w:ascii="Arial" w:hAnsi="Arial" w:cs="Arial"/>
          <w:b/>
          <w:sz w:val="24"/>
          <w:szCs w:val="24"/>
        </w:rPr>
      </w:pPr>
    </w:p>
    <w:p w:rsidR="00737DE6" w:rsidRPr="00315335" w:rsidRDefault="00737DE6" w:rsidP="00737DE6">
      <w:pPr>
        <w:tabs>
          <w:tab w:val="left" w:leader="dot" w:pos="9356"/>
        </w:tabs>
        <w:spacing w:after="0" w:line="240" w:lineRule="auto"/>
        <w:rPr>
          <w:rFonts w:ascii="Arial" w:hAnsi="Arial" w:cs="Arial"/>
          <w:b/>
          <w:i/>
          <w:sz w:val="24"/>
          <w:szCs w:val="24"/>
        </w:rPr>
      </w:pPr>
      <w:r w:rsidRPr="00315335">
        <w:rPr>
          <w:rFonts w:ascii="Arial" w:hAnsi="Arial" w:cs="Arial"/>
          <w:b/>
          <w:sz w:val="24"/>
          <w:szCs w:val="24"/>
        </w:rPr>
        <w:t xml:space="preserve">VII.1.3.3. </w:t>
      </w:r>
      <w:r w:rsidRPr="00315335">
        <w:rPr>
          <w:rFonts w:ascii="Arial" w:hAnsi="Arial" w:cs="Arial"/>
          <w:b/>
          <w:i/>
          <w:sz w:val="24"/>
          <w:szCs w:val="24"/>
        </w:rPr>
        <w:t xml:space="preserve">Vehicule scoase din uz (VSU) </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 xml:space="preserve">Gestiunea rațională a vehiculelor scoase din uz (VSU) prezintă o importanță majoră, deoarece autoturismele conţin materiale care au în compoziție plumb, mercur, cadmiu, crom hexavalent şi alte substanţe nocive asupra mediului. Aproximativ trei sferturi din greutatea unei </w:t>
      </w:r>
      <w:r w:rsidRPr="00315335">
        <w:rPr>
          <w:rFonts w:ascii="Arial" w:hAnsi="Arial" w:cs="Arial"/>
          <w:sz w:val="24"/>
          <w:szCs w:val="24"/>
        </w:rPr>
        <w:lastRenderedPageBreak/>
        <w:t>maşini este reprezentată de oţel şi aluminiu, care în mod normal trebuie reciclate. Restul este reprezentat de materiale plastice care sunt eliminate prin incinerare sau în depozitele de deşeuri. De asemenea autovehiculele conţin substanţe lichide periculoase (antigel, lichid de frână, ulei, etc), care sunt nocive pentru mediu dacă nu sunt manipulate în mod corespunzător.</w:t>
      </w:r>
      <w:r w:rsidRPr="00315335">
        <w:rPr>
          <w:rFonts w:ascii="Arial" w:hAnsi="Arial" w:cs="Arial"/>
          <w:sz w:val="24"/>
          <w:szCs w:val="24"/>
          <w:highlight w:val="yellow"/>
        </w:rPr>
        <w:t xml:space="preserve"> </w:t>
      </w:r>
      <w:r w:rsidRPr="00315335">
        <w:rPr>
          <w:rFonts w:ascii="Arial" w:hAnsi="Arial" w:cs="Arial"/>
          <w:sz w:val="24"/>
          <w:szCs w:val="24"/>
        </w:rPr>
        <w:t>Este de aşteptat ca numărul de vehicule scoase din uz să crească în mod semnificativ odată cu creșterea numărului de mașini înmatriculate în România.</w:t>
      </w:r>
    </w:p>
    <w:p w:rsidR="00737DE6" w:rsidRPr="00315335" w:rsidRDefault="00737DE6" w:rsidP="00737DE6">
      <w:pPr>
        <w:autoSpaceDE w:val="0"/>
        <w:autoSpaceDN w:val="0"/>
        <w:adjustRightInd w:val="0"/>
        <w:spacing w:after="0" w:line="240" w:lineRule="auto"/>
        <w:ind w:firstLine="735"/>
        <w:jc w:val="both"/>
        <w:rPr>
          <w:rFonts w:ascii="Arial" w:hAnsi="Arial" w:cs="Arial"/>
          <w:b/>
          <w:sz w:val="24"/>
          <w:szCs w:val="24"/>
        </w:rPr>
      </w:pPr>
    </w:p>
    <w:p w:rsidR="00737DE6" w:rsidRPr="00315335" w:rsidRDefault="00737DE6" w:rsidP="00737DE6">
      <w:pPr>
        <w:autoSpaceDE w:val="0"/>
        <w:autoSpaceDN w:val="0"/>
        <w:adjustRightInd w:val="0"/>
        <w:spacing w:after="0" w:line="240" w:lineRule="auto"/>
        <w:ind w:firstLine="735"/>
        <w:jc w:val="both"/>
        <w:rPr>
          <w:rFonts w:ascii="Arial" w:hAnsi="Arial" w:cs="Arial"/>
          <w:b/>
          <w:sz w:val="24"/>
          <w:szCs w:val="24"/>
        </w:rPr>
      </w:pPr>
      <w:r w:rsidRPr="00315335">
        <w:rPr>
          <w:rFonts w:ascii="Arial" w:hAnsi="Arial" w:cs="Arial"/>
          <w:b/>
          <w:sz w:val="24"/>
          <w:szCs w:val="24"/>
        </w:rPr>
        <w:t xml:space="preserve">Contextul politicilor relevante de mediu: tinte si obiective </w:t>
      </w:r>
    </w:p>
    <w:p w:rsidR="00737DE6" w:rsidRPr="00315335" w:rsidRDefault="00737DE6" w:rsidP="00737DE6">
      <w:pPr>
        <w:autoSpaceDE w:val="0"/>
        <w:autoSpaceDN w:val="0"/>
        <w:adjustRightInd w:val="0"/>
        <w:spacing w:after="0" w:line="240" w:lineRule="auto"/>
        <w:ind w:firstLine="735"/>
        <w:jc w:val="both"/>
        <w:rPr>
          <w:rFonts w:ascii="Arial" w:hAnsi="Arial" w:cs="Arial"/>
          <w:b/>
          <w:sz w:val="24"/>
          <w:szCs w:val="24"/>
        </w:rPr>
      </w:pPr>
      <w:r w:rsidRPr="00315335">
        <w:rPr>
          <w:rFonts w:ascii="Arial" w:hAnsi="Arial" w:cs="Arial"/>
          <w:bCs/>
          <w:sz w:val="24"/>
          <w:szCs w:val="24"/>
        </w:rPr>
        <w:t xml:space="preserve">Legea nr. 212/2015 privind modalitatea de gestionare a vehiculelor şi a vehiculelor scoase din uz </w:t>
      </w:r>
      <w:r w:rsidRPr="00315335">
        <w:rPr>
          <w:rFonts w:ascii="Arial" w:hAnsi="Arial" w:cs="Arial"/>
          <w:sz w:val="24"/>
          <w:szCs w:val="24"/>
        </w:rPr>
        <w:t xml:space="preserve">este actul normativ prin care a fost transpusă în legislația națională Directiva 2000/53/CE privind vehiculele scoase din uz, care: </w:t>
      </w:r>
    </w:p>
    <w:p w:rsidR="00737DE6" w:rsidRPr="00315335" w:rsidRDefault="00737DE6" w:rsidP="0010044C">
      <w:pPr>
        <w:pStyle w:val="Listparagraf"/>
        <w:numPr>
          <w:ilvl w:val="0"/>
          <w:numId w:val="64"/>
        </w:numPr>
        <w:autoSpaceDE w:val="0"/>
        <w:autoSpaceDN w:val="0"/>
        <w:adjustRightInd w:val="0"/>
        <w:jc w:val="both"/>
        <w:rPr>
          <w:rFonts w:ascii="Arial" w:hAnsi="Arial" w:cs="Arial"/>
          <w:b/>
        </w:rPr>
      </w:pPr>
      <w:r w:rsidRPr="00315335">
        <w:rPr>
          <w:rFonts w:ascii="Arial" w:hAnsi="Arial" w:cs="Arial"/>
        </w:rPr>
        <w:t xml:space="preserve">reglementează măsurile de prevenire a producerii de deşeuri provenite de la vehiculele scoase din uz şi reutilizarea, reciclarea, precum şi alte forme de valorificare a vehiculelor scoase din uz şi a componentelor acestora, în vederea reducerii cantităţii de deşeuri destinate eliminării. </w:t>
      </w:r>
    </w:p>
    <w:p w:rsidR="00737DE6" w:rsidRPr="00315335" w:rsidRDefault="00737DE6" w:rsidP="0010044C">
      <w:pPr>
        <w:pStyle w:val="Listparagraf"/>
        <w:numPr>
          <w:ilvl w:val="0"/>
          <w:numId w:val="64"/>
        </w:numPr>
        <w:autoSpaceDE w:val="0"/>
        <w:autoSpaceDN w:val="0"/>
        <w:adjustRightInd w:val="0"/>
        <w:jc w:val="both"/>
        <w:rPr>
          <w:rFonts w:ascii="Arial" w:hAnsi="Arial" w:cs="Arial"/>
          <w:b/>
        </w:rPr>
      </w:pPr>
      <w:r w:rsidRPr="00315335">
        <w:rPr>
          <w:rFonts w:ascii="Arial" w:hAnsi="Arial" w:cs="Arial"/>
        </w:rPr>
        <w:t xml:space="preserve">stabileşte măsuri pentru îmbunătăţirea din punct de vedere al protecţiei mediului a activităţilor agenţilor economici implicaţi în ciclul de viaţă al vehiculelor şi, în special, ale operatorilor direct implicaţi în tratarea vehiculelor scoase din uz. </w:t>
      </w:r>
    </w:p>
    <w:p w:rsidR="00737DE6" w:rsidRPr="00315335" w:rsidRDefault="00737DE6" w:rsidP="0010044C">
      <w:pPr>
        <w:pStyle w:val="Listparagraf"/>
        <w:numPr>
          <w:ilvl w:val="0"/>
          <w:numId w:val="64"/>
        </w:numPr>
        <w:autoSpaceDE w:val="0"/>
        <w:autoSpaceDN w:val="0"/>
        <w:adjustRightInd w:val="0"/>
        <w:jc w:val="both"/>
        <w:rPr>
          <w:rFonts w:ascii="Arial" w:hAnsi="Arial" w:cs="Arial"/>
          <w:b/>
        </w:rPr>
      </w:pPr>
      <w:r w:rsidRPr="00315335">
        <w:rPr>
          <w:rFonts w:ascii="Arial" w:hAnsi="Arial" w:cs="Arial"/>
        </w:rPr>
        <w:t xml:space="preserve">se aplică cu respectarea legislaţiei naţionale privind standardele de siguranţă, emisiile în atmosferă şi nivelul emisiilor de zgomot, precum şi cele referitoare la protecţia solului şi a apei. </w:t>
      </w:r>
    </w:p>
    <w:p w:rsidR="00737DE6" w:rsidRPr="00315335" w:rsidRDefault="00737DE6" w:rsidP="0010044C">
      <w:pPr>
        <w:pStyle w:val="Listparagraf"/>
        <w:numPr>
          <w:ilvl w:val="0"/>
          <w:numId w:val="64"/>
        </w:numPr>
        <w:autoSpaceDE w:val="0"/>
        <w:autoSpaceDN w:val="0"/>
        <w:adjustRightInd w:val="0"/>
        <w:jc w:val="both"/>
        <w:rPr>
          <w:rFonts w:ascii="Arial" w:hAnsi="Arial" w:cs="Arial"/>
          <w:b/>
        </w:rPr>
      </w:pPr>
      <w:r w:rsidRPr="00315335">
        <w:rPr>
          <w:rFonts w:ascii="Arial" w:hAnsi="Arial" w:cs="Arial"/>
        </w:rPr>
        <w:t>se aplică vehiculelor scoase din uz, inclusiv componentelor şi materialelor acestora, fără a se ţine seama de modul în care vehiculul a fost întreţinut sau reparat pe toată durata utilizării acestuia şi indiferent dacă acesta este echipat cu componente furnizate de producător sau cu alte componente a căror montare ca piese de schimb sau ca piese de înlocuire se realizează respectându-se reglementările naţionale în domeniu.</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Există o reţea de companii comerciale, care desfăşoară operaţiuni de colectare și tratare (dezmembrare, valorificare , eliminare) a VSU. La primirea vehiculului uzat, operatorul economic eliberează certificatul de distrugere pe baza căruia se realizează radierea vehiculului, precum şi o notă în care se menţionează părţile componente lipsă. </w:t>
      </w:r>
    </w:p>
    <w:p w:rsidR="00737DE6" w:rsidRPr="00315335" w:rsidRDefault="00737DE6" w:rsidP="00737DE6">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ab/>
        <w:t>Numărul de vehicule scoase din uz  tratate în totalitate în anul 2016 în județul Brăila a fost de 477 unităţi (tabel nr. VII.1.3.3.-1) din 577 colectate.</w:t>
      </w:r>
    </w:p>
    <w:p w:rsidR="00737DE6" w:rsidRPr="00315335" w:rsidRDefault="00737DE6" w:rsidP="00737DE6">
      <w:pPr>
        <w:autoSpaceDE w:val="0"/>
        <w:autoSpaceDN w:val="0"/>
        <w:adjustRightInd w:val="0"/>
        <w:spacing w:after="0" w:line="240" w:lineRule="auto"/>
        <w:jc w:val="both"/>
        <w:rPr>
          <w:rFonts w:ascii="Arial" w:hAnsi="Arial" w:cs="Arial"/>
          <w:b/>
          <w:sz w:val="24"/>
          <w:szCs w:val="24"/>
        </w:rPr>
      </w:pPr>
    </w:p>
    <w:p w:rsidR="00737DE6" w:rsidRPr="00315335" w:rsidRDefault="00737DE6" w:rsidP="00737DE6">
      <w:pPr>
        <w:spacing w:after="0" w:line="240" w:lineRule="auto"/>
        <w:jc w:val="both"/>
        <w:rPr>
          <w:rFonts w:ascii="Arial" w:hAnsi="Arial" w:cs="Arial"/>
          <w:b/>
          <w:sz w:val="24"/>
          <w:szCs w:val="24"/>
        </w:rPr>
      </w:pPr>
      <w:r w:rsidRPr="00315335">
        <w:rPr>
          <w:rFonts w:ascii="Arial" w:hAnsi="Arial" w:cs="Arial"/>
          <w:sz w:val="24"/>
          <w:szCs w:val="24"/>
        </w:rPr>
        <w:t>Tabel nr. VII.1.3.3.-1 VSU colectate si tratate in perioada 2006-2016 in judetul Brăila</w:t>
      </w:r>
    </w:p>
    <w:tbl>
      <w:tblPr>
        <w:tblW w:w="10495" w:type="dxa"/>
        <w:tblInd w:w="103" w:type="dxa"/>
        <w:tblLook w:val="04A0" w:firstRow="1" w:lastRow="0" w:firstColumn="1" w:lastColumn="0" w:noHBand="0" w:noVBand="1"/>
      </w:tblPr>
      <w:tblGrid>
        <w:gridCol w:w="1410"/>
        <w:gridCol w:w="844"/>
        <w:gridCol w:w="750"/>
        <w:gridCol w:w="804"/>
        <w:gridCol w:w="844"/>
        <w:gridCol w:w="750"/>
        <w:gridCol w:w="803"/>
        <w:gridCol w:w="845"/>
        <w:gridCol w:w="844"/>
        <w:gridCol w:w="845"/>
        <w:gridCol w:w="844"/>
        <w:gridCol w:w="912"/>
      </w:tblGrid>
      <w:tr w:rsidR="00315335" w:rsidRPr="00315335" w:rsidTr="00916B06">
        <w:trPr>
          <w:trHeight w:val="300"/>
        </w:trPr>
        <w:tc>
          <w:tcPr>
            <w:tcW w:w="141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 Anul</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2006</w:t>
            </w:r>
          </w:p>
        </w:tc>
        <w:tc>
          <w:tcPr>
            <w:tcW w:w="745"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2007</w:t>
            </w:r>
          </w:p>
        </w:tc>
        <w:tc>
          <w:tcPr>
            <w:tcW w:w="804"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2008</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2009</w:t>
            </w:r>
          </w:p>
        </w:tc>
        <w:tc>
          <w:tcPr>
            <w:tcW w:w="745"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2010</w:t>
            </w:r>
          </w:p>
        </w:tc>
        <w:tc>
          <w:tcPr>
            <w:tcW w:w="803"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2011</w:t>
            </w:r>
          </w:p>
        </w:tc>
        <w:tc>
          <w:tcPr>
            <w:tcW w:w="845"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2012</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2013</w:t>
            </w:r>
          </w:p>
        </w:tc>
        <w:tc>
          <w:tcPr>
            <w:tcW w:w="845"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2014</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2015</w:t>
            </w:r>
          </w:p>
        </w:tc>
        <w:tc>
          <w:tcPr>
            <w:tcW w:w="922" w:type="dxa"/>
            <w:tcBorders>
              <w:top w:val="single" w:sz="4" w:space="0" w:color="auto"/>
              <w:left w:val="nil"/>
              <w:bottom w:val="single" w:sz="4" w:space="0" w:color="auto"/>
              <w:right w:val="single" w:sz="4" w:space="0" w:color="auto"/>
            </w:tcBorders>
            <w:shd w:val="clear" w:color="auto" w:fill="BFBFBF"/>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2016</w:t>
            </w:r>
          </w:p>
        </w:tc>
      </w:tr>
      <w:tr w:rsidR="00315335" w:rsidRPr="00315335" w:rsidTr="00916B06">
        <w:trPr>
          <w:trHeight w:val="600"/>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 xml:space="preserve">VSU colectate si tratate </w:t>
            </w:r>
          </w:p>
        </w:tc>
        <w:tc>
          <w:tcPr>
            <w:tcW w:w="844"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238</w:t>
            </w:r>
          </w:p>
        </w:tc>
        <w:tc>
          <w:tcPr>
            <w:tcW w:w="745"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391</w:t>
            </w:r>
          </w:p>
        </w:tc>
        <w:tc>
          <w:tcPr>
            <w:tcW w:w="804"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508</w:t>
            </w:r>
          </w:p>
        </w:tc>
        <w:tc>
          <w:tcPr>
            <w:tcW w:w="844"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485</w:t>
            </w:r>
          </w:p>
        </w:tc>
        <w:tc>
          <w:tcPr>
            <w:tcW w:w="745"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2376</w:t>
            </w:r>
          </w:p>
        </w:tc>
        <w:tc>
          <w:tcPr>
            <w:tcW w:w="803"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1838</w:t>
            </w:r>
          </w:p>
        </w:tc>
        <w:tc>
          <w:tcPr>
            <w:tcW w:w="845"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607</w:t>
            </w:r>
          </w:p>
        </w:tc>
        <w:tc>
          <w:tcPr>
            <w:tcW w:w="844"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98</w:t>
            </w:r>
          </w:p>
        </w:tc>
        <w:tc>
          <w:tcPr>
            <w:tcW w:w="845"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290</w:t>
            </w:r>
          </w:p>
        </w:tc>
        <w:tc>
          <w:tcPr>
            <w:tcW w:w="844" w:type="dxa"/>
            <w:tcBorders>
              <w:top w:val="nil"/>
              <w:left w:val="nil"/>
              <w:bottom w:val="single" w:sz="4" w:space="0" w:color="auto"/>
              <w:right w:val="single" w:sz="4" w:space="0" w:color="auto"/>
            </w:tcBorders>
            <w:shd w:val="clear" w:color="auto" w:fill="auto"/>
            <w:noWrap/>
            <w:vAlign w:val="center"/>
            <w:hideMark/>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534</w:t>
            </w:r>
          </w:p>
        </w:tc>
        <w:tc>
          <w:tcPr>
            <w:tcW w:w="922" w:type="dxa"/>
            <w:tcBorders>
              <w:top w:val="nil"/>
              <w:left w:val="nil"/>
              <w:bottom w:val="single" w:sz="4" w:space="0" w:color="auto"/>
              <w:right w:val="single" w:sz="4" w:space="0" w:color="auto"/>
            </w:tcBorders>
          </w:tcPr>
          <w:p w:rsidR="00737DE6" w:rsidRPr="00315335" w:rsidRDefault="00737DE6" w:rsidP="00916B06">
            <w:pPr>
              <w:spacing w:after="0" w:line="240" w:lineRule="auto"/>
              <w:jc w:val="center"/>
              <w:rPr>
                <w:rFonts w:ascii="Arial" w:hAnsi="Arial" w:cs="Arial"/>
                <w:sz w:val="24"/>
                <w:szCs w:val="24"/>
              </w:rPr>
            </w:pPr>
          </w:p>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577</w:t>
            </w:r>
          </w:p>
        </w:tc>
      </w:tr>
    </w:tbl>
    <w:p w:rsidR="00737DE6" w:rsidRPr="00315335" w:rsidRDefault="00737DE6" w:rsidP="00737DE6">
      <w:pPr>
        <w:spacing w:after="0" w:line="240" w:lineRule="auto"/>
        <w:jc w:val="both"/>
        <w:rPr>
          <w:rFonts w:ascii="Arial" w:hAnsi="Arial" w:cs="Arial"/>
          <w:b/>
          <w:sz w:val="24"/>
          <w:szCs w:val="24"/>
        </w:rPr>
      </w:pPr>
    </w:p>
    <w:p w:rsidR="00737DE6" w:rsidRPr="00315335" w:rsidRDefault="00737DE6" w:rsidP="00737DE6">
      <w:pPr>
        <w:spacing w:after="0" w:line="240" w:lineRule="auto"/>
        <w:jc w:val="center"/>
        <w:rPr>
          <w:rFonts w:ascii="Arial" w:hAnsi="Arial" w:cs="Arial"/>
          <w:sz w:val="24"/>
          <w:szCs w:val="24"/>
        </w:rPr>
      </w:pPr>
      <w:r w:rsidRPr="00315335">
        <w:rPr>
          <w:rFonts w:ascii="Arial" w:hAnsi="Arial" w:cs="Arial"/>
          <w:sz w:val="24"/>
          <w:szCs w:val="24"/>
        </w:rPr>
        <w:t xml:space="preserve">Figura VII.1.3.3.-1 VSU colectate </w:t>
      </w:r>
      <w:r w:rsidR="00D6778D">
        <w:rPr>
          <w:rFonts w:ascii="Arial" w:hAnsi="Arial" w:cs="Arial"/>
          <w:sz w:val="24"/>
          <w:szCs w:val="24"/>
        </w:rPr>
        <w:t>ș</w:t>
      </w:r>
      <w:r w:rsidRPr="00315335">
        <w:rPr>
          <w:rFonts w:ascii="Arial" w:hAnsi="Arial" w:cs="Arial"/>
          <w:sz w:val="24"/>
          <w:szCs w:val="24"/>
        </w:rPr>
        <w:t xml:space="preserve">i tratate </w:t>
      </w:r>
      <w:r w:rsidR="00D6778D">
        <w:rPr>
          <w:rFonts w:ascii="Arial" w:hAnsi="Arial" w:cs="Arial"/>
          <w:sz w:val="24"/>
          <w:szCs w:val="24"/>
        </w:rPr>
        <w:t>î</w:t>
      </w:r>
      <w:r w:rsidRPr="00315335">
        <w:rPr>
          <w:rFonts w:ascii="Arial" w:hAnsi="Arial" w:cs="Arial"/>
          <w:sz w:val="24"/>
          <w:szCs w:val="24"/>
        </w:rPr>
        <w:t>n perioada 2006-2016 in judetul Br</w:t>
      </w:r>
      <w:r w:rsidR="00D6778D">
        <w:rPr>
          <w:rFonts w:ascii="Arial" w:hAnsi="Arial" w:cs="Arial"/>
          <w:sz w:val="24"/>
          <w:szCs w:val="24"/>
        </w:rPr>
        <w:t>ă</w:t>
      </w:r>
      <w:r w:rsidRPr="00315335">
        <w:rPr>
          <w:rFonts w:ascii="Arial" w:hAnsi="Arial" w:cs="Arial"/>
          <w:sz w:val="24"/>
          <w:szCs w:val="24"/>
        </w:rPr>
        <w:t>ila</w:t>
      </w:r>
    </w:p>
    <w:p w:rsidR="00737DE6" w:rsidRPr="00315335" w:rsidRDefault="00737DE6" w:rsidP="00737DE6">
      <w:pPr>
        <w:spacing w:after="0" w:line="240" w:lineRule="auto"/>
        <w:jc w:val="center"/>
        <w:rPr>
          <w:rFonts w:ascii="Arial" w:hAnsi="Arial" w:cs="Arial"/>
          <w:sz w:val="24"/>
          <w:szCs w:val="24"/>
        </w:rPr>
      </w:pPr>
    </w:p>
    <w:p w:rsidR="00737DE6" w:rsidRPr="00315335" w:rsidRDefault="00737DE6" w:rsidP="00737DE6">
      <w:pPr>
        <w:spacing w:after="0" w:line="240" w:lineRule="auto"/>
        <w:jc w:val="center"/>
        <w:rPr>
          <w:rFonts w:ascii="Arial" w:hAnsi="Arial" w:cs="Arial"/>
          <w:b/>
          <w:sz w:val="24"/>
          <w:szCs w:val="24"/>
        </w:rPr>
      </w:pPr>
      <w:r w:rsidRPr="00315335">
        <w:rPr>
          <w:rFonts w:ascii="Arial" w:hAnsi="Arial" w:cs="Arial"/>
          <w:b/>
          <w:noProof/>
          <w:sz w:val="24"/>
          <w:szCs w:val="24"/>
        </w:rPr>
        <w:drawing>
          <wp:inline distT="0" distB="0" distL="0" distR="0" wp14:anchorId="6D8A7EBC" wp14:editId="752CE469">
            <wp:extent cx="5486400" cy="2447925"/>
            <wp:effectExtent l="0" t="0" r="0" b="0"/>
            <wp:docPr id="250" name="Diagramă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737DE6" w:rsidRPr="00315335" w:rsidRDefault="00737DE6" w:rsidP="00737DE6">
      <w:pPr>
        <w:autoSpaceDE w:val="0"/>
        <w:autoSpaceDN w:val="0"/>
        <w:adjustRightInd w:val="0"/>
        <w:spacing w:after="0" w:line="240" w:lineRule="auto"/>
        <w:ind w:firstLine="737"/>
        <w:jc w:val="both"/>
        <w:rPr>
          <w:rFonts w:ascii="Arial" w:hAnsi="Arial" w:cs="Arial"/>
          <w:b/>
          <w:sz w:val="24"/>
          <w:szCs w:val="24"/>
        </w:rPr>
      </w:pPr>
    </w:p>
    <w:p w:rsidR="00737DE6" w:rsidRPr="00315335" w:rsidRDefault="00737DE6" w:rsidP="00737DE6">
      <w:pPr>
        <w:autoSpaceDE w:val="0"/>
        <w:autoSpaceDN w:val="0"/>
        <w:adjustRightInd w:val="0"/>
        <w:spacing w:after="0" w:line="240" w:lineRule="auto"/>
        <w:ind w:firstLine="737"/>
        <w:jc w:val="both"/>
        <w:rPr>
          <w:rFonts w:ascii="Arial" w:hAnsi="Arial" w:cs="Arial"/>
          <w:sz w:val="24"/>
          <w:szCs w:val="24"/>
        </w:rPr>
      </w:pP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sz w:val="24"/>
          <w:szCs w:val="24"/>
        </w:rPr>
        <w:t>În judeţul Brăila în anul 2018 au funcționat 5 operatori economici autorizaţi pentru colectare VSU : SC APAN SRL , SC APAN Motors SRL, SC Miorița Com SRL, SC Autobulserv SRL și SC Corsani  SRL, iar ultimii trei sunt autorizați și pentru tratare (dezmembrare).  Numai SC Miorița SRL tratează în totalitate VSU, ceilalți operatori colectează și valorifică (comercializează) părți/piese de schimb astfel încăt dezmembrează vehiculele în funcție de solicitări.</w:t>
      </w:r>
    </w:p>
    <w:p w:rsidR="00737DE6" w:rsidRPr="00315335" w:rsidRDefault="00737DE6" w:rsidP="00737DE6">
      <w:pPr>
        <w:autoSpaceDE w:val="0"/>
        <w:autoSpaceDN w:val="0"/>
        <w:adjustRightInd w:val="0"/>
        <w:spacing w:after="0" w:line="240" w:lineRule="auto"/>
        <w:ind w:firstLine="737"/>
        <w:jc w:val="both"/>
        <w:rPr>
          <w:rFonts w:ascii="Arial" w:hAnsi="Arial" w:cs="Arial"/>
          <w:b/>
          <w:sz w:val="24"/>
          <w:szCs w:val="24"/>
        </w:rPr>
      </w:pPr>
      <w:r w:rsidRPr="00315335">
        <w:rPr>
          <w:rFonts w:ascii="Arial" w:hAnsi="Arial" w:cs="Arial"/>
          <w:sz w:val="24"/>
          <w:szCs w:val="24"/>
        </w:rPr>
        <w:t>Principalul deşeu valorificat rezultat din dezmembrarea vehiculelor colectate, a fost cel metalic. Celelalte părţi componente au fost fie valorificate către societăţi autorizate (de ex. acumulatori uzaţi, sticlă, ulei uzat, anvelope, componente mari de plastic), fie eliminate prin co-incinerare.</w:t>
      </w:r>
    </w:p>
    <w:p w:rsidR="00737DE6" w:rsidRPr="00315335" w:rsidRDefault="00737DE6" w:rsidP="00737DE6">
      <w:pPr>
        <w:spacing w:after="0" w:line="240" w:lineRule="auto"/>
        <w:ind w:firstLine="708"/>
        <w:jc w:val="both"/>
        <w:rPr>
          <w:rFonts w:ascii="Arial" w:hAnsi="Arial" w:cs="Arial"/>
          <w:sz w:val="24"/>
          <w:szCs w:val="24"/>
        </w:rPr>
      </w:pPr>
      <w:r w:rsidRPr="00315335">
        <w:rPr>
          <w:rFonts w:ascii="Arial" w:hAnsi="Arial" w:cs="Arial"/>
          <w:sz w:val="24"/>
          <w:szCs w:val="24"/>
        </w:rPr>
        <w:t>Programul de reînnoire a parcului auto, desfăşurat în România (programul Rabla) este finanţat prin Administraţia Fondului pentru Mediu.</w:t>
      </w:r>
    </w:p>
    <w:p w:rsidR="00737DE6" w:rsidRPr="00315335" w:rsidRDefault="00737DE6" w:rsidP="00737DE6">
      <w:pPr>
        <w:spacing w:after="0" w:line="240" w:lineRule="auto"/>
        <w:jc w:val="both"/>
        <w:rPr>
          <w:rFonts w:ascii="Arial" w:hAnsi="Arial" w:cs="Arial"/>
          <w:b/>
          <w:sz w:val="24"/>
          <w:szCs w:val="24"/>
        </w:rPr>
      </w:pPr>
      <w:r w:rsidRPr="00315335">
        <w:rPr>
          <w:rFonts w:ascii="Arial" w:hAnsi="Arial" w:cs="Arial"/>
          <w:sz w:val="24"/>
          <w:szCs w:val="24"/>
        </w:rPr>
        <w:t>Tabel nr. VII.1.3.3.- 2 Cantităţi VSU colectate prin Programul de reînnoire a parcului auto</w:t>
      </w:r>
      <w:r w:rsidRPr="00315335">
        <w:rPr>
          <w:rFonts w:ascii="Arial" w:hAnsi="Arial" w:cs="Arial"/>
          <w:i/>
          <w:sz w:val="24"/>
          <w:szCs w:val="24"/>
        </w:rPr>
        <w:t>”Rabla”</w:t>
      </w:r>
    </w:p>
    <w:tbl>
      <w:tblPr>
        <w:tblW w:w="10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4"/>
        <w:gridCol w:w="764"/>
        <w:gridCol w:w="845"/>
        <w:gridCol w:w="844"/>
        <w:gridCol w:w="750"/>
        <w:gridCol w:w="813"/>
        <w:gridCol w:w="846"/>
        <w:gridCol w:w="847"/>
        <w:gridCol w:w="1013"/>
        <w:gridCol w:w="850"/>
        <w:gridCol w:w="850"/>
      </w:tblGrid>
      <w:tr w:rsidR="00315335" w:rsidRPr="00315335" w:rsidTr="00916B06">
        <w:trPr>
          <w:jc w:val="center"/>
        </w:trPr>
        <w:tc>
          <w:tcPr>
            <w:tcW w:w="1684" w:type="dxa"/>
            <w:vAlign w:val="center"/>
          </w:tcPr>
          <w:p w:rsidR="00737DE6" w:rsidRPr="00315335" w:rsidRDefault="00737DE6" w:rsidP="00916B06">
            <w:pPr>
              <w:spacing w:after="0" w:line="240" w:lineRule="auto"/>
              <w:jc w:val="center"/>
              <w:rPr>
                <w:rFonts w:ascii="Arial" w:hAnsi="Arial" w:cs="Arial"/>
                <w:b/>
                <w:sz w:val="24"/>
                <w:szCs w:val="24"/>
              </w:rPr>
            </w:pPr>
          </w:p>
        </w:tc>
        <w:tc>
          <w:tcPr>
            <w:tcW w:w="764" w:type="dxa"/>
            <w:shd w:val="clear" w:color="auto" w:fill="E0E0E0"/>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2007</w:t>
            </w:r>
          </w:p>
        </w:tc>
        <w:tc>
          <w:tcPr>
            <w:tcW w:w="845" w:type="dxa"/>
            <w:shd w:val="clear" w:color="auto" w:fill="E0E0E0"/>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2008</w:t>
            </w:r>
          </w:p>
        </w:tc>
        <w:tc>
          <w:tcPr>
            <w:tcW w:w="844" w:type="dxa"/>
            <w:shd w:val="clear" w:color="auto" w:fill="E0E0E0"/>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2009</w:t>
            </w:r>
          </w:p>
        </w:tc>
        <w:tc>
          <w:tcPr>
            <w:tcW w:w="750" w:type="dxa"/>
            <w:shd w:val="clear" w:color="auto" w:fill="E0E0E0"/>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2010</w:t>
            </w:r>
          </w:p>
        </w:tc>
        <w:tc>
          <w:tcPr>
            <w:tcW w:w="813" w:type="dxa"/>
            <w:shd w:val="clear" w:color="auto" w:fill="E0E0E0"/>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2011</w:t>
            </w:r>
          </w:p>
        </w:tc>
        <w:tc>
          <w:tcPr>
            <w:tcW w:w="846" w:type="dxa"/>
            <w:shd w:val="clear" w:color="auto" w:fill="E0E0E0"/>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2012</w:t>
            </w:r>
          </w:p>
        </w:tc>
        <w:tc>
          <w:tcPr>
            <w:tcW w:w="847" w:type="dxa"/>
            <w:shd w:val="clear" w:color="auto" w:fill="E0E0E0"/>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2013</w:t>
            </w:r>
          </w:p>
        </w:tc>
        <w:tc>
          <w:tcPr>
            <w:tcW w:w="1013" w:type="dxa"/>
            <w:tcBorders>
              <w:right w:val="single" w:sz="4" w:space="0" w:color="auto"/>
            </w:tcBorders>
            <w:shd w:val="clear" w:color="auto" w:fill="E0E0E0"/>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2014</w:t>
            </w:r>
          </w:p>
        </w:tc>
        <w:tc>
          <w:tcPr>
            <w:tcW w:w="850" w:type="dxa"/>
            <w:tcBorders>
              <w:left w:val="single" w:sz="4" w:space="0" w:color="auto"/>
            </w:tcBorders>
            <w:shd w:val="clear" w:color="auto" w:fill="E0E0E0"/>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2015</w:t>
            </w:r>
          </w:p>
        </w:tc>
        <w:tc>
          <w:tcPr>
            <w:tcW w:w="850" w:type="dxa"/>
            <w:tcBorders>
              <w:left w:val="single" w:sz="4" w:space="0" w:color="auto"/>
            </w:tcBorders>
            <w:shd w:val="clear" w:color="auto" w:fill="E0E0E0"/>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2016</w:t>
            </w:r>
          </w:p>
        </w:tc>
      </w:tr>
      <w:tr w:rsidR="00315335" w:rsidRPr="00315335" w:rsidTr="00916B06">
        <w:trPr>
          <w:jc w:val="center"/>
        </w:trPr>
        <w:tc>
          <w:tcPr>
            <w:tcW w:w="1684" w:type="dxa"/>
            <w:vAlign w:val="center"/>
          </w:tcPr>
          <w:p w:rsidR="00737DE6" w:rsidRPr="00315335" w:rsidRDefault="00737DE6" w:rsidP="00916B06">
            <w:pPr>
              <w:spacing w:after="0" w:line="240" w:lineRule="auto"/>
              <w:jc w:val="center"/>
              <w:rPr>
                <w:rFonts w:ascii="Arial" w:hAnsi="Arial" w:cs="Arial"/>
                <w:b/>
                <w:sz w:val="24"/>
                <w:szCs w:val="24"/>
                <w:lang w:val="pt-BR"/>
              </w:rPr>
            </w:pPr>
            <w:r w:rsidRPr="00315335">
              <w:rPr>
                <w:rFonts w:ascii="Arial" w:hAnsi="Arial" w:cs="Arial"/>
                <w:sz w:val="24"/>
                <w:szCs w:val="24"/>
                <w:lang w:val="pt-BR"/>
              </w:rPr>
              <w:t>Vehicule scoase din uz colectate (numar/an)</w:t>
            </w:r>
          </w:p>
        </w:tc>
        <w:tc>
          <w:tcPr>
            <w:tcW w:w="764" w:type="dxa"/>
            <w:vAlign w:val="center"/>
          </w:tcPr>
          <w:p w:rsidR="00737DE6" w:rsidRPr="00315335" w:rsidRDefault="00737DE6" w:rsidP="00916B06">
            <w:pPr>
              <w:spacing w:after="0" w:line="240" w:lineRule="auto"/>
              <w:jc w:val="center"/>
              <w:rPr>
                <w:rFonts w:ascii="Arial" w:hAnsi="Arial" w:cs="Arial"/>
                <w:b/>
                <w:sz w:val="24"/>
                <w:szCs w:val="24"/>
                <w:lang w:val="pt-BR"/>
              </w:rPr>
            </w:pPr>
            <w:r w:rsidRPr="00315335">
              <w:rPr>
                <w:rFonts w:ascii="Arial" w:hAnsi="Arial" w:cs="Arial"/>
                <w:sz w:val="24"/>
                <w:szCs w:val="24"/>
                <w:lang w:val="pt-BR"/>
              </w:rPr>
              <w:t>238</w:t>
            </w:r>
          </w:p>
        </w:tc>
        <w:tc>
          <w:tcPr>
            <w:tcW w:w="845"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391</w:t>
            </w:r>
          </w:p>
        </w:tc>
        <w:tc>
          <w:tcPr>
            <w:tcW w:w="844"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508</w:t>
            </w:r>
          </w:p>
        </w:tc>
        <w:tc>
          <w:tcPr>
            <w:tcW w:w="750"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485</w:t>
            </w:r>
          </w:p>
        </w:tc>
        <w:tc>
          <w:tcPr>
            <w:tcW w:w="813"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2376</w:t>
            </w:r>
          </w:p>
        </w:tc>
        <w:tc>
          <w:tcPr>
            <w:tcW w:w="846" w:type="dxa"/>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1838</w:t>
            </w:r>
          </w:p>
        </w:tc>
        <w:tc>
          <w:tcPr>
            <w:tcW w:w="847" w:type="dxa"/>
            <w:vAlign w:val="center"/>
          </w:tcPr>
          <w:p w:rsidR="00737DE6" w:rsidRPr="00315335" w:rsidRDefault="00737DE6" w:rsidP="00916B06">
            <w:pPr>
              <w:spacing w:after="0" w:line="240" w:lineRule="auto"/>
              <w:jc w:val="center"/>
              <w:rPr>
                <w:rFonts w:ascii="Arial" w:hAnsi="Arial" w:cs="Arial"/>
                <w:b/>
                <w:sz w:val="24"/>
                <w:szCs w:val="24"/>
              </w:rPr>
            </w:pPr>
            <w:r w:rsidRPr="00315335">
              <w:rPr>
                <w:rFonts w:ascii="Arial" w:hAnsi="Arial" w:cs="Arial"/>
                <w:sz w:val="24"/>
                <w:szCs w:val="24"/>
              </w:rPr>
              <w:t>607</w:t>
            </w:r>
          </w:p>
        </w:tc>
        <w:tc>
          <w:tcPr>
            <w:tcW w:w="1013" w:type="dxa"/>
            <w:tcBorders>
              <w:right w:val="single" w:sz="4" w:space="0" w:color="auto"/>
            </w:tcBorders>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98</w:t>
            </w:r>
          </w:p>
        </w:tc>
        <w:tc>
          <w:tcPr>
            <w:tcW w:w="850" w:type="dxa"/>
            <w:tcBorders>
              <w:left w:val="single" w:sz="4" w:space="0" w:color="auto"/>
            </w:tcBorders>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425</w:t>
            </w:r>
          </w:p>
        </w:tc>
        <w:tc>
          <w:tcPr>
            <w:tcW w:w="850" w:type="dxa"/>
            <w:tcBorders>
              <w:left w:val="single" w:sz="4" w:space="0" w:color="auto"/>
            </w:tcBorders>
            <w:vAlign w:val="center"/>
          </w:tcPr>
          <w:p w:rsidR="00737DE6" w:rsidRPr="00315335" w:rsidRDefault="00737DE6" w:rsidP="00916B06">
            <w:pPr>
              <w:spacing w:after="0" w:line="240" w:lineRule="auto"/>
              <w:jc w:val="center"/>
              <w:rPr>
                <w:rFonts w:ascii="Arial" w:hAnsi="Arial" w:cs="Arial"/>
                <w:sz w:val="24"/>
                <w:szCs w:val="24"/>
              </w:rPr>
            </w:pPr>
            <w:r w:rsidRPr="00315335">
              <w:rPr>
                <w:rFonts w:ascii="Arial" w:hAnsi="Arial" w:cs="Arial"/>
                <w:sz w:val="24"/>
                <w:szCs w:val="24"/>
              </w:rPr>
              <w:t>499</w:t>
            </w:r>
          </w:p>
        </w:tc>
      </w:tr>
    </w:tbl>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Numărul anual de vehicule predate ca VSU a fost în directă corelație cu numărul de tichete alocate la nivel județean prin programul ”Rabla”.</w:t>
      </w:r>
    </w:p>
    <w:p w:rsidR="00737DE6" w:rsidRPr="00315335" w:rsidRDefault="00737DE6" w:rsidP="00737DE6">
      <w:pPr>
        <w:tabs>
          <w:tab w:val="left" w:pos="1358"/>
          <w:tab w:val="left" w:leader="dot" w:pos="9356"/>
        </w:tabs>
        <w:spacing w:after="0" w:line="240" w:lineRule="auto"/>
        <w:jc w:val="both"/>
        <w:rPr>
          <w:rFonts w:ascii="Arial" w:hAnsi="Arial" w:cs="Arial"/>
          <w:b/>
          <w:sz w:val="24"/>
          <w:szCs w:val="24"/>
        </w:rPr>
      </w:pPr>
    </w:p>
    <w:p w:rsidR="00737DE6" w:rsidRPr="00315335" w:rsidRDefault="00737DE6" w:rsidP="00737DE6">
      <w:pPr>
        <w:tabs>
          <w:tab w:val="left" w:pos="1358"/>
          <w:tab w:val="left" w:leader="dot" w:pos="9356"/>
        </w:tabs>
        <w:spacing w:after="0" w:line="240" w:lineRule="auto"/>
        <w:jc w:val="both"/>
        <w:rPr>
          <w:rFonts w:ascii="Arial" w:hAnsi="Arial" w:cs="Arial"/>
          <w:sz w:val="24"/>
          <w:szCs w:val="24"/>
        </w:rPr>
      </w:pPr>
      <w:r w:rsidRPr="00315335">
        <w:rPr>
          <w:rFonts w:ascii="Arial" w:hAnsi="Arial" w:cs="Arial"/>
          <w:b/>
          <w:sz w:val="24"/>
          <w:szCs w:val="24"/>
        </w:rPr>
        <w:t>VII.1.4.</w:t>
      </w:r>
      <w:r w:rsidRPr="00315335">
        <w:rPr>
          <w:rFonts w:ascii="Arial" w:hAnsi="Arial" w:cs="Arial"/>
          <w:b/>
          <w:i/>
          <w:sz w:val="24"/>
          <w:szCs w:val="24"/>
        </w:rPr>
        <w:t>Impacturi şi presiuni privind deşeurile</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lang w:val="it-IT"/>
        </w:rPr>
      </w:pPr>
      <w:r w:rsidRPr="00315335">
        <w:rPr>
          <w:rFonts w:ascii="Arial" w:hAnsi="Arial" w:cs="Arial"/>
          <w:sz w:val="24"/>
          <w:szCs w:val="24"/>
          <w:lang w:val="it-IT"/>
        </w:rPr>
        <w:t>Toate activităţile implicate în sistemul de gestionare a deşeurilor, respectiv de colectare, transport, tratare, valorificare, eliminare şi dezafectare a infrastructurii aferente pot avea un impact negativ asupra mediului dacă nu sunt respectate normativele ce stabilesc condiţiile de gestionare ecologică.</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lang w:val="it-IT"/>
        </w:rPr>
      </w:pPr>
      <w:r w:rsidRPr="00315335">
        <w:rPr>
          <w:rFonts w:ascii="Arial" w:hAnsi="Arial" w:cs="Arial"/>
          <w:sz w:val="24"/>
          <w:szCs w:val="24"/>
          <w:lang w:val="it-IT"/>
        </w:rPr>
        <w:t>Deşeurile industriale pot constitui surse de risc pentru sănătate datorită conţinutului lor în substanţe toxice precum metale grele (plumb, cadmiu), pesticide, solvenţi, uleiuri uzate. Problema cea mai dificilă o constituie materialele periculoase (inclusiv nămolurile toxice, produse petroliere, reziduuri de la vopsitorii, zguri metalurgice) dacă sunt depozitate în comun cu deşeuri solide orăşenești. Aceasta situaţie poate genera apariţia unor amestecuri şi combinaţii inflamabile, explozive sau corozive.</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lang w:val="it-IT"/>
        </w:rPr>
      </w:pPr>
      <w:r w:rsidRPr="00315335">
        <w:rPr>
          <w:rFonts w:ascii="Arial" w:hAnsi="Arial" w:cs="Arial"/>
          <w:sz w:val="24"/>
          <w:szCs w:val="24"/>
          <w:lang w:val="it-IT"/>
        </w:rPr>
        <w:t>Principalele forme de impact şi risc determinate de depozitele de deşeuri municipale şi industriale, în ordinea în care sunt percepute de populaţie, sunt:</w:t>
      </w:r>
    </w:p>
    <w:p w:rsidR="00737DE6" w:rsidRPr="00315335" w:rsidRDefault="00737DE6" w:rsidP="0010044C">
      <w:pPr>
        <w:pStyle w:val="Listparagraf"/>
        <w:numPr>
          <w:ilvl w:val="0"/>
          <w:numId w:val="75"/>
        </w:numPr>
        <w:jc w:val="both"/>
        <w:rPr>
          <w:rFonts w:ascii="Arial" w:hAnsi="Arial" w:cs="Arial"/>
          <w:b/>
        </w:rPr>
      </w:pPr>
      <w:r w:rsidRPr="00315335">
        <w:rPr>
          <w:rFonts w:ascii="Arial" w:hAnsi="Arial" w:cs="Arial"/>
        </w:rPr>
        <w:t xml:space="preserve">modificări de peisaj şi disconfort vizual; </w:t>
      </w:r>
    </w:p>
    <w:p w:rsidR="00737DE6" w:rsidRPr="00315335" w:rsidRDefault="00737DE6" w:rsidP="0010044C">
      <w:pPr>
        <w:pStyle w:val="Listparagraf"/>
        <w:numPr>
          <w:ilvl w:val="0"/>
          <w:numId w:val="75"/>
        </w:numPr>
        <w:jc w:val="both"/>
        <w:rPr>
          <w:rFonts w:ascii="Arial" w:hAnsi="Arial" w:cs="Arial"/>
          <w:b/>
        </w:rPr>
      </w:pPr>
      <w:r w:rsidRPr="00315335">
        <w:rPr>
          <w:rFonts w:ascii="Arial" w:hAnsi="Arial" w:cs="Arial"/>
        </w:rPr>
        <w:t xml:space="preserve">poluarea aerului; </w:t>
      </w:r>
    </w:p>
    <w:p w:rsidR="00737DE6" w:rsidRPr="00315335" w:rsidRDefault="00737DE6" w:rsidP="0010044C">
      <w:pPr>
        <w:pStyle w:val="Listparagraf"/>
        <w:numPr>
          <w:ilvl w:val="0"/>
          <w:numId w:val="75"/>
        </w:numPr>
        <w:jc w:val="both"/>
        <w:rPr>
          <w:rFonts w:ascii="Arial" w:hAnsi="Arial" w:cs="Arial"/>
          <w:b/>
        </w:rPr>
      </w:pPr>
      <w:r w:rsidRPr="00315335">
        <w:rPr>
          <w:rFonts w:ascii="Arial" w:hAnsi="Arial" w:cs="Arial"/>
        </w:rPr>
        <w:t xml:space="preserve">poluarea apelor de suprafaţă; </w:t>
      </w:r>
    </w:p>
    <w:p w:rsidR="00737DE6" w:rsidRPr="00315335" w:rsidRDefault="00737DE6" w:rsidP="0010044C">
      <w:pPr>
        <w:pStyle w:val="Listparagraf"/>
        <w:numPr>
          <w:ilvl w:val="0"/>
          <w:numId w:val="75"/>
        </w:numPr>
        <w:jc w:val="both"/>
        <w:rPr>
          <w:rFonts w:ascii="Arial" w:hAnsi="Arial" w:cs="Arial"/>
          <w:b/>
        </w:rPr>
      </w:pPr>
      <w:r w:rsidRPr="00315335">
        <w:rPr>
          <w:rFonts w:ascii="Arial" w:hAnsi="Arial" w:cs="Arial"/>
        </w:rPr>
        <w:t xml:space="preserve">modificări ale fertilităţii solurilor şi ale compoziţiei biocenozelor pe terenurile învecinate. </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Scoaterea din circuitul natural sau economic a terenurilor pentru depozitele de deşeuri este un proces ce poate fi considerat temporar, dar care în termenii conceptului de “dezvoltare durabilă”, se întinde pe durata a cel puţin două generaţii dacă se însumează perioadele de amenajare (1-3 ani), exploatare (15-30 ani), monitorizare postînchidere şi refacere ecologică (30-35 ani).</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Astfel, colectarea, stocarea şi transportul pot fi surse generatoare de emisii poluante pentru atmosferă, sol şi implicit pentru sănătatea oamenilor. Actualele practici utilizate în managementul deşeurilor urbane (colectare, transport, depozitare, etc), sunt încă necorespunzătoare, generând un impact negativ asupra factorilor de mediu şi facilitând înmulţirea şi împrăştierea agenţilor purtători de microbi.</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În prezent, în România, eliminarea deşeurilor urbane se face aproape exclusiv prin depozitare, cu excepţia unui procent de circa 5% (reprezentat mai ales de deşeurile comerciale) care se valorifică. Această situaţie se datorează în mare parte şi necunoaşterii compoziţiei actuale a deşeurilor urbane care a făcut să perpetueze depozitarea ca unică formă de eliminare. Depozitarea este însă soluţia aflată la nivelul cel mai de jos al ierarhiei opţiunilor de eliminare a deşeurilor.</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lang w:val="it-IT"/>
        </w:rPr>
      </w:pPr>
      <w:r w:rsidRPr="00315335">
        <w:rPr>
          <w:rFonts w:ascii="Arial" w:hAnsi="Arial" w:cs="Arial"/>
          <w:sz w:val="24"/>
          <w:szCs w:val="24"/>
          <w:lang w:val="it-IT"/>
        </w:rPr>
        <w:lastRenderedPageBreak/>
        <w:t>Impactul asupra mediului este ireversibil. Perioadele de timp pentru descompunerea deşeurilor depozitate variază în funcţie de compoziţia fiecărui tip de deşeu astfel:</w:t>
      </w:r>
    </w:p>
    <w:p w:rsidR="00737DE6" w:rsidRPr="00315335" w:rsidRDefault="00737DE6" w:rsidP="0010044C">
      <w:pPr>
        <w:pStyle w:val="Listparagraf"/>
        <w:numPr>
          <w:ilvl w:val="0"/>
          <w:numId w:val="76"/>
        </w:numPr>
        <w:jc w:val="both"/>
        <w:rPr>
          <w:rFonts w:ascii="Arial" w:hAnsi="Arial" w:cs="Arial"/>
          <w:b/>
        </w:rPr>
      </w:pPr>
      <w:r w:rsidRPr="00315335">
        <w:rPr>
          <w:rFonts w:ascii="Arial" w:hAnsi="Arial" w:cs="Arial"/>
        </w:rPr>
        <w:t xml:space="preserve">pentru hârtie şi carton – 3 până la 12 luni, </w:t>
      </w:r>
    </w:p>
    <w:p w:rsidR="00737DE6" w:rsidRPr="00315335" w:rsidRDefault="00737DE6" w:rsidP="0010044C">
      <w:pPr>
        <w:pStyle w:val="Listparagraf"/>
        <w:numPr>
          <w:ilvl w:val="0"/>
          <w:numId w:val="76"/>
        </w:numPr>
        <w:jc w:val="both"/>
        <w:rPr>
          <w:rFonts w:ascii="Arial" w:hAnsi="Arial" w:cs="Arial"/>
          <w:b/>
        </w:rPr>
      </w:pPr>
      <w:r w:rsidRPr="00315335">
        <w:rPr>
          <w:rFonts w:ascii="Arial" w:hAnsi="Arial" w:cs="Arial"/>
        </w:rPr>
        <w:t xml:space="preserve">pentru deşeuri biodegradabile din hrana vegetală – 3 luni, </w:t>
      </w:r>
    </w:p>
    <w:p w:rsidR="00737DE6" w:rsidRPr="00315335" w:rsidRDefault="00737DE6" w:rsidP="0010044C">
      <w:pPr>
        <w:pStyle w:val="Listparagraf"/>
        <w:numPr>
          <w:ilvl w:val="0"/>
          <w:numId w:val="76"/>
        </w:numPr>
        <w:jc w:val="both"/>
        <w:rPr>
          <w:rFonts w:ascii="Arial" w:hAnsi="Arial" w:cs="Arial"/>
          <w:b/>
          <w:lang w:val="da-DK"/>
        </w:rPr>
      </w:pPr>
      <w:r w:rsidRPr="00315335">
        <w:rPr>
          <w:rFonts w:ascii="Arial" w:hAnsi="Arial" w:cs="Arial"/>
          <w:lang w:val="da-DK"/>
        </w:rPr>
        <w:t xml:space="preserve">pentru ambalajele din sticlă – 1000 ani, </w:t>
      </w:r>
    </w:p>
    <w:p w:rsidR="00737DE6" w:rsidRPr="00315335" w:rsidRDefault="00737DE6" w:rsidP="0010044C">
      <w:pPr>
        <w:pStyle w:val="Listparagraf"/>
        <w:numPr>
          <w:ilvl w:val="0"/>
          <w:numId w:val="76"/>
        </w:numPr>
        <w:jc w:val="both"/>
        <w:rPr>
          <w:rFonts w:ascii="Arial" w:hAnsi="Arial" w:cs="Arial"/>
          <w:b/>
          <w:lang w:val="da-DK"/>
        </w:rPr>
      </w:pPr>
      <w:r w:rsidRPr="00315335">
        <w:rPr>
          <w:rFonts w:ascii="Arial" w:hAnsi="Arial" w:cs="Arial"/>
          <w:lang w:val="da-DK"/>
        </w:rPr>
        <w:t xml:space="preserve">pentru ambalajele din plastic tip PET – 100 până la 1000 ani, </w:t>
      </w:r>
    </w:p>
    <w:p w:rsidR="00737DE6" w:rsidRPr="00315335" w:rsidRDefault="00737DE6" w:rsidP="0010044C">
      <w:pPr>
        <w:pStyle w:val="Listparagraf"/>
        <w:numPr>
          <w:ilvl w:val="0"/>
          <w:numId w:val="76"/>
        </w:numPr>
        <w:jc w:val="both"/>
        <w:rPr>
          <w:rFonts w:ascii="Arial" w:hAnsi="Arial" w:cs="Arial"/>
          <w:b/>
          <w:lang w:val="da-DK"/>
        </w:rPr>
      </w:pPr>
      <w:r w:rsidRPr="00315335">
        <w:rPr>
          <w:rFonts w:ascii="Arial" w:hAnsi="Arial" w:cs="Arial"/>
          <w:lang w:val="da-DK"/>
        </w:rPr>
        <w:t xml:space="preserve">dozele din aluminiu – 10 până la 100 ani, </w:t>
      </w:r>
    </w:p>
    <w:p w:rsidR="00737DE6" w:rsidRPr="00315335" w:rsidRDefault="00737DE6" w:rsidP="0010044C">
      <w:pPr>
        <w:pStyle w:val="Listparagraf"/>
        <w:numPr>
          <w:ilvl w:val="0"/>
          <w:numId w:val="76"/>
        </w:numPr>
        <w:jc w:val="both"/>
        <w:rPr>
          <w:rFonts w:ascii="Arial" w:hAnsi="Arial" w:cs="Arial"/>
          <w:b/>
          <w:lang w:val="da-DK"/>
        </w:rPr>
      </w:pPr>
      <w:r w:rsidRPr="00315335">
        <w:rPr>
          <w:rFonts w:ascii="Arial" w:hAnsi="Arial" w:cs="Arial"/>
          <w:lang w:val="da-DK"/>
        </w:rPr>
        <w:t>textilele – 1 până la 7 ani, etc.</w:t>
      </w: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lang w:val="it-IT"/>
        </w:rPr>
      </w:pPr>
      <w:r w:rsidRPr="00315335">
        <w:rPr>
          <w:rFonts w:ascii="Arial" w:hAnsi="Arial" w:cs="Arial"/>
          <w:sz w:val="24"/>
          <w:szCs w:val="24"/>
          <w:lang w:val="it-IT"/>
        </w:rPr>
        <w:t>În termeni de biodiversitate, un depozit de deşeuri înseamnă eliminarea de pe suprafaţa afectată acestei folosinţe a unui numar de 30 - 300 specii / ha, fără a considera şi populaţia microbiologică a solului. În plus, biocenozele din vecinătatea depozitului se modifică în sensul că:</w:t>
      </w:r>
    </w:p>
    <w:p w:rsidR="00737DE6" w:rsidRPr="00315335" w:rsidRDefault="00737DE6" w:rsidP="0010044C">
      <w:pPr>
        <w:pStyle w:val="Listparagraf"/>
        <w:numPr>
          <w:ilvl w:val="0"/>
          <w:numId w:val="77"/>
        </w:numPr>
        <w:jc w:val="both"/>
        <w:rPr>
          <w:rFonts w:ascii="Arial" w:hAnsi="Arial" w:cs="Arial"/>
          <w:b/>
          <w:lang w:val="it-IT"/>
        </w:rPr>
      </w:pPr>
      <w:r w:rsidRPr="00315335">
        <w:rPr>
          <w:rFonts w:ascii="Arial" w:hAnsi="Arial" w:cs="Arial"/>
          <w:lang w:val="it-IT"/>
        </w:rPr>
        <w:t xml:space="preserve">în asociaţiile vegetale devin dominante speciile ruderale specifice zonelor poluate; </w:t>
      </w:r>
    </w:p>
    <w:p w:rsidR="00737DE6" w:rsidRPr="00315335" w:rsidRDefault="00737DE6" w:rsidP="0010044C">
      <w:pPr>
        <w:pStyle w:val="Listparagraf"/>
        <w:numPr>
          <w:ilvl w:val="0"/>
          <w:numId w:val="77"/>
        </w:numPr>
        <w:jc w:val="both"/>
        <w:rPr>
          <w:rFonts w:ascii="Arial" w:hAnsi="Arial" w:cs="Arial"/>
          <w:b/>
          <w:lang w:val="it-IT"/>
        </w:rPr>
      </w:pPr>
      <w:r w:rsidRPr="00315335">
        <w:rPr>
          <w:rFonts w:ascii="Arial" w:hAnsi="Arial" w:cs="Arial"/>
          <w:lang w:val="it-IT"/>
        </w:rPr>
        <w:t xml:space="preserve">unele mamifere, păsări, insecte părăsesc zona, în avantajul celor care îşi găsesc hrana în gunoaie (şobolani și alte rozătoare, unele păsări cum sunt ciorile și pescărușii). </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Deşi efectele asupra florei şi faunei sunt teoretic limitate în timp la durata exploatării depozitului, reconstrucţia ecologică realizată dupa eliberarea zonei de sarcini tehnologice nu va mai putea restabili echilibrul biologic iniţial, evoluţia biosistemului fiind ireversibil modificată. Terenurile ocupate de depozitele de deşeuri sunt considerate terenuri degradate, care nu mai pot fi utilizate în scopuri agricole.</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Datorită implicaţiilor deosebite pe care le are depozitarea în poluarea solului şi subsolului s-a impus sistarea depozitării pe depozitele neconforme de deşeuri municipale şi industriale. </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În ceea ce priveşte industria de foraj şi extracţie a petrolului deşeurile din acest domeniu sunt periculoase pentru om şi mediu. Depozitarea necontrolată duce la poluarea solurilor şi a apelor subterane. Un astfel de exemplu este batalul vechi de şlam petrolier de la Oprişeneşti, depozit neconform, unde s-a sistat depozitarea în anul 2006 dar amplasamentul este încadrat în lista siturilor contaminate. Pe lângă lucrările specifice de dezafectare sunt necesare lucrări de decontaminare pentru sol şi apa freatică. Urmează a se realiza un program de ecologizare deoarece în urma investigaţiilor s-a identificat contaminarea solului. </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Eliminarea deşeurilor menajere din mediul rural pe terenuri neamenajate a fost sistată la 16 iulie 2009 însă depozitările necontrolate nu au dispărut în totalitate. Deși aproximativ 80% din compoziţia deşeurilor care mai sunt abandonate ilegal pe terenuri  limitrofe localităților din mediul rural este reprezentată de dejecţiile de la animalele crescute în gospodăriile populaţiei, acestea sunt amestecate în măsură tot mai mare cu deșeuri de ambalaje.</w:t>
      </w:r>
    </w:p>
    <w:p w:rsidR="00737DE6" w:rsidRPr="00315335" w:rsidRDefault="00737DE6" w:rsidP="00737DE6">
      <w:pPr>
        <w:autoSpaceDE w:val="0"/>
        <w:autoSpaceDN w:val="0"/>
        <w:adjustRightInd w:val="0"/>
        <w:spacing w:after="0" w:line="240" w:lineRule="auto"/>
        <w:jc w:val="both"/>
        <w:rPr>
          <w:rFonts w:ascii="Arial" w:hAnsi="Arial" w:cs="Arial"/>
          <w:sz w:val="24"/>
          <w:szCs w:val="24"/>
        </w:rPr>
      </w:pPr>
    </w:p>
    <w:p w:rsidR="00737DE6" w:rsidRPr="00315335" w:rsidRDefault="00737DE6" w:rsidP="00737DE6">
      <w:pPr>
        <w:autoSpaceDE w:val="0"/>
        <w:autoSpaceDN w:val="0"/>
        <w:adjustRightInd w:val="0"/>
        <w:spacing w:after="0" w:line="240" w:lineRule="auto"/>
        <w:ind w:firstLine="708"/>
        <w:jc w:val="both"/>
        <w:rPr>
          <w:rFonts w:ascii="Arial" w:hAnsi="Arial" w:cs="Arial"/>
          <w:b/>
          <w:sz w:val="24"/>
          <w:szCs w:val="24"/>
        </w:rPr>
      </w:pPr>
      <w:r w:rsidRPr="00315335">
        <w:rPr>
          <w:rFonts w:ascii="Arial" w:hAnsi="Arial" w:cs="Arial"/>
          <w:b/>
          <w:sz w:val="24"/>
          <w:szCs w:val="24"/>
        </w:rPr>
        <w:t xml:space="preserve">Măsuri aplicate de către autorităţile administrației publice locale și județene pentru îmbunătăţirea managementului deşeurilor </w:t>
      </w:r>
    </w:p>
    <w:p w:rsidR="00737DE6" w:rsidRPr="00315335" w:rsidRDefault="00737DE6" w:rsidP="00737DE6">
      <w:pPr>
        <w:autoSpaceDE w:val="0"/>
        <w:autoSpaceDN w:val="0"/>
        <w:adjustRightInd w:val="0"/>
        <w:spacing w:after="0" w:line="240" w:lineRule="auto"/>
        <w:jc w:val="both"/>
        <w:rPr>
          <w:rFonts w:ascii="Arial" w:hAnsi="Arial" w:cs="Arial"/>
          <w:sz w:val="24"/>
          <w:szCs w:val="24"/>
        </w:rPr>
      </w:pPr>
    </w:p>
    <w:p w:rsidR="00737DE6" w:rsidRPr="00315335" w:rsidRDefault="00737DE6" w:rsidP="00737DE6">
      <w:pPr>
        <w:shd w:val="clear" w:color="auto" w:fill="FFFFFF"/>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Prin implementarea prevederilor legale în activitatea curentă a agenţilor economici şi a administraţiilor publice locale, se preconizează că impactul gestionării deşeurilor asupra mediului şi sănătăţii umane se va reduce semnificativ. Obiectivul general al Strategiei Naţionale de Gestionare a Deşeurilor 2014-2020 aprobată prin </w:t>
      </w:r>
      <w:r w:rsidRPr="00315335">
        <w:rPr>
          <w:rFonts w:ascii="Arial" w:hAnsi="Arial" w:cs="Arial"/>
          <w:bCs/>
          <w:sz w:val="24"/>
          <w:szCs w:val="24"/>
        </w:rPr>
        <w:t xml:space="preserve">HG nr.  870/2013 </w:t>
      </w:r>
      <w:r w:rsidRPr="00315335">
        <w:rPr>
          <w:rFonts w:ascii="Arial" w:hAnsi="Arial" w:cs="Arial"/>
          <w:sz w:val="24"/>
          <w:szCs w:val="24"/>
          <w:lang w:val="it-IT"/>
        </w:rPr>
        <w:t>este dezvoltarea unui sistem integrat de gestionare a deşeurilor, eficient din punct de vedere economic şi care să asigure protecţia sănătăţii populaţiei şi a mediului. Implementarea unui sistem durabil de gestionare a deşeurilor implică schimbări majore ale practicilor actuale. În prezent priorităţile în gestionarea deşeurilor nu sunt în conformitate cu prevederile legislative care stabilesc următoarea ierarhie:</w:t>
      </w:r>
    </w:p>
    <w:p w:rsidR="00737DE6" w:rsidRPr="00315335" w:rsidRDefault="00CA4E6F" w:rsidP="0010044C">
      <w:pPr>
        <w:pStyle w:val="Listparagraf"/>
        <w:numPr>
          <w:ilvl w:val="0"/>
          <w:numId w:val="78"/>
        </w:numPr>
        <w:jc w:val="both"/>
        <w:rPr>
          <w:rFonts w:ascii="Arial" w:hAnsi="Arial" w:cs="Arial"/>
          <w:b/>
        </w:rPr>
      </w:pPr>
      <w:hyperlink r:id="rId137" w:anchor="#" w:history="1"/>
      <w:r w:rsidR="00737DE6" w:rsidRPr="00315335">
        <w:rPr>
          <w:rFonts w:ascii="Arial" w:hAnsi="Arial" w:cs="Arial"/>
        </w:rPr>
        <w:t>prevenirea( minimizarea cantităţilor generate);</w:t>
      </w:r>
    </w:p>
    <w:p w:rsidR="00737DE6" w:rsidRPr="00315335" w:rsidRDefault="00CA4E6F" w:rsidP="0010044C">
      <w:pPr>
        <w:pStyle w:val="Listparagraf"/>
        <w:numPr>
          <w:ilvl w:val="0"/>
          <w:numId w:val="78"/>
        </w:numPr>
        <w:jc w:val="both"/>
        <w:rPr>
          <w:rFonts w:ascii="Arial" w:hAnsi="Arial" w:cs="Arial"/>
          <w:b/>
        </w:rPr>
      </w:pPr>
      <w:hyperlink r:id="rId138" w:anchor="#" w:history="1"/>
      <w:r w:rsidR="00737DE6" w:rsidRPr="00315335">
        <w:rPr>
          <w:rFonts w:ascii="Arial" w:hAnsi="Arial" w:cs="Arial"/>
        </w:rPr>
        <w:t>pregătirea pentru reutilizare;</w:t>
      </w:r>
    </w:p>
    <w:p w:rsidR="00737DE6" w:rsidRPr="00315335" w:rsidRDefault="00CA4E6F" w:rsidP="0010044C">
      <w:pPr>
        <w:pStyle w:val="Listparagraf"/>
        <w:numPr>
          <w:ilvl w:val="0"/>
          <w:numId w:val="78"/>
        </w:numPr>
        <w:jc w:val="both"/>
        <w:rPr>
          <w:rFonts w:ascii="Arial" w:hAnsi="Arial" w:cs="Arial"/>
          <w:b/>
        </w:rPr>
      </w:pPr>
      <w:hyperlink r:id="rId139" w:anchor="#" w:history="1"/>
      <w:r w:rsidR="00737DE6" w:rsidRPr="00315335">
        <w:rPr>
          <w:rFonts w:ascii="Arial" w:hAnsi="Arial" w:cs="Arial"/>
        </w:rPr>
        <w:t>reciclarea;</w:t>
      </w:r>
    </w:p>
    <w:p w:rsidR="00737DE6" w:rsidRPr="00315335" w:rsidRDefault="00CA4E6F" w:rsidP="0010044C">
      <w:pPr>
        <w:pStyle w:val="Listparagraf"/>
        <w:numPr>
          <w:ilvl w:val="0"/>
          <w:numId w:val="78"/>
        </w:numPr>
        <w:jc w:val="both"/>
        <w:rPr>
          <w:rFonts w:ascii="Arial" w:hAnsi="Arial" w:cs="Arial"/>
          <w:b/>
        </w:rPr>
      </w:pPr>
      <w:hyperlink r:id="rId140" w:anchor="#" w:history="1"/>
      <w:r w:rsidR="00737DE6" w:rsidRPr="00315335">
        <w:rPr>
          <w:rFonts w:ascii="Arial" w:hAnsi="Arial" w:cs="Arial"/>
        </w:rPr>
        <w:t>alte operaţiuni de valorificare, de exemplu valorificarea energetică;</w:t>
      </w:r>
    </w:p>
    <w:p w:rsidR="00737DE6" w:rsidRPr="00315335" w:rsidRDefault="00CA4E6F" w:rsidP="0010044C">
      <w:pPr>
        <w:pStyle w:val="Listparagraf"/>
        <w:numPr>
          <w:ilvl w:val="0"/>
          <w:numId w:val="78"/>
        </w:numPr>
        <w:jc w:val="both"/>
        <w:rPr>
          <w:rFonts w:ascii="Arial" w:hAnsi="Arial" w:cs="Arial"/>
          <w:b/>
        </w:rPr>
      </w:pPr>
      <w:hyperlink r:id="rId141" w:anchor="#" w:history="1"/>
      <w:r w:rsidR="00737DE6" w:rsidRPr="00315335">
        <w:rPr>
          <w:rFonts w:ascii="Arial" w:hAnsi="Arial" w:cs="Arial"/>
        </w:rPr>
        <w:t>eliminarea (depozitarea).</w:t>
      </w:r>
    </w:p>
    <w:p w:rsidR="00737DE6" w:rsidRPr="00315335" w:rsidRDefault="00737DE6" w:rsidP="00737DE6">
      <w:pPr>
        <w:spacing w:after="0" w:line="240" w:lineRule="auto"/>
        <w:jc w:val="both"/>
        <w:rPr>
          <w:rFonts w:ascii="Arial" w:hAnsi="Arial" w:cs="Arial"/>
          <w:b/>
          <w:sz w:val="24"/>
          <w:szCs w:val="24"/>
        </w:rPr>
      </w:pPr>
    </w:p>
    <w:p w:rsidR="00737DE6" w:rsidRPr="00315335" w:rsidRDefault="00737DE6" w:rsidP="00737DE6">
      <w:pPr>
        <w:spacing w:after="0" w:line="240" w:lineRule="auto"/>
        <w:jc w:val="both"/>
        <w:rPr>
          <w:rFonts w:ascii="Arial" w:hAnsi="Arial" w:cs="Arial"/>
          <w:b/>
          <w:sz w:val="24"/>
          <w:szCs w:val="24"/>
        </w:rPr>
      </w:pPr>
      <w:r w:rsidRPr="00315335">
        <w:rPr>
          <w:rFonts w:ascii="Arial" w:hAnsi="Arial" w:cs="Arial"/>
          <w:b/>
          <w:sz w:val="24"/>
          <w:szCs w:val="24"/>
        </w:rPr>
        <w:t xml:space="preserve">Planul Judetean de Gestionare a Deşeurilor (PJGD) </w:t>
      </w:r>
    </w:p>
    <w:p w:rsidR="00737DE6" w:rsidRPr="00315335" w:rsidRDefault="00737DE6" w:rsidP="00737DE6">
      <w:pPr>
        <w:widowControl w:val="0"/>
        <w:spacing w:after="0" w:line="240" w:lineRule="auto"/>
        <w:jc w:val="both"/>
        <w:rPr>
          <w:rFonts w:ascii="Arial" w:hAnsi="Arial" w:cs="Arial"/>
          <w:b/>
          <w:sz w:val="24"/>
          <w:szCs w:val="24"/>
          <w:lang w:val="it-IT"/>
        </w:rPr>
      </w:pPr>
      <w:r w:rsidRPr="00315335">
        <w:rPr>
          <w:rFonts w:ascii="Arial" w:hAnsi="Arial" w:cs="Arial"/>
          <w:sz w:val="24"/>
          <w:szCs w:val="24"/>
          <w:lang w:val="it-IT"/>
        </w:rPr>
        <w:t>Planul Judeţean de Gestionare a Deşeurilor (PJGD) aprobat în 2009 a prevăzut:</w:t>
      </w:r>
    </w:p>
    <w:p w:rsidR="00737DE6" w:rsidRPr="00315335" w:rsidRDefault="00737DE6" w:rsidP="0010044C">
      <w:pPr>
        <w:pStyle w:val="Listparagraf"/>
        <w:numPr>
          <w:ilvl w:val="0"/>
          <w:numId w:val="79"/>
        </w:numPr>
        <w:tabs>
          <w:tab w:val="left" w:pos="171"/>
        </w:tabs>
        <w:jc w:val="both"/>
        <w:rPr>
          <w:rFonts w:ascii="Arial" w:hAnsi="Arial" w:cs="Arial"/>
          <w:b/>
        </w:rPr>
      </w:pPr>
      <w:r w:rsidRPr="00315335">
        <w:rPr>
          <w:rFonts w:ascii="Arial" w:hAnsi="Arial" w:cs="Arial"/>
        </w:rPr>
        <w:lastRenderedPageBreak/>
        <w:t>precolectare aport individual la platforme comune pe 4 fracții- colectarea deşeurilor de către populație din gospodării și depozitarea la puncte de colectare (recipienți de depozitare specializați)</w:t>
      </w:r>
    </w:p>
    <w:p w:rsidR="00737DE6" w:rsidRPr="00315335" w:rsidRDefault="00737DE6" w:rsidP="0010044C">
      <w:pPr>
        <w:pStyle w:val="Listparagraf"/>
        <w:numPr>
          <w:ilvl w:val="0"/>
          <w:numId w:val="79"/>
        </w:numPr>
        <w:tabs>
          <w:tab w:val="left" w:pos="171"/>
        </w:tabs>
        <w:jc w:val="both"/>
        <w:rPr>
          <w:rFonts w:ascii="Arial" w:hAnsi="Arial" w:cs="Arial"/>
          <w:b/>
          <w:lang w:val="it-IT"/>
        </w:rPr>
      </w:pPr>
      <w:r w:rsidRPr="00315335">
        <w:rPr>
          <w:rFonts w:ascii="Arial" w:hAnsi="Arial" w:cs="Arial"/>
          <w:lang w:val="it-IT"/>
        </w:rPr>
        <w:t xml:space="preserve">colectare-gestionare pe 5 zone Muchea, Făurei, Ianca, Însurăţei si Frecăței, </w:t>
      </w:r>
    </w:p>
    <w:p w:rsidR="00737DE6" w:rsidRPr="00315335" w:rsidRDefault="00737DE6" w:rsidP="0010044C">
      <w:pPr>
        <w:pStyle w:val="Listparagraf"/>
        <w:numPr>
          <w:ilvl w:val="0"/>
          <w:numId w:val="79"/>
        </w:numPr>
        <w:tabs>
          <w:tab w:val="left" w:pos="171"/>
        </w:tabs>
        <w:jc w:val="both"/>
        <w:rPr>
          <w:rFonts w:ascii="Arial" w:hAnsi="Arial" w:cs="Arial"/>
          <w:b/>
          <w:lang w:val="it-IT"/>
        </w:rPr>
      </w:pPr>
      <w:r w:rsidRPr="00315335">
        <w:rPr>
          <w:rFonts w:ascii="Arial" w:hAnsi="Arial" w:cs="Arial"/>
          <w:lang w:val="it-IT"/>
        </w:rPr>
        <w:t>3 statii de transfer  Făurei, Frecăței și Însurăţei</w:t>
      </w:r>
    </w:p>
    <w:p w:rsidR="00737DE6" w:rsidRPr="00315335" w:rsidRDefault="00737DE6" w:rsidP="0010044C">
      <w:pPr>
        <w:pStyle w:val="Listparagraf"/>
        <w:numPr>
          <w:ilvl w:val="0"/>
          <w:numId w:val="79"/>
        </w:numPr>
        <w:tabs>
          <w:tab w:val="left" w:pos="171"/>
        </w:tabs>
        <w:jc w:val="both"/>
        <w:rPr>
          <w:rFonts w:ascii="Arial" w:hAnsi="Arial" w:cs="Arial"/>
          <w:b/>
          <w:lang w:val="it-IT"/>
        </w:rPr>
      </w:pPr>
      <w:r w:rsidRPr="00315335">
        <w:rPr>
          <w:rFonts w:ascii="Arial" w:hAnsi="Arial" w:cs="Arial"/>
          <w:lang w:val="it-IT"/>
        </w:rPr>
        <w:t>sortarea la depozitele ecologice Muchea și Ianca, la statie de sortare de la Ianca și la nivel centralizat -complex Ecologic Vădeni.</w:t>
      </w:r>
    </w:p>
    <w:p w:rsidR="00737DE6" w:rsidRPr="00315335" w:rsidRDefault="00737DE6" w:rsidP="0010044C">
      <w:pPr>
        <w:pStyle w:val="Listparagraf"/>
        <w:numPr>
          <w:ilvl w:val="0"/>
          <w:numId w:val="79"/>
        </w:numPr>
        <w:tabs>
          <w:tab w:val="left" w:pos="171"/>
        </w:tabs>
        <w:jc w:val="both"/>
        <w:rPr>
          <w:rFonts w:ascii="Arial" w:hAnsi="Arial" w:cs="Arial"/>
          <w:b/>
          <w:lang w:val="it-IT"/>
        </w:rPr>
      </w:pPr>
      <w:r w:rsidRPr="00315335">
        <w:rPr>
          <w:rFonts w:ascii="Arial" w:hAnsi="Arial" w:cs="Arial"/>
          <w:lang w:val="it-IT"/>
        </w:rPr>
        <w:t xml:space="preserve">3 statii de compost realizate anterior întocmirii PJGD, Făurei, Ianca și Însurăţei, </w:t>
      </w:r>
    </w:p>
    <w:p w:rsidR="00737DE6" w:rsidRPr="00315335" w:rsidRDefault="00737DE6" w:rsidP="0010044C">
      <w:pPr>
        <w:pStyle w:val="Listparagraf"/>
        <w:numPr>
          <w:ilvl w:val="0"/>
          <w:numId w:val="79"/>
        </w:numPr>
        <w:tabs>
          <w:tab w:val="left" w:pos="171"/>
        </w:tabs>
        <w:jc w:val="both"/>
        <w:rPr>
          <w:rFonts w:ascii="Arial" w:hAnsi="Arial" w:cs="Arial"/>
          <w:b/>
          <w:lang w:val="it-IT"/>
        </w:rPr>
      </w:pPr>
      <w:r w:rsidRPr="00315335">
        <w:rPr>
          <w:rFonts w:ascii="Arial" w:hAnsi="Arial" w:cs="Arial"/>
          <w:lang w:val="it-IT"/>
        </w:rPr>
        <w:t>tratare deşeuri- complex integrat la Vădeni tratare a deşeurilor</w:t>
      </w:r>
    </w:p>
    <w:p w:rsidR="00737DE6" w:rsidRPr="00315335" w:rsidRDefault="00737DE6" w:rsidP="0010044C">
      <w:pPr>
        <w:pStyle w:val="Listparagraf"/>
        <w:numPr>
          <w:ilvl w:val="0"/>
          <w:numId w:val="79"/>
        </w:numPr>
        <w:tabs>
          <w:tab w:val="left" w:pos="171"/>
        </w:tabs>
        <w:jc w:val="both"/>
        <w:rPr>
          <w:rFonts w:ascii="Arial" w:hAnsi="Arial" w:cs="Arial"/>
          <w:b/>
          <w:lang w:val="it-IT"/>
        </w:rPr>
      </w:pPr>
      <w:r w:rsidRPr="00315335">
        <w:rPr>
          <w:rFonts w:ascii="Arial" w:hAnsi="Arial" w:cs="Arial"/>
          <w:lang w:val="it-IT"/>
        </w:rPr>
        <w:t>eliminare deşeuri-depozitate în două depozite conforme: Muchea (existent) și Ianca ce urmează a se înființa</w:t>
      </w:r>
    </w:p>
    <w:p w:rsidR="00737DE6" w:rsidRPr="00315335" w:rsidRDefault="00737DE6" w:rsidP="00737DE6">
      <w:pPr>
        <w:tabs>
          <w:tab w:val="left" w:pos="171"/>
        </w:tabs>
        <w:spacing w:after="0" w:line="240" w:lineRule="auto"/>
        <w:jc w:val="both"/>
        <w:rPr>
          <w:rFonts w:ascii="Arial" w:hAnsi="Arial" w:cs="Arial"/>
          <w:b/>
          <w:sz w:val="24"/>
          <w:szCs w:val="24"/>
          <w:lang w:val="it-IT"/>
        </w:rPr>
      </w:pPr>
    </w:p>
    <w:p w:rsidR="00737DE6" w:rsidRPr="00315335" w:rsidRDefault="00737DE6" w:rsidP="00737DE6">
      <w:pPr>
        <w:spacing w:after="0" w:line="240" w:lineRule="auto"/>
        <w:ind w:firstLine="709"/>
        <w:rPr>
          <w:rFonts w:ascii="Arial" w:eastAsia="Wingdings" w:hAnsi="Arial" w:cs="Arial"/>
          <w:sz w:val="24"/>
          <w:szCs w:val="24"/>
        </w:rPr>
      </w:pPr>
      <w:r w:rsidRPr="00315335">
        <w:rPr>
          <w:rFonts w:ascii="Arial" w:eastAsia="Wingdings" w:hAnsi="Arial" w:cs="Arial"/>
          <w:sz w:val="24"/>
          <w:szCs w:val="24"/>
        </w:rPr>
        <w:t xml:space="preserve">Prin Planul de investiţii pe termen lung pentru perioada 2008  - 2038 „Managementul Integrat al Deşeurilor în Judeţul Brăila” (Masterplan Deșeuri), aprobat prin HCJ nr. 95/2009, s-a stabilit calendarul de implementare pentru realizarea investiţiilor din Planul Judeţean de Gestionare a Deşeurilor şi obţinerea finanţărilor prin POS Mediu. Pentru pregătirea planului şi a aplicaţiei de finanţare prin POS Mediu Consiliul Judeţean Brăila a beneficiat de proiectul de Asistenţă Tehnică ISPA finanţat de MMDD (prin împrumut de la Banca Mondială). </w:t>
      </w:r>
    </w:p>
    <w:p w:rsidR="00737DE6" w:rsidRPr="00315335" w:rsidRDefault="00737DE6" w:rsidP="00737DE6">
      <w:pPr>
        <w:widowControl w:val="0"/>
        <w:spacing w:after="0" w:line="240" w:lineRule="auto"/>
        <w:jc w:val="both"/>
        <w:rPr>
          <w:rFonts w:ascii="Arial" w:hAnsi="Arial" w:cs="Arial"/>
          <w:b/>
          <w:sz w:val="24"/>
          <w:szCs w:val="24"/>
          <w:lang w:val="it-IT"/>
        </w:rPr>
      </w:pPr>
    </w:p>
    <w:p w:rsidR="00737DE6" w:rsidRPr="00315335" w:rsidRDefault="00737DE6" w:rsidP="00737DE6">
      <w:pPr>
        <w:widowControl w:val="0"/>
        <w:spacing w:after="0" w:line="240" w:lineRule="auto"/>
        <w:jc w:val="both"/>
        <w:rPr>
          <w:rFonts w:ascii="Arial" w:hAnsi="Arial" w:cs="Arial"/>
          <w:b/>
          <w:sz w:val="24"/>
          <w:szCs w:val="24"/>
          <w:lang w:val="it-IT"/>
        </w:rPr>
      </w:pPr>
      <w:r w:rsidRPr="00315335">
        <w:rPr>
          <w:rFonts w:ascii="Arial" w:hAnsi="Arial" w:cs="Arial"/>
          <w:sz w:val="24"/>
          <w:szCs w:val="24"/>
          <w:lang w:val="it-IT"/>
        </w:rPr>
        <w:t>Obiectivele planului sunt următoarele:</w:t>
      </w:r>
    </w:p>
    <w:p w:rsidR="00737DE6" w:rsidRPr="00315335" w:rsidRDefault="00737DE6" w:rsidP="0010044C">
      <w:pPr>
        <w:pStyle w:val="Listparagraf"/>
        <w:widowControl w:val="0"/>
        <w:numPr>
          <w:ilvl w:val="0"/>
          <w:numId w:val="80"/>
        </w:numPr>
        <w:jc w:val="both"/>
        <w:rPr>
          <w:rFonts w:ascii="Arial" w:hAnsi="Arial" w:cs="Arial"/>
          <w:b/>
          <w:lang w:val="it-IT"/>
        </w:rPr>
      </w:pPr>
      <w:r w:rsidRPr="00315335">
        <w:rPr>
          <w:rFonts w:ascii="Arial" w:hAnsi="Arial" w:cs="Arial"/>
          <w:lang w:val="it-IT"/>
        </w:rPr>
        <w:t>Asigurarea conformităţii cu legislaţia UE şi cu legislaţia românească privind depozitarea deşeurilor biodegradabile, prin construirea unei staţii de compostare a deşeurilor, precum şi prin implementarea unui sistem de colectare selectivă a acestora;</w:t>
      </w:r>
    </w:p>
    <w:p w:rsidR="00737DE6" w:rsidRPr="00315335" w:rsidRDefault="00737DE6" w:rsidP="0010044C">
      <w:pPr>
        <w:pStyle w:val="Listparagraf"/>
        <w:widowControl w:val="0"/>
        <w:numPr>
          <w:ilvl w:val="0"/>
          <w:numId w:val="80"/>
        </w:numPr>
        <w:jc w:val="both"/>
        <w:rPr>
          <w:rFonts w:ascii="Arial" w:hAnsi="Arial" w:cs="Arial"/>
          <w:b/>
          <w:lang w:val="it-IT"/>
        </w:rPr>
      </w:pPr>
      <w:r w:rsidRPr="00315335">
        <w:rPr>
          <w:rFonts w:ascii="Arial" w:hAnsi="Arial" w:cs="Arial"/>
          <w:lang w:val="it-IT"/>
        </w:rPr>
        <w:t>Asigurarea conformităţii cu legislaţia UE şi cu legislaţia românească privind colectarea deşeurilor din ambalaje, prin construirea unei staţii de sortare a deşeurilor, precum şi prin implementarea unui sistem de colectare selectivă a acestora;</w:t>
      </w:r>
    </w:p>
    <w:p w:rsidR="00737DE6" w:rsidRPr="00315335" w:rsidRDefault="00737DE6" w:rsidP="0010044C">
      <w:pPr>
        <w:pStyle w:val="Listparagraf"/>
        <w:widowControl w:val="0"/>
        <w:numPr>
          <w:ilvl w:val="0"/>
          <w:numId w:val="80"/>
        </w:numPr>
        <w:jc w:val="both"/>
        <w:rPr>
          <w:rFonts w:ascii="Arial" w:hAnsi="Arial" w:cs="Arial"/>
          <w:b/>
          <w:lang w:val="it-IT"/>
        </w:rPr>
      </w:pPr>
      <w:r w:rsidRPr="00315335">
        <w:rPr>
          <w:rFonts w:ascii="Arial" w:hAnsi="Arial" w:cs="Arial"/>
          <w:lang w:val="it-IT"/>
        </w:rPr>
        <w:t>Reducerea costurilor de transport a deşeurilor municipale mixte prin construirea unei staţii de transfer şi achiziţia echipamentelor şi utilajelor necesare pentru transfer;</w:t>
      </w:r>
    </w:p>
    <w:p w:rsidR="00737DE6" w:rsidRPr="00315335" w:rsidRDefault="00737DE6" w:rsidP="0010044C">
      <w:pPr>
        <w:pStyle w:val="Listparagraf"/>
        <w:widowControl w:val="0"/>
        <w:numPr>
          <w:ilvl w:val="0"/>
          <w:numId w:val="80"/>
        </w:numPr>
        <w:jc w:val="both"/>
        <w:rPr>
          <w:rFonts w:ascii="Arial" w:hAnsi="Arial" w:cs="Arial"/>
          <w:b/>
          <w:lang w:val="it-IT"/>
        </w:rPr>
      </w:pPr>
      <w:r w:rsidRPr="00315335">
        <w:rPr>
          <w:rFonts w:ascii="Arial" w:hAnsi="Arial" w:cs="Arial"/>
          <w:lang w:val="it-IT"/>
        </w:rPr>
        <w:t>Realizarea unei depozitări a deşeurilor eficientă din punct de vedere ecologic, prin construirea unui centru de management integrat al deşeurilor, a cărei componentă principală este un depozit ecologic;</w:t>
      </w:r>
    </w:p>
    <w:p w:rsidR="00737DE6" w:rsidRPr="00315335" w:rsidRDefault="00737DE6" w:rsidP="0010044C">
      <w:pPr>
        <w:pStyle w:val="Listparagraf"/>
        <w:widowControl w:val="0"/>
        <w:numPr>
          <w:ilvl w:val="0"/>
          <w:numId w:val="80"/>
        </w:numPr>
        <w:jc w:val="both"/>
        <w:rPr>
          <w:rFonts w:ascii="Arial" w:hAnsi="Arial" w:cs="Arial"/>
          <w:b/>
          <w:lang w:val="it-IT"/>
        </w:rPr>
      </w:pPr>
      <w:r w:rsidRPr="00315335">
        <w:rPr>
          <w:rFonts w:ascii="Arial" w:hAnsi="Arial" w:cs="Arial"/>
          <w:lang w:val="it-IT"/>
        </w:rPr>
        <w:t>Reducerea la minim a impactului depozitelor urbane asupra mediului, prin închiderea şi reabilitarea depozitelor urbane existente în judeţul Brăila.</w:t>
      </w:r>
    </w:p>
    <w:p w:rsidR="00737DE6" w:rsidRPr="00315335" w:rsidRDefault="00737DE6" w:rsidP="0010044C">
      <w:pPr>
        <w:pStyle w:val="Listparagraf"/>
        <w:widowControl w:val="0"/>
        <w:numPr>
          <w:ilvl w:val="0"/>
          <w:numId w:val="80"/>
        </w:numPr>
        <w:jc w:val="both"/>
        <w:rPr>
          <w:rFonts w:ascii="Arial" w:hAnsi="Arial" w:cs="Arial"/>
          <w:b/>
          <w:lang w:val="it-IT"/>
        </w:rPr>
      </w:pPr>
      <w:r w:rsidRPr="00315335">
        <w:rPr>
          <w:rFonts w:ascii="Arial" w:hAnsi="Arial" w:cs="Arial"/>
          <w:lang w:val="it-IT"/>
        </w:rPr>
        <w:t>La acestea se adaugă un contract de furnizare bunuri: “Achiziţii de echipamente pentru colectarea deşeurilor din judeţul Brăila” şi un contract de concesiune servicii pentru desemnarea operatorilor sistemului de management integrat al deşeurilor din judeţul Brăila.</w:t>
      </w:r>
    </w:p>
    <w:p w:rsidR="00737DE6" w:rsidRPr="00315335" w:rsidRDefault="00737DE6" w:rsidP="00737DE6">
      <w:pPr>
        <w:tabs>
          <w:tab w:val="left" w:pos="720"/>
        </w:tabs>
        <w:suppressAutoHyphens/>
        <w:spacing w:after="0" w:line="240" w:lineRule="auto"/>
        <w:rPr>
          <w:rFonts w:ascii="Arial" w:hAnsi="Arial" w:cs="Arial"/>
          <w:sz w:val="24"/>
          <w:szCs w:val="24"/>
        </w:rPr>
      </w:pP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Proiectul  „Sistem de management integrat al deşeurilor în Judeţul Brăila” (SMID)  prin care se realizează investiţiil prevăzute în MASTERPLAN a fost reglementat în iulie 2011. Sistemul este proiectat să deservească întreaga populaţie și toată suprafața judeţului Brăila.Valoarea totală a proiectului a fost de 117.510.033 lei, inclusiv TVA, finanțat inițial prin POS Mediu.</w:t>
      </w:r>
    </w:p>
    <w:p w:rsidR="00737DE6" w:rsidRPr="00315335" w:rsidRDefault="00737DE6" w:rsidP="00737DE6">
      <w:pPr>
        <w:spacing w:after="0" w:line="240" w:lineRule="auto"/>
        <w:ind w:firstLine="708"/>
        <w:rPr>
          <w:rFonts w:ascii="Arial" w:hAnsi="Arial" w:cs="Arial"/>
          <w:b/>
          <w:sz w:val="24"/>
          <w:szCs w:val="24"/>
        </w:rPr>
      </w:pPr>
      <w:r w:rsidRPr="00315335">
        <w:rPr>
          <w:rFonts w:ascii="Arial" w:hAnsi="Arial" w:cs="Arial"/>
          <w:b/>
          <w:sz w:val="24"/>
          <w:szCs w:val="24"/>
        </w:rPr>
        <w:t>Lucrările propuse prin proiect au fost:</w:t>
      </w: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 implementarea unui sistem de colectare selectivă în toate localităţile din judeţul brăila;</w:t>
      </w: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 xml:space="preserve">- depozit de deşeuri nepericuloase şi staţie de sortare ianca; </w:t>
      </w: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 xml:space="preserve">- staţie de transfer însurăţei. </w:t>
      </w: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 închiderea depozitului neconform ianca .</w:t>
      </w:r>
    </w:p>
    <w:p w:rsidR="00737DE6" w:rsidRPr="00315335" w:rsidRDefault="00737DE6" w:rsidP="00737DE6">
      <w:pPr>
        <w:spacing w:after="0" w:line="240" w:lineRule="auto"/>
        <w:rPr>
          <w:rFonts w:ascii="Arial" w:hAnsi="Arial" w:cs="Arial"/>
          <w:sz w:val="24"/>
          <w:szCs w:val="24"/>
        </w:rPr>
      </w:pPr>
      <w:r w:rsidRPr="00315335">
        <w:rPr>
          <w:rFonts w:ascii="Arial" w:hAnsi="Arial" w:cs="Arial"/>
          <w:sz w:val="24"/>
          <w:szCs w:val="24"/>
        </w:rPr>
        <w:t>- staţie de sortare şi compostare vădeni</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 xml:space="preserve">Beneficiarul direct al proiectului va fi Consiliul Judeţean Brăila (în numele Asociaţiei de Dezvoltare Intercomunitară „Eco Dunărea” Brăila). Beneficiarii finali ai acestui proiect de management al deşeurilor vor fi gospodăriile din judeţ, instituţiile administrative şi sociale, precum şi agenţii economici ce îşi desfăşoară activitatea în Judeţul Brăila, în funcţie de tipul de deşeu pe care îl produc. Indirect, întreaga populaţie a judeţului va beneficia de pe urma acestui proiect, prin faptul că toţi vor utiliza un sistem de management al deşeurilor cu un impact redus </w:t>
      </w:r>
      <w:r w:rsidRPr="00315335">
        <w:rPr>
          <w:rFonts w:ascii="Arial" w:hAnsi="Arial" w:cs="Arial"/>
          <w:sz w:val="24"/>
          <w:szCs w:val="24"/>
          <w:lang w:val="it-IT"/>
        </w:rPr>
        <w:lastRenderedPageBreak/>
        <w:t>asupra mediului înconjurator. Sistemul va deservi o suprafaţă de 4765,76 km² şi întreaga populaţie a judeţului Brăila (362.352 locuitori la nivelul anului 2008).</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p>
    <w:p w:rsidR="00737DE6" w:rsidRPr="00315335" w:rsidRDefault="00737DE6" w:rsidP="00737DE6">
      <w:pPr>
        <w:spacing w:after="0" w:line="240" w:lineRule="auto"/>
        <w:ind w:firstLine="708"/>
        <w:jc w:val="both"/>
        <w:rPr>
          <w:rFonts w:ascii="Arial" w:hAnsi="Arial" w:cs="Arial"/>
          <w:b/>
          <w:sz w:val="24"/>
          <w:szCs w:val="24"/>
        </w:rPr>
      </w:pPr>
      <w:r w:rsidRPr="00315335">
        <w:rPr>
          <w:rFonts w:ascii="Arial" w:eastAsia="Wingdings" w:hAnsi="Arial" w:cs="Arial"/>
          <w:sz w:val="24"/>
          <w:szCs w:val="24"/>
        </w:rPr>
        <w:t xml:space="preserve">Sistemul trebuia inițial pus în funcțiune în toamna 2015, s-a amânat pentru toamna 2016, dar termenul nu s-a respectat. Marea majoritate a </w:t>
      </w:r>
      <w:r w:rsidRPr="00315335">
        <w:rPr>
          <w:rFonts w:ascii="Arial" w:hAnsi="Arial" w:cs="Arial"/>
          <w:sz w:val="24"/>
          <w:szCs w:val="24"/>
        </w:rPr>
        <w:t xml:space="preserve">lucrărilor a fost realizată până la sfârșitul trim. I 2015, iar realizarea stației </w:t>
      </w:r>
      <w:r w:rsidRPr="00315335">
        <w:rPr>
          <w:rFonts w:ascii="Arial" w:eastAsia="Wingdings" w:hAnsi="Arial" w:cs="Arial"/>
          <w:sz w:val="24"/>
          <w:szCs w:val="24"/>
        </w:rPr>
        <w:t>Vădeni s-a demarat în 2018.</w:t>
      </w:r>
      <w:r w:rsidRPr="00315335">
        <w:rPr>
          <w:rFonts w:ascii="Arial" w:hAnsi="Arial" w:cs="Arial"/>
          <w:sz w:val="24"/>
          <w:szCs w:val="24"/>
        </w:rPr>
        <w:t>Contractul de finanțare POIM nr. 25/9.02.2017a prevăzut fazarea proiectului Sistem de management integrat al deșeurilor în județul Brăila cu termen de finalizare 31.01.2019.</w:t>
      </w:r>
      <w:r w:rsidRPr="00315335">
        <w:rPr>
          <w:rFonts w:ascii="Arial" w:eastAsia="Wingdings" w:hAnsi="Arial" w:cs="Arial"/>
          <w:sz w:val="24"/>
          <w:szCs w:val="24"/>
        </w:rPr>
        <w:t xml:space="preserve"> Pe parcursul anului 2018 s-a derulat reglementarea activității stației de transfer precum și a depozitului și stației de sortare Ianca dar numai pentru stația de transfer s-a emis autorizația de mediu. </w:t>
      </w:r>
      <w:r w:rsidRPr="00315335">
        <w:rPr>
          <w:rFonts w:ascii="Arial" w:hAnsi="Arial" w:cs="Arial"/>
          <w:sz w:val="24"/>
          <w:szCs w:val="24"/>
          <w:lang w:val="it-IT"/>
        </w:rPr>
        <w:t>Investițiile realizate deja nu pot fi puse în funcțiune deoarece nu s-a putut finaliza concesionarea gestiunii serviciului de salubrizare și a operării instalațiilor către un operator unic pentru întregul județ .</w:t>
      </w:r>
    </w:p>
    <w:p w:rsidR="00737DE6" w:rsidRPr="00315335" w:rsidRDefault="00737DE6" w:rsidP="00737DE6">
      <w:pPr>
        <w:spacing w:after="0" w:line="240" w:lineRule="auto"/>
        <w:ind w:firstLine="708"/>
        <w:jc w:val="both"/>
        <w:rPr>
          <w:rFonts w:ascii="Arial" w:hAnsi="Arial" w:cs="Arial"/>
          <w:sz w:val="24"/>
          <w:szCs w:val="24"/>
        </w:rPr>
      </w:pPr>
    </w:p>
    <w:p w:rsidR="00737DE6" w:rsidRPr="00315335" w:rsidRDefault="00737DE6" w:rsidP="00737DE6">
      <w:pPr>
        <w:spacing w:after="0" w:line="240" w:lineRule="auto"/>
        <w:ind w:firstLine="708"/>
        <w:jc w:val="both"/>
        <w:rPr>
          <w:rFonts w:ascii="Arial" w:hAnsi="Arial" w:cs="Arial"/>
          <w:b/>
          <w:sz w:val="24"/>
          <w:szCs w:val="24"/>
          <w:u w:val="single"/>
        </w:rPr>
      </w:pPr>
      <w:r w:rsidRPr="00315335">
        <w:rPr>
          <w:rFonts w:ascii="Arial" w:hAnsi="Arial" w:cs="Arial"/>
          <w:sz w:val="24"/>
          <w:szCs w:val="24"/>
        </w:rPr>
        <w:t xml:space="preserve">Până la realizarea investiţiilor planificate s-a implementat o soluţie tranzitorie de colectare şi eliminare a deşeurilor municipale din zona rurală prin amenajarea a 8 puncte de colectare zonală dotate cu containere de mare capacitate (32mc). Fiecare UAT răspunde pentru colectarea deşeurilor de la populaţie şi de depunerea la punctele zonale (prin servicii proprii sau prin delegarea serviciului către operatori de salubritate). Containerele sunt transportate de către SC RER Ecologic Service  SRL Brăila la depozitul de deşeuri conform Muchea (administrat de SC Tracon SRL).O parte din  UAT, nearondate la punctele de colectare, duc deșeurile colectate de la populație direct la depozitul Muchea. </w:t>
      </w:r>
    </w:p>
    <w:p w:rsidR="00737DE6" w:rsidRPr="00315335" w:rsidRDefault="00737DE6" w:rsidP="00737DE6">
      <w:pPr>
        <w:autoSpaceDE w:val="0"/>
        <w:autoSpaceDN w:val="0"/>
        <w:adjustRightInd w:val="0"/>
        <w:spacing w:after="0" w:line="240" w:lineRule="auto"/>
        <w:jc w:val="both"/>
        <w:rPr>
          <w:rFonts w:ascii="Arial" w:hAnsi="Arial" w:cs="Arial"/>
          <w:sz w:val="24"/>
          <w:szCs w:val="24"/>
          <w:lang w:val="it-IT"/>
        </w:rPr>
      </w:pP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lang w:val="it-IT"/>
        </w:rPr>
      </w:pPr>
      <w:r w:rsidRPr="00315335">
        <w:rPr>
          <w:rFonts w:ascii="Arial" w:hAnsi="Arial" w:cs="Arial"/>
          <w:sz w:val="24"/>
          <w:szCs w:val="24"/>
          <w:lang w:val="it-IT"/>
        </w:rPr>
        <w:t>Până la realizarea investiţiilor planificate s-a implementat deja o soluţie tranzitorie de colectare şi eliminare a deşeurilor menajere din judeţ prin :</w:t>
      </w:r>
    </w:p>
    <w:p w:rsidR="00737DE6" w:rsidRPr="00315335" w:rsidRDefault="00737DE6" w:rsidP="0010044C">
      <w:pPr>
        <w:pStyle w:val="Implicit"/>
        <w:numPr>
          <w:ilvl w:val="0"/>
          <w:numId w:val="81"/>
        </w:numPr>
        <w:tabs>
          <w:tab w:val="clear" w:pos="720"/>
          <w:tab w:val="left" w:pos="187"/>
          <w:tab w:val="left" w:pos="935"/>
          <w:tab w:val="left" w:pos="1260"/>
          <w:tab w:val="left" w:pos="1620"/>
        </w:tabs>
        <w:spacing w:after="0" w:line="240" w:lineRule="auto"/>
        <w:jc w:val="both"/>
        <w:rPr>
          <w:rFonts w:ascii="Arial" w:hAnsi="Arial" w:cs="Arial"/>
          <w:color w:val="auto"/>
          <w:lang w:val="ro-RO"/>
        </w:rPr>
      </w:pPr>
      <w:r w:rsidRPr="00315335">
        <w:rPr>
          <w:rFonts w:ascii="Arial" w:hAnsi="Arial" w:cs="Arial"/>
          <w:color w:val="auto"/>
          <w:lang w:val="ro-RO"/>
        </w:rPr>
        <w:t xml:space="preserve">amenajarea a 10 puncte zonale de colectare prevăzute cu containere de mare capacitate (32mc) în localitățile: Frecăţei, Șuțești, Surdila Găiseanca, Bărăganu, Viziru, Cireşu, Jirlău, Movila Miresii, Silistraru şi Măxineni; </w:t>
      </w:r>
    </w:p>
    <w:p w:rsidR="00737DE6" w:rsidRPr="00315335" w:rsidRDefault="00737DE6" w:rsidP="0010044C">
      <w:pPr>
        <w:pStyle w:val="Implicit"/>
        <w:numPr>
          <w:ilvl w:val="0"/>
          <w:numId w:val="81"/>
        </w:numPr>
        <w:tabs>
          <w:tab w:val="clear" w:pos="720"/>
          <w:tab w:val="left" w:pos="187"/>
          <w:tab w:val="left" w:pos="935"/>
          <w:tab w:val="left" w:pos="1260"/>
          <w:tab w:val="left" w:pos="1620"/>
        </w:tabs>
        <w:spacing w:after="0" w:line="240" w:lineRule="auto"/>
        <w:jc w:val="both"/>
        <w:rPr>
          <w:rFonts w:ascii="Arial" w:hAnsi="Arial" w:cs="Arial"/>
          <w:color w:val="auto"/>
        </w:rPr>
      </w:pPr>
      <w:r w:rsidRPr="00315335">
        <w:rPr>
          <w:rFonts w:ascii="Arial" w:hAnsi="Arial" w:cs="Arial"/>
          <w:color w:val="auto"/>
        </w:rPr>
        <w:t xml:space="preserve">fiecărui punct de colectare îi sunt arondate câte 3-4 comune, fiecare răspunde pentru colectarea deşeurilor de la populaţie şi depunerea la punctele zonale. Deşeurile sunt colectate de la locuinţe în saci de plastic, transportate cu ajutorul tractoarelor cu remorcă şi descărcate în containere; </w:t>
      </w:r>
    </w:p>
    <w:p w:rsidR="00737DE6" w:rsidRPr="00315335" w:rsidRDefault="00737DE6" w:rsidP="0010044C">
      <w:pPr>
        <w:pStyle w:val="Implicit"/>
        <w:numPr>
          <w:ilvl w:val="0"/>
          <w:numId w:val="81"/>
        </w:numPr>
        <w:tabs>
          <w:tab w:val="clear" w:pos="720"/>
          <w:tab w:val="left" w:pos="187"/>
          <w:tab w:val="left" w:pos="935"/>
          <w:tab w:val="left" w:pos="1260"/>
          <w:tab w:val="left" w:pos="1620"/>
        </w:tabs>
        <w:spacing w:after="0" w:line="240" w:lineRule="auto"/>
        <w:jc w:val="both"/>
        <w:rPr>
          <w:rFonts w:ascii="Arial" w:hAnsi="Arial" w:cs="Arial"/>
          <w:color w:val="auto"/>
        </w:rPr>
      </w:pPr>
      <w:r w:rsidRPr="00315335">
        <w:rPr>
          <w:rFonts w:ascii="Arial" w:hAnsi="Arial" w:cs="Arial"/>
          <w:color w:val="auto"/>
        </w:rPr>
        <w:t>colectarea de la populaţie se realizează prin: 6 operatori de salubritate care operează numai în zona rurală, 2 operatori care deservesc şi municipiul Brăila sau prin servicii proprii de salubrizare organizate de administraţia publică locală, astfel încât toate localităţile beneficiază de servicii de salubrizare.</w:t>
      </w:r>
    </w:p>
    <w:p w:rsidR="00737DE6" w:rsidRPr="00315335" w:rsidRDefault="00737DE6" w:rsidP="0010044C">
      <w:pPr>
        <w:pStyle w:val="Listparagraf"/>
        <w:numPr>
          <w:ilvl w:val="0"/>
          <w:numId w:val="81"/>
        </w:numPr>
        <w:shd w:val="clear" w:color="auto" w:fill="FFFFFF"/>
        <w:tabs>
          <w:tab w:val="num" w:pos="851"/>
        </w:tabs>
        <w:jc w:val="both"/>
        <w:rPr>
          <w:rFonts w:ascii="Arial" w:hAnsi="Arial" w:cs="Arial"/>
          <w:b/>
        </w:rPr>
      </w:pPr>
      <w:r w:rsidRPr="00315335">
        <w:rPr>
          <w:rFonts w:ascii="Arial" w:hAnsi="Arial" w:cs="Arial"/>
        </w:rPr>
        <w:t>transportul deșeurilor menajere de la punctele de colectare pana la depozitul ecologic Muchea se realizeaza de catre operatorul de salubritate desemnat in urma procedurii de achizitie publica, cu ajutorul unui cap tractor cu sistem de incarcare – descarcare – basculare cu carlig, si a 11 containere metalice de capacitate mare, proprietate a Consiliului Judetean Braila</w:t>
      </w:r>
    </w:p>
    <w:p w:rsidR="00737DE6" w:rsidRPr="00315335" w:rsidRDefault="00737DE6" w:rsidP="0010044C">
      <w:pPr>
        <w:pStyle w:val="Implicit"/>
        <w:numPr>
          <w:ilvl w:val="0"/>
          <w:numId w:val="81"/>
        </w:numPr>
        <w:tabs>
          <w:tab w:val="clear" w:pos="720"/>
          <w:tab w:val="left" w:pos="187"/>
          <w:tab w:val="left" w:pos="935"/>
          <w:tab w:val="left" w:pos="1260"/>
          <w:tab w:val="left" w:pos="1620"/>
        </w:tabs>
        <w:spacing w:after="0" w:line="240" w:lineRule="auto"/>
        <w:jc w:val="both"/>
        <w:rPr>
          <w:rFonts w:ascii="Arial" w:hAnsi="Arial" w:cs="Arial"/>
          <w:color w:val="auto"/>
        </w:rPr>
      </w:pPr>
      <w:r w:rsidRPr="00315335">
        <w:rPr>
          <w:rFonts w:ascii="Arial" w:hAnsi="Arial" w:cs="Arial"/>
          <w:color w:val="auto"/>
        </w:rPr>
        <w:t>după umplere containerele sunt transportate de către S.C. RECORWOOD S.R.L. (prin contract</w:t>
      </w:r>
      <w:r w:rsidRPr="00315335">
        <w:rPr>
          <w:rFonts w:ascii="Arial" w:hAnsi="Arial" w:cs="Arial"/>
          <w:color w:val="auto"/>
          <w:lang w:val="ro-RO"/>
        </w:rPr>
        <w:t xml:space="preserve"> de delegare a gestiunii prin concesiune a serviciului de transport</w:t>
      </w:r>
      <w:r w:rsidRPr="00315335">
        <w:rPr>
          <w:rFonts w:ascii="Arial" w:hAnsi="Arial" w:cs="Arial"/>
          <w:color w:val="auto"/>
        </w:rPr>
        <w:t xml:space="preserve"> încheiat cu ADI </w:t>
      </w:r>
      <w:r w:rsidRPr="00315335">
        <w:rPr>
          <w:rFonts w:ascii="Arial" w:hAnsi="Arial" w:cs="Arial"/>
          <w:color w:val="auto"/>
          <w:lang w:val="ro-RO"/>
        </w:rPr>
        <w:t xml:space="preserve">,,ECO DUNĂREA" Brăila) </w:t>
      </w:r>
      <w:r w:rsidRPr="00315335">
        <w:rPr>
          <w:rFonts w:ascii="Arial" w:hAnsi="Arial" w:cs="Arial"/>
          <w:color w:val="auto"/>
        </w:rPr>
        <w:t xml:space="preserve">la depozitul Muchea pentru eliminare. Containerele vor fi integrate ulterior în sistemul noilor investiţii şi vor deservi localităţile din Insula Mare a Brăilei precum şi municipiul Brăila pentru deşeurile din parcuri şi grădini care vor fi compostate. </w:t>
      </w:r>
    </w:p>
    <w:p w:rsidR="00737DE6" w:rsidRPr="00315335" w:rsidRDefault="00737DE6" w:rsidP="0010044C">
      <w:pPr>
        <w:pStyle w:val="Listparagraf"/>
        <w:widowControl w:val="0"/>
        <w:numPr>
          <w:ilvl w:val="0"/>
          <w:numId w:val="81"/>
        </w:numPr>
        <w:jc w:val="both"/>
        <w:rPr>
          <w:rFonts w:ascii="Arial" w:hAnsi="Arial" w:cs="Arial"/>
          <w:b/>
          <w:lang w:val="it-IT"/>
        </w:rPr>
      </w:pPr>
      <w:r w:rsidRPr="00315335">
        <w:rPr>
          <w:rFonts w:ascii="Arial" w:hAnsi="Arial" w:cs="Arial"/>
          <w:lang w:val="it-IT"/>
        </w:rPr>
        <w:t>Soluţia implementată asigură un grad de acoperire cu servicii de salubritate de 100% în mediul rural, dar are caracter de tranziţie până la darea în exploatare a investiţiilor proiectate.</w:t>
      </w:r>
    </w:p>
    <w:p w:rsidR="00737DE6" w:rsidRPr="00315335" w:rsidRDefault="00737DE6" w:rsidP="00737DE6">
      <w:pPr>
        <w:pStyle w:val="BodyTextIndent2BodyTextIndent2Char"/>
        <w:ind w:left="0" w:right="23"/>
        <w:rPr>
          <w:rFonts w:ascii="Arial" w:hAnsi="Arial" w:cs="Arial"/>
          <w:bCs/>
          <w:sz w:val="24"/>
          <w:szCs w:val="24"/>
        </w:rPr>
      </w:pPr>
    </w:p>
    <w:p w:rsidR="00737DE6" w:rsidRPr="00315335" w:rsidRDefault="00737DE6" w:rsidP="00737DE6">
      <w:pPr>
        <w:tabs>
          <w:tab w:val="left" w:pos="1358"/>
          <w:tab w:val="left" w:leader="dot" w:pos="9356"/>
        </w:tabs>
        <w:spacing w:after="0" w:line="240" w:lineRule="auto"/>
        <w:ind w:left="993"/>
        <w:rPr>
          <w:rFonts w:ascii="Arial" w:hAnsi="Arial" w:cs="Arial"/>
          <w:b/>
          <w:sz w:val="24"/>
          <w:szCs w:val="24"/>
        </w:rPr>
      </w:pPr>
      <w:r w:rsidRPr="00315335">
        <w:rPr>
          <w:rFonts w:ascii="Arial" w:hAnsi="Arial" w:cs="Arial"/>
          <w:b/>
          <w:sz w:val="24"/>
          <w:szCs w:val="24"/>
        </w:rPr>
        <w:t>VII.1.5.</w:t>
      </w:r>
      <w:r w:rsidRPr="00315335">
        <w:rPr>
          <w:rFonts w:ascii="Arial" w:hAnsi="Arial" w:cs="Arial"/>
          <w:b/>
          <w:i/>
          <w:sz w:val="24"/>
          <w:szCs w:val="24"/>
        </w:rPr>
        <w:t>Tendinţe şi prognoze privind generarea deşeurilor</w:t>
      </w:r>
    </w:p>
    <w:p w:rsidR="00737DE6" w:rsidRPr="00315335" w:rsidRDefault="00737DE6" w:rsidP="00737DE6">
      <w:pPr>
        <w:autoSpaceDE w:val="0"/>
        <w:autoSpaceDN w:val="0"/>
        <w:adjustRightInd w:val="0"/>
        <w:spacing w:after="0" w:line="240" w:lineRule="auto"/>
        <w:ind w:firstLine="708"/>
        <w:jc w:val="both"/>
        <w:rPr>
          <w:rFonts w:ascii="Arial" w:hAnsi="Arial" w:cs="Arial"/>
          <w:sz w:val="24"/>
          <w:szCs w:val="24"/>
        </w:rPr>
      </w:pPr>
      <w:r w:rsidRPr="00315335">
        <w:rPr>
          <w:rFonts w:ascii="Arial" w:hAnsi="Arial" w:cs="Arial"/>
          <w:sz w:val="24"/>
          <w:szCs w:val="24"/>
        </w:rPr>
        <w:t xml:space="preserve">Prin HG 942/2017 a fost aprobat Planul Național de Gestionare a Deșeurilor care stabilește </w:t>
      </w:r>
      <w:r w:rsidRPr="00315335">
        <w:rPr>
          <w:rFonts w:ascii="Arial" w:hAnsi="Arial" w:cs="Arial"/>
          <w:sz w:val="24"/>
          <w:szCs w:val="24"/>
          <w:lang w:val="it-IT"/>
        </w:rPr>
        <w:t>măsuri şi acţiuni pentru punerea în practică a obiectivelor stabilite prin Strategia Naţională de Gestionare a Deşeurilor 2014-2020.</w:t>
      </w:r>
    </w:p>
    <w:p w:rsidR="00737DE6" w:rsidRPr="00315335" w:rsidRDefault="00737DE6" w:rsidP="00F70541">
      <w:pPr>
        <w:spacing w:after="0" w:line="240" w:lineRule="auto"/>
        <w:ind w:firstLine="708"/>
        <w:jc w:val="both"/>
        <w:rPr>
          <w:rFonts w:ascii="Arial" w:hAnsi="Arial" w:cs="Arial"/>
          <w:iCs/>
          <w:sz w:val="24"/>
          <w:szCs w:val="24"/>
        </w:rPr>
      </w:pPr>
    </w:p>
    <w:p w:rsidR="00F70541" w:rsidRPr="00315335" w:rsidRDefault="00F70541" w:rsidP="00F70541">
      <w:pPr>
        <w:spacing w:after="0" w:line="240" w:lineRule="auto"/>
        <w:ind w:firstLine="708"/>
        <w:jc w:val="both"/>
        <w:rPr>
          <w:rFonts w:ascii="Arial" w:hAnsi="Arial" w:cs="Arial"/>
          <w:i/>
          <w:iCs/>
          <w:sz w:val="24"/>
          <w:szCs w:val="24"/>
        </w:rPr>
      </w:pPr>
    </w:p>
    <w:p w:rsidR="00A7312F" w:rsidRPr="00315335" w:rsidRDefault="00A7312F" w:rsidP="00A7312F">
      <w:pPr>
        <w:spacing w:after="0" w:line="240" w:lineRule="auto"/>
        <w:jc w:val="both"/>
        <w:rPr>
          <w:rFonts w:ascii="Arial" w:hAnsi="Arial" w:cs="Arial"/>
          <w:b/>
          <w:sz w:val="24"/>
          <w:szCs w:val="24"/>
          <w:lang w:val="en-US"/>
        </w:rPr>
      </w:pPr>
      <w:r w:rsidRPr="00315335">
        <w:rPr>
          <w:rFonts w:ascii="Arial" w:hAnsi="Arial" w:cs="Arial"/>
          <w:b/>
          <w:sz w:val="24"/>
          <w:szCs w:val="24"/>
          <w:lang w:val="en-US"/>
        </w:rPr>
        <w:lastRenderedPageBreak/>
        <w:t>VIII. MEDIUL URBAN, SǍNǍTATEA ŞI CALITATEA VIEŢII</w:t>
      </w:r>
    </w:p>
    <w:p w:rsidR="00A7312F" w:rsidRPr="00315335" w:rsidRDefault="00A7312F" w:rsidP="00A7312F">
      <w:pPr>
        <w:spacing w:after="0" w:line="240" w:lineRule="auto"/>
        <w:jc w:val="both"/>
        <w:rPr>
          <w:rFonts w:ascii="Arial" w:hAnsi="Arial" w:cs="Arial"/>
          <w:b/>
          <w:sz w:val="24"/>
          <w:szCs w:val="24"/>
          <w:lang w:val="en-US"/>
        </w:rPr>
      </w:pPr>
    </w:p>
    <w:p w:rsidR="00A7312F" w:rsidRPr="00315335" w:rsidRDefault="00A7312F" w:rsidP="00A7312F">
      <w:pPr>
        <w:spacing w:after="0" w:line="240" w:lineRule="auto"/>
        <w:jc w:val="both"/>
        <w:rPr>
          <w:rFonts w:ascii="Arial" w:hAnsi="Arial" w:cs="Arial"/>
          <w:b/>
          <w:sz w:val="24"/>
          <w:szCs w:val="24"/>
          <w:lang w:val="en-US"/>
        </w:rPr>
      </w:pPr>
      <w:r w:rsidRPr="00315335">
        <w:rPr>
          <w:rFonts w:ascii="Arial" w:hAnsi="Arial" w:cs="Arial"/>
          <w:b/>
          <w:sz w:val="24"/>
          <w:szCs w:val="24"/>
          <w:lang w:val="en-US"/>
        </w:rPr>
        <w:t xml:space="preserve">    VIII.1.Mediul urban şi calitatea vieţii: stare şi consecinţe</w:t>
      </w:r>
    </w:p>
    <w:p w:rsidR="00A7312F" w:rsidRPr="00315335" w:rsidRDefault="00A7312F" w:rsidP="00A7312F">
      <w:pPr>
        <w:widowControl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Mediul urban reprezintă un ecosistem specific, un complex de factori naturali şi artificiali care asigură o serie de facilităţi pentru desfăşurarea mai comodă a vieţii, dar, în acelaşi timp, expun populaţia la diverse riscuri şi disconforturi, în funcţie de modul de organizare şi folosire, mai mult sau mai puţin echilibrată, al acestora.</w:t>
      </w:r>
    </w:p>
    <w:p w:rsidR="00A7312F" w:rsidRPr="00315335" w:rsidRDefault="00A7312F" w:rsidP="00A7312F">
      <w:pPr>
        <w:widowControl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Un mediu curat este esenţial pentru sănătatea umană şi bunăstare, totuşi, interacţiunile dintre mediu şi sănătatea umană sunt extrem de complexe şi dificil de evaluat. Aceasta face ca utilizarea principiului precauţiei să fie extrem de utilă.</w:t>
      </w:r>
    </w:p>
    <w:p w:rsidR="00A7312F" w:rsidRPr="00315335" w:rsidRDefault="00A7312F" w:rsidP="00A7312F">
      <w:pPr>
        <w:widowControl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În sistemele urbane, factorii artificiali se extind din ce în ce mai mult, în detrimentul celor naturali. Localităţile urbane se confruntă cu o serie de probleme care influenţează atât sănătatea cât şi calitatea vieţii populaţiei, precum cele legate de calitatea aerului, nivelul crescut de zgomot, terenuri abandonate, zone nesistematizate şi insuficienţa spaţiilor verzi, generarea de deşeuri şi ape uzate.</w:t>
      </w:r>
    </w:p>
    <w:p w:rsidR="00A7312F" w:rsidRPr="00315335" w:rsidRDefault="00A7312F" w:rsidP="00A7312F">
      <w:pPr>
        <w:spacing w:after="0" w:line="240" w:lineRule="auto"/>
        <w:ind w:firstLine="680"/>
        <w:jc w:val="both"/>
        <w:outlineLvl w:val="0"/>
        <w:rPr>
          <w:rFonts w:ascii="Arial" w:eastAsia="Times New Roman" w:hAnsi="Arial" w:cs="Arial"/>
          <w:sz w:val="24"/>
          <w:szCs w:val="24"/>
        </w:rPr>
      </w:pPr>
      <w:r w:rsidRPr="00315335">
        <w:rPr>
          <w:rFonts w:ascii="Arial" w:eastAsia="Times New Roman" w:hAnsi="Arial" w:cs="Arial"/>
          <w:sz w:val="24"/>
          <w:szCs w:val="24"/>
        </w:rPr>
        <w:t xml:space="preserve">Scopul principal al politicilor europene este de a furniza un mediu în care “nivelul poluării să nu dea naştere unor efecte dăunătoare asupra sănătăţii umane şi a mediului”, iar grupurile vulnerabile ale populaţiei să fie protejate. </w:t>
      </w:r>
    </w:p>
    <w:p w:rsidR="00A7312F" w:rsidRPr="00315335" w:rsidRDefault="00A7312F" w:rsidP="00A7312F">
      <w:pPr>
        <w:spacing w:after="0" w:line="240" w:lineRule="auto"/>
        <w:ind w:firstLine="680"/>
        <w:jc w:val="both"/>
        <w:outlineLvl w:val="0"/>
        <w:rPr>
          <w:rFonts w:ascii="Arial" w:eastAsia="Times New Roman" w:hAnsi="Arial" w:cs="Arial"/>
          <w:sz w:val="24"/>
          <w:szCs w:val="24"/>
        </w:rPr>
      </w:pPr>
      <w:r w:rsidRPr="00315335">
        <w:rPr>
          <w:rFonts w:ascii="Arial" w:eastAsia="Times New Roman" w:hAnsi="Arial" w:cs="Arial"/>
          <w:sz w:val="24"/>
          <w:szCs w:val="24"/>
        </w:rPr>
        <w:t xml:space="preserve">Acţiunea mediului poluant asupra mediului este foarte variată şi complexă, putând merge de la simple incomodităţi în activitatea omului, aşa zisul disconfort, până la perturbări puternice ale stării de sănătate. </w:t>
      </w:r>
    </w:p>
    <w:p w:rsidR="00A7312F" w:rsidRPr="00315335" w:rsidRDefault="00A7312F" w:rsidP="004428F2">
      <w:pPr>
        <w:spacing w:after="0" w:line="240" w:lineRule="auto"/>
        <w:ind w:firstLine="680"/>
        <w:jc w:val="both"/>
        <w:outlineLvl w:val="0"/>
        <w:rPr>
          <w:rFonts w:ascii="Arial" w:hAnsi="Arial" w:cs="Arial"/>
          <w:sz w:val="24"/>
          <w:szCs w:val="24"/>
          <w:lang w:val="en-US"/>
        </w:rPr>
      </w:pPr>
      <w:r w:rsidRPr="00315335">
        <w:rPr>
          <w:rFonts w:ascii="Arial" w:eastAsia="Times New Roman" w:hAnsi="Arial" w:cs="Arial"/>
          <w:sz w:val="24"/>
          <w:szCs w:val="24"/>
        </w:rPr>
        <w:t>Evaluarea stării de sănătate a populaţiei constă în identificarea factorilor de risc care ţin de: calitatea aerului, alimentarea cu apă potabilă, colectarea şi îndepărtarea reziduurilor lichide şi solide de orice natură și zgomotul urban. Aprecierea stării de sănătate se face pe baza unor indicatori cum ar fi: sporul natural, rata brută a mortalităţii, durata medie a vieţii, mortalitatea infantilă.</w:t>
      </w:r>
      <w:r w:rsidRPr="00315335">
        <w:rPr>
          <w:rFonts w:ascii="Arial" w:hAnsi="Arial" w:cs="Arial"/>
          <w:i/>
          <w:sz w:val="24"/>
          <w:szCs w:val="24"/>
          <w:lang w:val="en-US"/>
        </w:rPr>
        <w:t xml:space="preserve">   </w:t>
      </w:r>
    </w:p>
    <w:p w:rsidR="00A7312F" w:rsidRPr="00315335" w:rsidRDefault="00A7312F" w:rsidP="00A7312F">
      <w:pPr>
        <w:spacing w:after="0" w:line="240" w:lineRule="auto"/>
        <w:jc w:val="both"/>
        <w:rPr>
          <w:rFonts w:ascii="Arial" w:hAnsi="Arial" w:cs="Arial"/>
          <w:i/>
          <w:sz w:val="24"/>
          <w:szCs w:val="24"/>
          <w:lang w:val="en-US"/>
        </w:rPr>
      </w:pPr>
    </w:p>
    <w:p w:rsidR="00A7312F" w:rsidRPr="00315335" w:rsidRDefault="00A7312F" w:rsidP="00A7312F">
      <w:pPr>
        <w:spacing w:after="0" w:line="240" w:lineRule="auto"/>
        <w:jc w:val="both"/>
        <w:rPr>
          <w:rFonts w:ascii="Arial" w:hAnsi="Arial" w:cs="Arial"/>
          <w:b/>
          <w:i/>
          <w:sz w:val="24"/>
          <w:szCs w:val="24"/>
          <w:lang w:val="en-US"/>
        </w:rPr>
      </w:pPr>
      <w:r w:rsidRPr="00315335">
        <w:rPr>
          <w:rFonts w:ascii="Arial" w:hAnsi="Arial" w:cs="Arial"/>
          <w:b/>
          <w:sz w:val="24"/>
          <w:szCs w:val="24"/>
          <w:lang w:val="en-US"/>
        </w:rPr>
        <w:t>VIII.1.1</w:t>
      </w:r>
      <w:r w:rsidRPr="00315335">
        <w:rPr>
          <w:rFonts w:ascii="Arial" w:hAnsi="Arial" w:cs="Arial"/>
          <w:b/>
          <w:i/>
          <w:sz w:val="24"/>
          <w:szCs w:val="24"/>
          <w:lang w:val="en-US"/>
        </w:rPr>
        <w:t>.Calitatea aerului din aglomerările urbane şi efectele asupra sănătăţii</w:t>
      </w:r>
    </w:p>
    <w:p w:rsidR="00A7312F" w:rsidRPr="00315335" w:rsidRDefault="00A7312F" w:rsidP="00A7312F">
      <w:pPr>
        <w:spacing w:after="0" w:line="240" w:lineRule="auto"/>
        <w:jc w:val="both"/>
        <w:rPr>
          <w:rFonts w:ascii="Arial" w:hAnsi="Arial" w:cs="Arial"/>
          <w:sz w:val="24"/>
          <w:szCs w:val="24"/>
          <w:lang w:val="en-US"/>
        </w:rPr>
      </w:pPr>
    </w:p>
    <w:p w:rsidR="00A7312F" w:rsidRPr="00315335" w:rsidRDefault="00A7312F" w:rsidP="00A7312F">
      <w:pPr>
        <w:spacing w:after="0" w:line="240" w:lineRule="auto"/>
        <w:ind w:right="3" w:firstLine="720"/>
        <w:jc w:val="both"/>
        <w:rPr>
          <w:rFonts w:ascii="Arial" w:eastAsia="Times New Roman" w:hAnsi="Arial" w:cs="Arial"/>
          <w:sz w:val="24"/>
          <w:szCs w:val="24"/>
          <w:lang w:val="it-IT"/>
        </w:rPr>
      </w:pPr>
      <w:r w:rsidRPr="00315335">
        <w:rPr>
          <w:rFonts w:ascii="Arial" w:eastAsia="Times New Roman" w:hAnsi="Arial" w:cs="Arial"/>
          <w:sz w:val="24"/>
          <w:szCs w:val="24"/>
          <w:lang w:val="it-IT"/>
        </w:rPr>
        <w:t>Poluarea atmosferică reprezintă introducerea de către om, direct sau indirect, în atmosferă şi în spaţiile închise, a substanţelor care au consecinţe prejudiciabile de natură să pună în pericol sănătatea umană, să dăuneze resurselor biologice şi ecosistemelor, să aibă o influenţă asupra schimbărilor climatice și să deterioreze bunurile materiale.</w:t>
      </w:r>
    </w:p>
    <w:p w:rsidR="00A7312F" w:rsidRPr="00315335" w:rsidRDefault="00A7312F" w:rsidP="00A7312F">
      <w:pPr>
        <w:autoSpaceDE w:val="0"/>
        <w:autoSpaceDN w:val="0"/>
        <w:adjustRightInd w:val="0"/>
        <w:spacing w:after="0" w:line="240" w:lineRule="auto"/>
        <w:ind w:firstLine="709"/>
        <w:jc w:val="both"/>
        <w:rPr>
          <w:rFonts w:ascii="Arial" w:eastAsia="Calibri" w:hAnsi="Arial" w:cs="Arial"/>
          <w:sz w:val="24"/>
          <w:szCs w:val="24"/>
        </w:rPr>
      </w:pPr>
      <w:r w:rsidRPr="00315335">
        <w:rPr>
          <w:rFonts w:ascii="Arial" w:eastAsia="Calibri" w:hAnsi="Arial" w:cs="Arial"/>
          <w:sz w:val="24"/>
          <w:szCs w:val="24"/>
        </w:rPr>
        <w:t xml:space="preserve">Prezenţa impurităţilor în aer, sub formă de pulberi, aerosoli sau gaze, permit afectarea stării de sănătate a populaţiei prin efecte imediate (directe) sau de lungă durată. </w:t>
      </w:r>
    </w:p>
    <w:p w:rsidR="00A7312F" w:rsidRPr="00315335" w:rsidRDefault="00A7312F" w:rsidP="00A7312F">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i/>
          <w:iCs/>
          <w:sz w:val="24"/>
          <w:szCs w:val="24"/>
        </w:rPr>
        <w:t xml:space="preserve">Efectele directe </w:t>
      </w:r>
      <w:r w:rsidRPr="00315335">
        <w:rPr>
          <w:rFonts w:ascii="Arial" w:eastAsia="Calibri" w:hAnsi="Arial" w:cs="Arial"/>
          <w:sz w:val="24"/>
          <w:szCs w:val="24"/>
        </w:rPr>
        <w:t>sunt reprezentate de modificările care apar în starea de sănătate a populaţiei ca urmare a expunerii la agenţi poluanţi. Aceste modificări se pot traduce în ordinea gravităţii prin: creşterea mortalităţii, creşterea morbidităţii, apariţia unor simptome sau modificării fizio-patologice, apariţia unor modificări fiziologice directe şi/sau încărcarea organismului cu agentul sau agenţii poluanţi.</w:t>
      </w:r>
    </w:p>
    <w:p w:rsidR="00A7312F" w:rsidRPr="00315335" w:rsidRDefault="00A7312F" w:rsidP="00A7312F">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i/>
          <w:iCs/>
          <w:sz w:val="24"/>
          <w:szCs w:val="24"/>
        </w:rPr>
        <w:t xml:space="preserve">Efectele de lungă durată </w:t>
      </w:r>
      <w:r w:rsidRPr="00315335">
        <w:rPr>
          <w:rFonts w:ascii="Arial" w:eastAsia="Calibri" w:hAnsi="Arial" w:cs="Arial"/>
          <w:sz w:val="24"/>
          <w:szCs w:val="24"/>
        </w:rPr>
        <w:t xml:space="preserve">sunt caracterizate prin apariţia unor fenomene patologice în urma expunerii prelungite la poluanţii atmosferici. Aceste efecte pot fi rezultatul acumulării poluanţilor în organism, în situaţia poluanţilor cumulativi (Pb, F etc.), până când încărcarea atinge pragul toxic. Efectele de lungă durată apar după intervale lungi de timp de expunere care pot fi de ani sau chiar de zeci de ani. Manifestările patologice pot îmbrăca aspecte specifice poluanţilor (intoxicaţii cronice, fenomene alergice, efecte carcinogene, mutagene şi teratogene) sau pot fi caracterizate prin apariţia unor îmbolnăviri cu etimologie multiplă, în care poluanţii să reprezinte unul dintre agenţii etimologici determinanţi sau agravanţi (boli respiratorii acute şi cronice, anemii etc.). </w:t>
      </w:r>
    </w:p>
    <w:p w:rsidR="00A7312F" w:rsidRPr="00315335" w:rsidRDefault="00A7312F" w:rsidP="00A7312F">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După tipul de acţiune pe care o au asupra organismului, poluanţii atmosferici sunt:</w:t>
      </w:r>
    </w:p>
    <w:p w:rsidR="00A7312F" w:rsidRPr="00315335" w:rsidRDefault="00A7312F" w:rsidP="00E14739">
      <w:pPr>
        <w:numPr>
          <w:ilvl w:val="0"/>
          <w:numId w:val="34"/>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315335">
        <w:rPr>
          <w:rFonts w:ascii="Arial" w:eastAsia="Calibri" w:hAnsi="Arial" w:cs="Arial"/>
          <w:sz w:val="24"/>
          <w:szCs w:val="24"/>
        </w:rPr>
        <w:t>cu acţiune iritantă;</w:t>
      </w:r>
    </w:p>
    <w:p w:rsidR="00A7312F" w:rsidRPr="00315335" w:rsidRDefault="00A7312F" w:rsidP="00E14739">
      <w:pPr>
        <w:numPr>
          <w:ilvl w:val="0"/>
          <w:numId w:val="34"/>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315335">
        <w:rPr>
          <w:rFonts w:ascii="Arial" w:eastAsia="Calibri" w:hAnsi="Arial" w:cs="Arial"/>
          <w:sz w:val="24"/>
          <w:szCs w:val="24"/>
        </w:rPr>
        <w:t>cu acţiune asfixiantă;</w:t>
      </w:r>
    </w:p>
    <w:p w:rsidR="00A7312F" w:rsidRPr="00315335" w:rsidRDefault="00A7312F" w:rsidP="00E14739">
      <w:pPr>
        <w:numPr>
          <w:ilvl w:val="0"/>
          <w:numId w:val="34"/>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315335">
        <w:rPr>
          <w:rFonts w:ascii="Arial" w:eastAsia="Calibri" w:hAnsi="Arial" w:cs="Arial"/>
          <w:sz w:val="24"/>
          <w:szCs w:val="24"/>
        </w:rPr>
        <w:t>cu acţiune toxică sistemică;</w:t>
      </w:r>
    </w:p>
    <w:p w:rsidR="00A7312F" w:rsidRPr="00315335" w:rsidRDefault="00A7312F" w:rsidP="00E14739">
      <w:pPr>
        <w:numPr>
          <w:ilvl w:val="0"/>
          <w:numId w:val="34"/>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315335">
        <w:rPr>
          <w:rFonts w:ascii="Arial" w:eastAsia="Calibri" w:hAnsi="Arial" w:cs="Arial"/>
          <w:sz w:val="24"/>
          <w:szCs w:val="24"/>
        </w:rPr>
        <w:t>cu acţiune fibrozantă şi alergizantă;</w:t>
      </w:r>
    </w:p>
    <w:p w:rsidR="00A7312F" w:rsidRPr="00315335" w:rsidRDefault="00A7312F" w:rsidP="00E14739">
      <w:pPr>
        <w:numPr>
          <w:ilvl w:val="0"/>
          <w:numId w:val="34"/>
        </w:numPr>
        <w:tabs>
          <w:tab w:val="num" w:pos="1134"/>
        </w:tabs>
        <w:autoSpaceDE w:val="0"/>
        <w:autoSpaceDN w:val="0"/>
        <w:adjustRightInd w:val="0"/>
        <w:spacing w:after="0" w:line="240" w:lineRule="auto"/>
        <w:ind w:left="1134"/>
        <w:jc w:val="both"/>
        <w:rPr>
          <w:rFonts w:ascii="Arial" w:eastAsia="Calibri" w:hAnsi="Arial" w:cs="Arial"/>
          <w:sz w:val="24"/>
          <w:szCs w:val="24"/>
        </w:rPr>
      </w:pPr>
      <w:r w:rsidRPr="00315335">
        <w:rPr>
          <w:rFonts w:ascii="Arial" w:eastAsia="Calibri" w:hAnsi="Arial" w:cs="Arial"/>
          <w:sz w:val="24"/>
          <w:szCs w:val="24"/>
        </w:rPr>
        <w:t>cu acţiune cancerigenă.</w:t>
      </w:r>
    </w:p>
    <w:p w:rsidR="00A7312F" w:rsidRPr="00315335" w:rsidRDefault="00A7312F" w:rsidP="00A7312F">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i/>
          <w:iCs/>
          <w:sz w:val="24"/>
          <w:szCs w:val="24"/>
        </w:rPr>
        <w:lastRenderedPageBreak/>
        <w:t xml:space="preserve">Poluanţii iritanţi </w:t>
      </w:r>
      <w:r w:rsidRPr="00315335">
        <w:rPr>
          <w:rFonts w:ascii="Arial" w:eastAsia="Calibri" w:hAnsi="Arial" w:cs="Arial"/>
          <w:sz w:val="24"/>
          <w:szCs w:val="24"/>
        </w:rPr>
        <w:t>realizează efecte iritative asupra mucoasei oculare şi îndeosebi asupra aparatului respirator. În această grupă intră pulberile netoxice, precum şi o sumă de gaze şi vapori ca bioxidul de sulf, bioxidul de azot, ozonul şi substanţele oxidante, clorul, amoniacul etc. Poluarea iritantă constituie cea mai răspândită dintre tipurile de poluare, rezultând în primul rând din procesele de ardere a combustibilului, dar şi din celelalte surse de poluări. Poluanţii cu acţiune iritantă sunt cei mai răspândiţi în mediu, afectând populaţia umană prin modificări la nivelul căilor respiratorii, producând hipersecreţie de mucus şi alterarea activităţii cililor vibratili, precum şi afectarea alveolelor pulmonare. Inhalarea repetată şi prelungită a gazelor, vaporilor, aerosolilor şi pulberilor iritante determină apariţia la nivelul aparatului respirator a unor modificări funcţionale şi a unor leziuni anatomice, adesea ireversibile şi susceptibile de a se agrava.</w:t>
      </w:r>
    </w:p>
    <w:p w:rsidR="00A7312F" w:rsidRPr="00315335" w:rsidRDefault="00A7312F" w:rsidP="00A7312F">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i/>
          <w:iCs/>
          <w:sz w:val="24"/>
          <w:szCs w:val="24"/>
        </w:rPr>
        <w:t xml:space="preserve">Poluanţii fibrozanţi </w:t>
      </w:r>
      <w:r w:rsidRPr="00315335">
        <w:rPr>
          <w:rFonts w:ascii="Arial" w:eastAsia="Calibri" w:hAnsi="Arial" w:cs="Arial"/>
          <w:sz w:val="24"/>
          <w:szCs w:val="24"/>
        </w:rPr>
        <w:t xml:space="preserve">produc modificări fibroase la nivelul aparatului respirator. Printre cei mai răspândiţi sunt bioxidul de siliciu, azbestul şi oxizii de fier, la care se adaugă compuşii de cobalt, bariu etc. Sunt mult mai agresivi în mediul industrial, unde determină îmbolnăviri specifice care sunt excepţionale în condiţii de poluare a aerului. Totuşi poluarea intensă cu pulberi poate duce la modificări fibroase pulmonare. </w:t>
      </w:r>
    </w:p>
    <w:p w:rsidR="00A7312F" w:rsidRPr="00315335" w:rsidRDefault="00A7312F" w:rsidP="00A7312F">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i/>
          <w:iCs/>
          <w:sz w:val="24"/>
          <w:szCs w:val="24"/>
        </w:rPr>
        <w:t xml:space="preserve">Poluanţii alergenici </w:t>
      </w:r>
      <w:r w:rsidRPr="00315335">
        <w:rPr>
          <w:rFonts w:ascii="Arial" w:eastAsia="Calibri" w:hAnsi="Arial" w:cs="Arial"/>
          <w:sz w:val="24"/>
          <w:szCs w:val="24"/>
        </w:rPr>
        <w:t xml:space="preserve">din atmosferă sunt cunoscuţi de multă vreme, cum este cazul poluanţilor naturali (polen, fungi, insecte) precum şi a prafului din casă,ca fiind responsabili de un număr foarte mare de alergii respiratorii sau cutanate. Pe lângă aceştia se adaugă poluanţii proveniţi din surse artificiale, în special industriale, care pot emite în atmosferă o sumă de alergeni compleţi sau incompleţi. Pe primul loc din acest punct de vedere, se găseşte industria chimică (industria maselor plastice, industria farmaceutică, fabricile de insecticide etc.). </w:t>
      </w:r>
    </w:p>
    <w:p w:rsidR="00A7312F" w:rsidRPr="00315335" w:rsidRDefault="00A7312F" w:rsidP="00A7312F">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i/>
          <w:iCs/>
          <w:sz w:val="24"/>
          <w:szCs w:val="24"/>
        </w:rPr>
        <w:t>Poluanţi cancerigeni</w:t>
      </w:r>
      <w:r w:rsidRPr="00315335">
        <w:rPr>
          <w:rFonts w:ascii="Arial" w:eastAsia="Calibri" w:hAnsi="Arial" w:cs="Arial"/>
          <w:sz w:val="24"/>
          <w:szCs w:val="24"/>
        </w:rPr>
        <w:t xml:space="preserve">. Există foarte multe dificultăţi în estimarea rolului poluanţilor atmosferici ca factori etiologici ai cancerului. Totuşi creşterea frecvenţei cancerului îndeosebi în mediul urban, a impus luarea în considerare şi a poluanţilor atmosferici ca agenţi cauzali posibili, cu atât mai mult cu cât în zonele poluate au fost identificate în aer substanţe cert carcinogene. Putem clasifica substanţele cancerigene prezente în aer în substanţe organice şi substanţe anorganice. Dintre poluanţii organici cancerigeni din aer, cei mai răspândiţi sunt hidrocarburile policiclice aromatice ca: enzopiren, benzontracen, benzofluoranten etc. Efecte cancerigene se atribuie şi insecticidelor organoclorurate precum şi unor monomeri folosiţi la fabricarea maselor plastice. Mai sunt incriminaţi ca agenţi cancerigeni dibenzacridina, epoxizii, precum şi nitrosaminele în aer putând fi prezenţi precursorii acestora (nitriţii şi aminele secundare). Dintre poluanţii cancerigeni anorganici menţionăm: azbestul, arsenul, cromul, cobaltul, beriliul, nichelul şi seleniul. Mai frecvent întâlnită în mediul industrial, prezenţa lor în aer a fost semnalată şi în zonele din apropierea industriilor. </w:t>
      </w:r>
    </w:p>
    <w:p w:rsidR="00A7312F" w:rsidRPr="00315335" w:rsidRDefault="00A7312F" w:rsidP="00A7312F">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 xml:space="preserve">Un aspect deosebit îl prezintă </w:t>
      </w:r>
      <w:r w:rsidRPr="00315335">
        <w:rPr>
          <w:rFonts w:ascii="Arial" w:eastAsia="Calibri" w:hAnsi="Arial" w:cs="Arial"/>
          <w:i/>
          <w:iCs/>
          <w:sz w:val="24"/>
          <w:szCs w:val="24"/>
        </w:rPr>
        <w:t>azbestul</w:t>
      </w:r>
      <w:r w:rsidRPr="00315335">
        <w:rPr>
          <w:rFonts w:ascii="Arial" w:eastAsia="Calibri" w:hAnsi="Arial" w:cs="Arial"/>
          <w:sz w:val="24"/>
          <w:szCs w:val="24"/>
        </w:rPr>
        <w:t xml:space="preserve">, mai periculos decât se presupunea cu câţiva ani în urmă şi a cărui prezenţă a fost demonstrată atât în atmosfera urbană, cât şi în plămânii (corpi azbestizici pulmonari) unui procent apreciabil din populaţia urbană neexpusă profesional. </w:t>
      </w:r>
    </w:p>
    <w:p w:rsidR="00A7312F" w:rsidRPr="00315335" w:rsidRDefault="00A7312F" w:rsidP="00A7312F">
      <w:pPr>
        <w:spacing w:after="0" w:line="240" w:lineRule="auto"/>
        <w:jc w:val="both"/>
        <w:rPr>
          <w:rFonts w:ascii="Arial" w:hAnsi="Arial" w:cs="Arial"/>
          <w:i/>
          <w:sz w:val="24"/>
          <w:szCs w:val="24"/>
          <w:lang w:val="en-US"/>
        </w:rPr>
      </w:pPr>
    </w:p>
    <w:p w:rsidR="00A7312F" w:rsidRPr="00315335" w:rsidRDefault="00A7312F" w:rsidP="00A7312F">
      <w:pPr>
        <w:spacing w:after="0" w:line="240" w:lineRule="auto"/>
        <w:jc w:val="both"/>
        <w:rPr>
          <w:rFonts w:ascii="Arial" w:hAnsi="Arial" w:cs="Arial"/>
          <w:b/>
          <w:sz w:val="24"/>
          <w:szCs w:val="24"/>
          <w:lang w:val="en-US"/>
        </w:rPr>
      </w:pPr>
      <w:r w:rsidRPr="00315335">
        <w:rPr>
          <w:rFonts w:ascii="Arial" w:hAnsi="Arial" w:cs="Arial"/>
          <w:b/>
          <w:sz w:val="24"/>
          <w:szCs w:val="24"/>
          <w:lang w:val="en-US"/>
        </w:rPr>
        <w:t xml:space="preserve">            VIII</w:t>
      </w:r>
      <w:r w:rsidRPr="00315335">
        <w:rPr>
          <w:rFonts w:ascii="Arial" w:hAnsi="Arial" w:cs="Arial"/>
          <w:b/>
          <w:i/>
          <w:sz w:val="24"/>
          <w:szCs w:val="24"/>
          <w:lang w:val="en-US"/>
        </w:rPr>
        <w:t>.</w:t>
      </w:r>
      <w:r w:rsidRPr="00315335">
        <w:rPr>
          <w:rFonts w:ascii="Arial" w:hAnsi="Arial" w:cs="Arial"/>
          <w:b/>
          <w:sz w:val="24"/>
          <w:szCs w:val="24"/>
        </w:rPr>
        <w:t>1.1.1.</w:t>
      </w:r>
      <w:r w:rsidRPr="00315335">
        <w:rPr>
          <w:rFonts w:ascii="Arial" w:hAnsi="Arial" w:cs="Arial"/>
          <w:sz w:val="24"/>
          <w:szCs w:val="24"/>
        </w:rPr>
        <w:t xml:space="preserve"> </w:t>
      </w:r>
      <w:r w:rsidRPr="00315335">
        <w:rPr>
          <w:rFonts w:ascii="Arial" w:hAnsi="Arial" w:cs="Arial"/>
          <w:b/>
          <w:sz w:val="24"/>
          <w:szCs w:val="24"/>
        </w:rPr>
        <w:t xml:space="preserve">Depăşiri ale concentraţiei medii anuale de PM10, NO2, SO2 şi O3 în   anumite aglomerări urbane  </w:t>
      </w:r>
      <w:r w:rsidRPr="00315335">
        <w:rPr>
          <w:rFonts w:ascii="Arial" w:hAnsi="Arial" w:cs="Arial"/>
          <w:sz w:val="24"/>
          <w:szCs w:val="24"/>
          <w:highlight w:val="yellow"/>
          <w:lang w:val="en-US"/>
        </w:rPr>
        <w:t xml:space="preserve"> </w:t>
      </w:r>
    </w:p>
    <w:p w:rsidR="00A7312F" w:rsidRPr="00315335" w:rsidRDefault="00A7312F" w:rsidP="00A7312F">
      <w:pPr>
        <w:spacing w:after="0" w:line="240" w:lineRule="auto"/>
        <w:ind w:firstLine="708"/>
        <w:jc w:val="both"/>
        <w:rPr>
          <w:rFonts w:ascii="Arial" w:eastAsia="Calibri" w:hAnsi="Arial" w:cs="Arial"/>
          <w:sz w:val="24"/>
          <w:szCs w:val="24"/>
        </w:rPr>
      </w:pPr>
      <w:r w:rsidRPr="00315335">
        <w:rPr>
          <w:rFonts w:ascii="Arial" w:eastAsia="Calibri" w:hAnsi="Arial" w:cs="Arial"/>
          <w:sz w:val="24"/>
          <w:szCs w:val="24"/>
        </w:rPr>
        <w:t>Principalele surse de poluare a aerului din mediul urban sunt constituite din  trafic, procesele industriale şi încălzirea rezidenţială.</w:t>
      </w:r>
    </w:p>
    <w:p w:rsidR="00A7312F" w:rsidRPr="00315335" w:rsidRDefault="00A7312F" w:rsidP="00A7312F">
      <w:pPr>
        <w:widowControl w:val="0"/>
        <w:spacing w:after="0" w:line="240" w:lineRule="auto"/>
        <w:jc w:val="both"/>
        <w:rPr>
          <w:rFonts w:ascii="Arial" w:eastAsia="Calibri" w:hAnsi="Arial" w:cs="Arial"/>
          <w:sz w:val="24"/>
          <w:szCs w:val="24"/>
        </w:rPr>
      </w:pPr>
      <w:r w:rsidRPr="00315335">
        <w:rPr>
          <w:rFonts w:ascii="Arial" w:eastAsia="Calibri" w:hAnsi="Arial" w:cs="Arial"/>
          <w:b/>
          <w:sz w:val="24"/>
          <w:szCs w:val="24"/>
        </w:rPr>
        <w:tab/>
      </w:r>
      <w:r w:rsidRPr="00315335">
        <w:rPr>
          <w:rFonts w:ascii="Arial" w:eastAsia="Calibri" w:hAnsi="Arial" w:cs="Arial"/>
          <w:sz w:val="24"/>
          <w:szCs w:val="24"/>
        </w:rPr>
        <w:t>Din datele referitoare la calitatea aerului în judeţul Braila care au fost prezentate la cap. I din prezentul raport, rezultă că în localitatile urbane din judeţ populaţia nu a fost expusă în anul 2018 la depăşiri ale concentraţiei medii anuale de PM</w:t>
      </w:r>
      <w:r w:rsidRPr="00315335">
        <w:rPr>
          <w:rFonts w:ascii="Arial" w:eastAsia="Calibri" w:hAnsi="Arial" w:cs="Arial"/>
          <w:sz w:val="24"/>
          <w:szCs w:val="24"/>
          <w:vertAlign w:val="subscript"/>
        </w:rPr>
        <w:t>10</w:t>
      </w:r>
      <w:r w:rsidRPr="00315335">
        <w:rPr>
          <w:rFonts w:ascii="Arial" w:eastAsia="Calibri" w:hAnsi="Arial" w:cs="Arial"/>
          <w:sz w:val="24"/>
          <w:szCs w:val="24"/>
        </w:rPr>
        <w:t>, PM</w:t>
      </w:r>
      <w:r w:rsidRPr="00315335">
        <w:rPr>
          <w:rFonts w:ascii="Arial" w:eastAsia="Calibri" w:hAnsi="Arial" w:cs="Arial"/>
          <w:sz w:val="24"/>
          <w:szCs w:val="24"/>
          <w:vertAlign w:val="subscript"/>
        </w:rPr>
        <w:t>2,5</w:t>
      </w:r>
      <w:r w:rsidRPr="00315335">
        <w:rPr>
          <w:rFonts w:ascii="Arial" w:eastAsia="Calibri" w:hAnsi="Arial" w:cs="Arial"/>
          <w:sz w:val="24"/>
          <w:szCs w:val="24"/>
        </w:rPr>
        <w:t>, NO</w:t>
      </w:r>
      <w:r w:rsidRPr="00315335">
        <w:rPr>
          <w:rFonts w:ascii="Arial" w:eastAsia="Calibri" w:hAnsi="Arial" w:cs="Arial"/>
          <w:sz w:val="24"/>
          <w:szCs w:val="24"/>
          <w:vertAlign w:val="subscript"/>
        </w:rPr>
        <w:t>2</w:t>
      </w:r>
      <w:r w:rsidRPr="00315335">
        <w:rPr>
          <w:rFonts w:ascii="Arial" w:eastAsia="Calibri" w:hAnsi="Arial" w:cs="Arial"/>
          <w:sz w:val="24"/>
          <w:szCs w:val="24"/>
        </w:rPr>
        <w:t>, SO</w:t>
      </w:r>
      <w:r w:rsidRPr="00315335">
        <w:rPr>
          <w:rFonts w:ascii="Arial" w:eastAsia="Calibri" w:hAnsi="Arial" w:cs="Arial"/>
          <w:sz w:val="24"/>
          <w:szCs w:val="24"/>
          <w:vertAlign w:val="subscript"/>
        </w:rPr>
        <w:t>2</w:t>
      </w:r>
      <w:r w:rsidRPr="00315335">
        <w:rPr>
          <w:rFonts w:ascii="Arial" w:eastAsia="Calibri" w:hAnsi="Arial" w:cs="Arial"/>
          <w:sz w:val="24"/>
          <w:szCs w:val="24"/>
        </w:rPr>
        <w:t>, CO, Benzen şi O</w:t>
      </w:r>
      <w:r w:rsidRPr="00315335">
        <w:rPr>
          <w:rFonts w:ascii="Arial" w:eastAsia="Calibri" w:hAnsi="Arial" w:cs="Arial"/>
          <w:sz w:val="24"/>
          <w:szCs w:val="24"/>
          <w:vertAlign w:val="subscript"/>
        </w:rPr>
        <w:t xml:space="preserve">3 </w:t>
      </w:r>
      <w:r w:rsidRPr="00315335">
        <w:rPr>
          <w:rFonts w:ascii="Arial" w:eastAsia="Calibri" w:hAnsi="Arial" w:cs="Arial"/>
          <w:sz w:val="24"/>
          <w:szCs w:val="24"/>
        </w:rPr>
        <w:t>.</w:t>
      </w:r>
    </w:p>
    <w:p w:rsidR="00A7312F" w:rsidRPr="00315335" w:rsidRDefault="00A7312F" w:rsidP="00A7312F">
      <w:pPr>
        <w:widowControl w:val="0"/>
        <w:spacing w:after="0" w:line="240" w:lineRule="auto"/>
        <w:jc w:val="both"/>
        <w:rPr>
          <w:rFonts w:ascii="Arial" w:eastAsia="Calibri" w:hAnsi="Arial" w:cs="Arial"/>
          <w:sz w:val="24"/>
          <w:szCs w:val="24"/>
        </w:rPr>
      </w:pPr>
    </w:p>
    <w:p w:rsidR="00A7312F" w:rsidRPr="00315335" w:rsidRDefault="00A7312F" w:rsidP="00A7312F">
      <w:pPr>
        <w:widowControl w:val="0"/>
        <w:spacing w:after="0" w:line="240" w:lineRule="auto"/>
        <w:jc w:val="both"/>
        <w:rPr>
          <w:rFonts w:ascii="Arial" w:eastAsia="Calibri" w:hAnsi="Arial" w:cs="Arial"/>
          <w:sz w:val="24"/>
          <w:szCs w:val="24"/>
        </w:rPr>
      </w:pPr>
      <w:r w:rsidRPr="00315335">
        <w:rPr>
          <w:rFonts w:ascii="Arial" w:eastAsia="Times New Roman" w:hAnsi="Arial" w:cs="Arial"/>
          <w:b/>
          <w:i/>
          <w:sz w:val="24"/>
          <w:szCs w:val="24"/>
        </w:rPr>
        <w:t>Depășiri ale valorilor limită privind concentrațiile de particule PM10 în aerul înconjurător</w:t>
      </w:r>
    </w:p>
    <w:p w:rsidR="00A7312F" w:rsidRPr="00315335" w:rsidRDefault="00A7312F" w:rsidP="00A7312F">
      <w:pPr>
        <w:widowControl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Studiile epidemiologice au demonstrat existenţa unei asocieri statistice semnificative între expunerea pe termen scurt şi lung la concentraţii ridicate de particule în suspensie şi morbiditatea crescută şi prematură. Particulele din aerul înconjurător care sunt semnificative pentru sănătatea umană sunt pulberile PM</w:t>
      </w:r>
      <w:r w:rsidRPr="00315335">
        <w:rPr>
          <w:rFonts w:ascii="Arial" w:eastAsia="Calibri" w:hAnsi="Arial" w:cs="Arial"/>
          <w:sz w:val="24"/>
          <w:szCs w:val="24"/>
          <w:vertAlign w:val="subscript"/>
        </w:rPr>
        <w:t>10</w:t>
      </w:r>
      <w:r w:rsidRPr="00315335">
        <w:rPr>
          <w:rFonts w:ascii="Arial" w:eastAsia="Calibri" w:hAnsi="Arial" w:cs="Arial"/>
          <w:sz w:val="24"/>
          <w:szCs w:val="24"/>
        </w:rPr>
        <w:t xml:space="preserve"> şi PM</w:t>
      </w:r>
      <w:r w:rsidRPr="00315335">
        <w:rPr>
          <w:rFonts w:ascii="Arial" w:eastAsia="Calibri" w:hAnsi="Arial" w:cs="Arial"/>
          <w:sz w:val="24"/>
          <w:szCs w:val="24"/>
          <w:vertAlign w:val="subscript"/>
        </w:rPr>
        <w:t>2,5</w:t>
      </w:r>
      <w:r w:rsidRPr="00315335">
        <w:rPr>
          <w:rFonts w:ascii="Arial" w:eastAsia="Calibri" w:hAnsi="Arial" w:cs="Arial"/>
          <w:sz w:val="24"/>
          <w:szCs w:val="24"/>
        </w:rPr>
        <w:t xml:space="preserve">, reprezentând acele particule din aer care trec printr-un orificiu de selectare a dimensiunii cu un randament de separare de 50% pentru un diametru aerodinamic de 10 μm, respectiv 2,5 μm. </w:t>
      </w:r>
    </w:p>
    <w:p w:rsidR="00A7312F" w:rsidRPr="00315335" w:rsidRDefault="00A7312F" w:rsidP="00A7312F">
      <w:pPr>
        <w:widowControl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 xml:space="preserve">Pentru pulberile în suspensie PM10, Legea nr. 104/2011 stabileşte: </w:t>
      </w:r>
    </w:p>
    <w:p w:rsidR="00A7312F" w:rsidRPr="00315335" w:rsidRDefault="00A7312F" w:rsidP="00E14739">
      <w:pPr>
        <w:widowControl w:val="0"/>
        <w:numPr>
          <w:ilvl w:val="0"/>
          <w:numId w:val="35"/>
        </w:numPr>
        <w:spacing w:after="0" w:line="240" w:lineRule="auto"/>
        <w:ind w:left="709"/>
        <w:jc w:val="both"/>
        <w:rPr>
          <w:rFonts w:ascii="Arial" w:eastAsia="Calibri" w:hAnsi="Arial" w:cs="Arial"/>
          <w:sz w:val="24"/>
          <w:szCs w:val="24"/>
        </w:rPr>
      </w:pPr>
      <w:r w:rsidRPr="00315335">
        <w:rPr>
          <w:rFonts w:ascii="Arial" w:eastAsia="Calibri" w:hAnsi="Arial" w:cs="Arial"/>
          <w:sz w:val="24"/>
          <w:szCs w:val="24"/>
        </w:rPr>
        <w:t>o valoare limită zilnică de 50 µg/m</w:t>
      </w:r>
      <w:r w:rsidRPr="00315335">
        <w:rPr>
          <w:rFonts w:ascii="Arial" w:eastAsia="Calibri" w:hAnsi="Arial" w:cs="Arial"/>
          <w:sz w:val="24"/>
          <w:szCs w:val="24"/>
          <w:vertAlign w:val="superscript"/>
        </w:rPr>
        <w:t>3</w:t>
      </w:r>
      <w:r w:rsidRPr="00315335">
        <w:rPr>
          <w:rFonts w:ascii="Arial" w:eastAsia="Calibri" w:hAnsi="Arial" w:cs="Arial"/>
          <w:sz w:val="24"/>
          <w:szCs w:val="24"/>
        </w:rPr>
        <w:t xml:space="preserve">, care nu trebuie depășită în mai mult de 35 de </w:t>
      </w:r>
      <w:r w:rsidRPr="00315335">
        <w:rPr>
          <w:rFonts w:ascii="Arial" w:eastAsia="Calibri" w:hAnsi="Arial" w:cs="Arial"/>
          <w:sz w:val="24"/>
          <w:szCs w:val="24"/>
        </w:rPr>
        <w:lastRenderedPageBreak/>
        <w:t>zile într-un an calendaristic.</w:t>
      </w:r>
    </w:p>
    <w:p w:rsidR="00A7312F" w:rsidRPr="00315335" w:rsidRDefault="00A7312F" w:rsidP="00E14739">
      <w:pPr>
        <w:widowControl w:val="0"/>
        <w:numPr>
          <w:ilvl w:val="0"/>
          <w:numId w:val="35"/>
        </w:numPr>
        <w:spacing w:after="0" w:line="240" w:lineRule="auto"/>
        <w:ind w:left="709"/>
        <w:jc w:val="both"/>
        <w:rPr>
          <w:rFonts w:ascii="Arial" w:eastAsia="Calibri" w:hAnsi="Arial" w:cs="Arial"/>
          <w:sz w:val="24"/>
          <w:szCs w:val="24"/>
        </w:rPr>
      </w:pPr>
      <w:r w:rsidRPr="00315335">
        <w:rPr>
          <w:rFonts w:ascii="Arial" w:eastAsia="Calibri" w:hAnsi="Arial" w:cs="Arial"/>
          <w:sz w:val="24"/>
          <w:szCs w:val="24"/>
        </w:rPr>
        <w:t>o valoare limită anuală, de 40 µg/m</w:t>
      </w:r>
      <w:r w:rsidRPr="00315335">
        <w:rPr>
          <w:rFonts w:ascii="Arial" w:eastAsia="Calibri" w:hAnsi="Arial" w:cs="Arial"/>
          <w:sz w:val="24"/>
          <w:szCs w:val="24"/>
          <w:vertAlign w:val="superscript"/>
        </w:rPr>
        <w:t>3</w:t>
      </w:r>
      <w:r w:rsidRPr="00315335">
        <w:rPr>
          <w:rFonts w:ascii="Arial" w:eastAsia="Calibri" w:hAnsi="Arial" w:cs="Arial"/>
          <w:sz w:val="24"/>
          <w:szCs w:val="24"/>
        </w:rPr>
        <w:t>.</w:t>
      </w:r>
    </w:p>
    <w:p w:rsidR="00A7312F" w:rsidRPr="00315335" w:rsidRDefault="00A7312F" w:rsidP="00A7312F">
      <w:pPr>
        <w:widowControl w:val="0"/>
        <w:autoSpaceDE w:val="0"/>
        <w:autoSpaceDN w:val="0"/>
        <w:adjustRightInd w:val="0"/>
        <w:spacing w:after="0" w:line="240" w:lineRule="auto"/>
        <w:jc w:val="both"/>
        <w:rPr>
          <w:rFonts w:ascii="Arial" w:eastAsia="Calibri" w:hAnsi="Arial" w:cs="Arial"/>
          <w:b/>
          <w:sz w:val="24"/>
          <w:szCs w:val="24"/>
        </w:rPr>
      </w:pPr>
      <w:r w:rsidRPr="00315335">
        <w:rPr>
          <w:rFonts w:ascii="Arial" w:eastAsia="Times New Roman" w:hAnsi="Arial" w:cs="Arial"/>
          <w:sz w:val="24"/>
          <w:szCs w:val="24"/>
        </w:rPr>
        <w:tab/>
        <w:t>În</w:t>
      </w:r>
      <w:r w:rsidR="002064D4">
        <w:rPr>
          <w:rFonts w:ascii="Arial" w:eastAsia="Times New Roman" w:hAnsi="Arial" w:cs="Arial"/>
          <w:sz w:val="24"/>
          <w:szCs w:val="24"/>
        </w:rPr>
        <w:t xml:space="preserve"> </w:t>
      </w:r>
      <w:r w:rsidRPr="00315335">
        <w:rPr>
          <w:rFonts w:ascii="Arial" w:eastAsia="Times New Roman" w:hAnsi="Arial" w:cs="Arial"/>
          <w:sz w:val="24"/>
          <w:szCs w:val="24"/>
        </w:rPr>
        <w:t xml:space="preserve">anul </w:t>
      </w:r>
      <w:r w:rsidRPr="00315335">
        <w:rPr>
          <w:rFonts w:ascii="Arial" w:eastAsia="Calibri" w:hAnsi="Arial" w:cs="Arial"/>
          <w:sz w:val="24"/>
          <w:szCs w:val="24"/>
        </w:rPr>
        <w:t>2018</w:t>
      </w:r>
      <w:r w:rsidRPr="00315335">
        <w:rPr>
          <w:rFonts w:ascii="Arial" w:eastAsia="Times New Roman" w:hAnsi="Arial" w:cs="Arial"/>
          <w:sz w:val="24"/>
          <w:szCs w:val="24"/>
        </w:rPr>
        <w:t>, măsurătorile pentru poluanţi PM</w:t>
      </w:r>
      <w:r w:rsidRPr="00315335">
        <w:rPr>
          <w:rFonts w:ascii="Arial" w:eastAsia="Times New Roman" w:hAnsi="Arial" w:cs="Arial"/>
          <w:sz w:val="24"/>
          <w:szCs w:val="24"/>
          <w:vertAlign w:val="subscript"/>
        </w:rPr>
        <w:t xml:space="preserve">10 </w:t>
      </w:r>
      <w:r w:rsidRPr="00315335">
        <w:rPr>
          <w:rFonts w:ascii="Arial" w:eastAsia="Times New Roman" w:hAnsi="Arial" w:cs="Arial"/>
          <w:sz w:val="24"/>
          <w:szCs w:val="24"/>
        </w:rPr>
        <w:t>şi PM</w:t>
      </w:r>
      <w:r w:rsidRPr="00315335">
        <w:rPr>
          <w:rFonts w:ascii="Arial" w:eastAsia="Times New Roman" w:hAnsi="Arial" w:cs="Arial"/>
          <w:sz w:val="24"/>
          <w:szCs w:val="24"/>
          <w:vertAlign w:val="subscript"/>
        </w:rPr>
        <w:t>2,5</w:t>
      </w:r>
      <w:r w:rsidRPr="00315335">
        <w:rPr>
          <w:rFonts w:ascii="Arial" w:eastAsia="Times New Roman" w:hAnsi="Arial" w:cs="Arial"/>
          <w:sz w:val="24"/>
          <w:szCs w:val="24"/>
        </w:rPr>
        <w:t xml:space="preserve">, nefelometric şi gravimetric au evidenţiat un număr de 17 depăşiri zilnice. </w:t>
      </w:r>
      <w:r w:rsidRPr="00315335">
        <w:rPr>
          <w:rFonts w:ascii="Arial" w:eastAsia="Calibri" w:hAnsi="Arial" w:cs="Arial"/>
          <w:sz w:val="24"/>
          <w:szCs w:val="24"/>
        </w:rPr>
        <w:t>Faţă de numărul maxim admis de 35 de depăşiri/an, în anul 2018 la staţia BR2 au fost înregistrate 3 valori zilnice mai mari de 50 µg/m</w:t>
      </w:r>
      <w:r w:rsidRPr="00315335">
        <w:rPr>
          <w:rFonts w:ascii="Arial" w:eastAsia="Calibri" w:hAnsi="Arial" w:cs="Arial"/>
          <w:sz w:val="24"/>
          <w:szCs w:val="24"/>
          <w:vertAlign w:val="superscript"/>
        </w:rPr>
        <w:t>3</w:t>
      </w:r>
      <w:r w:rsidRPr="00315335">
        <w:rPr>
          <w:rFonts w:ascii="Arial" w:eastAsia="Calibri" w:hAnsi="Arial" w:cs="Arial"/>
          <w:sz w:val="24"/>
          <w:szCs w:val="24"/>
        </w:rPr>
        <w:t>, la staţia BR3 au fost înregistrate 6 valori zilnice mai mari de 50 µg/m</w:t>
      </w:r>
      <w:r w:rsidRPr="00315335">
        <w:rPr>
          <w:rFonts w:ascii="Arial" w:eastAsia="Calibri" w:hAnsi="Arial" w:cs="Arial"/>
          <w:sz w:val="24"/>
          <w:szCs w:val="24"/>
          <w:vertAlign w:val="superscript"/>
        </w:rPr>
        <w:t>3</w:t>
      </w:r>
      <w:r w:rsidRPr="00315335">
        <w:rPr>
          <w:rFonts w:ascii="Arial" w:eastAsia="Calibri" w:hAnsi="Arial" w:cs="Arial"/>
          <w:sz w:val="24"/>
          <w:szCs w:val="24"/>
        </w:rPr>
        <w:t xml:space="preserve">, </w:t>
      </w:r>
      <w:r w:rsidRPr="00315335">
        <w:rPr>
          <w:rFonts w:ascii="Arial" w:eastAsia="Calibri" w:hAnsi="Arial" w:cs="Arial"/>
          <w:sz w:val="24"/>
          <w:szCs w:val="24"/>
          <w:vertAlign w:val="superscript"/>
        </w:rPr>
        <w:t xml:space="preserve"> </w:t>
      </w:r>
      <w:r w:rsidRPr="00315335">
        <w:rPr>
          <w:rFonts w:ascii="Arial" w:eastAsia="Calibri" w:hAnsi="Arial" w:cs="Arial"/>
          <w:sz w:val="24"/>
          <w:szCs w:val="24"/>
        </w:rPr>
        <w:t>la staţia BR4 au fost înregistrate 2 valoari zilnice mai mari de 50 µg/m3 şi la staţia BR5 au fost înregistrate 6 valoari zilnice mai mari de 50 µg/m</w:t>
      </w:r>
      <w:r w:rsidRPr="00315335">
        <w:rPr>
          <w:rFonts w:ascii="Arial" w:eastAsia="Calibri" w:hAnsi="Arial" w:cs="Arial"/>
          <w:sz w:val="24"/>
          <w:szCs w:val="24"/>
          <w:vertAlign w:val="superscript"/>
        </w:rPr>
        <w:t>3</w:t>
      </w:r>
      <w:r w:rsidRPr="00315335">
        <w:rPr>
          <w:rFonts w:ascii="Arial" w:eastAsia="Calibri" w:hAnsi="Arial" w:cs="Arial"/>
          <w:sz w:val="24"/>
          <w:szCs w:val="24"/>
        </w:rPr>
        <w:t xml:space="preserve">. Prin urmare în judetul Brăila, pentru poluantul PM10 </w:t>
      </w:r>
      <w:r w:rsidRPr="00315335">
        <w:rPr>
          <w:rFonts w:ascii="Arial" w:eastAsia="Calibri" w:hAnsi="Arial" w:cs="Arial"/>
          <w:b/>
          <w:sz w:val="24"/>
          <w:szCs w:val="24"/>
        </w:rPr>
        <w:t xml:space="preserve">nu a fost depășită valoarea limită zilnică </w:t>
      </w:r>
      <w:r w:rsidRPr="00315335">
        <w:rPr>
          <w:rFonts w:ascii="Arial" w:eastAsia="Calibri" w:hAnsi="Arial" w:cs="Arial"/>
          <w:sz w:val="24"/>
          <w:szCs w:val="24"/>
        </w:rPr>
        <w:t>pentru protecția sănătății umane la pulberi în suspensie</w:t>
      </w:r>
      <w:r w:rsidRPr="00315335">
        <w:rPr>
          <w:rFonts w:ascii="Arial" w:eastAsia="Calibri" w:hAnsi="Arial" w:cs="Arial"/>
          <w:b/>
          <w:sz w:val="24"/>
          <w:szCs w:val="24"/>
        </w:rPr>
        <w:t xml:space="preserve"> PM10.</w:t>
      </w:r>
    </w:p>
    <w:p w:rsidR="00A7312F" w:rsidRPr="00315335" w:rsidRDefault="00A7312F" w:rsidP="00A7312F">
      <w:pPr>
        <w:widowControl w:val="0"/>
        <w:spacing w:after="0" w:line="240" w:lineRule="auto"/>
        <w:jc w:val="both"/>
        <w:rPr>
          <w:rFonts w:ascii="Arial" w:eastAsia="Calibri" w:hAnsi="Arial" w:cs="Arial"/>
          <w:sz w:val="16"/>
          <w:szCs w:val="16"/>
          <w:highlight w:val="yellow"/>
        </w:rPr>
      </w:pPr>
    </w:p>
    <w:p w:rsidR="00A7312F" w:rsidRPr="00315335" w:rsidRDefault="00A7312F" w:rsidP="00A7312F">
      <w:pPr>
        <w:widowControl w:val="0"/>
        <w:spacing w:after="0" w:line="240" w:lineRule="auto"/>
        <w:rPr>
          <w:rFonts w:ascii="Arial" w:eastAsia="Calibri" w:hAnsi="Arial" w:cs="Arial"/>
          <w:b/>
          <w:i/>
          <w:sz w:val="24"/>
          <w:szCs w:val="24"/>
        </w:rPr>
      </w:pPr>
      <w:r w:rsidRPr="00315335">
        <w:rPr>
          <w:rFonts w:ascii="Arial" w:eastAsia="Calibri" w:hAnsi="Arial" w:cs="Arial"/>
          <w:b/>
          <w:i/>
          <w:sz w:val="24"/>
          <w:szCs w:val="24"/>
        </w:rPr>
        <w:t xml:space="preserve">Depășiri ale valorilor țintă privind concentrațiile de ozon din aerul înconjurător </w:t>
      </w:r>
    </w:p>
    <w:p w:rsidR="00A7312F" w:rsidRPr="00315335" w:rsidRDefault="00A7312F" w:rsidP="00A7312F">
      <w:pPr>
        <w:widowControl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 xml:space="preserve">Pentru protecția sănătății populației, prin Legea nr. 104/2011 s-a stabilit o valoare țintă de </w:t>
      </w:r>
      <w:r w:rsidRPr="00315335">
        <w:rPr>
          <w:rFonts w:ascii="Arial" w:eastAsia="Calibri" w:hAnsi="Arial" w:cs="Arial"/>
          <w:i/>
          <w:sz w:val="24"/>
          <w:szCs w:val="24"/>
        </w:rPr>
        <w:t>120 µg/m</w:t>
      </w:r>
      <w:r w:rsidRPr="00315335">
        <w:rPr>
          <w:rFonts w:ascii="Arial" w:eastAsia="Calibri" w:hAnsi="Arial" w:cs="Arial"/>
          <w:i/>
          <w:sz w:val="24"/>
          <w:szCs w:val="24"/>
          <w:vertAlign w:val="superscript"/>
        </w:rPr>
        <w:t>3</w:t>
      </w:r>
      <w:r w:rsidRPr="00315335">
        <w:rPr>
          <w:rFonts w:ascii="Arial" w:eastAsia="Calibri" w:hAnsi="Arial" w:cs="Arial"/>
          <w:sz w:val="24"/>
          <w:szCs w:val="24"/>
        </w:rPr>
        <w:t xml:space="preserve"> a valorii maxime zilnice a mediilor mobile pe 8 ore, care </w:t>
      </w:r>
      <w:r w:rsidRPr="00315335">
        <w:rPr>
          <w:rFonts w:ascii="Arial" w:eastAsia="Calibri" w:hAnsi="Arial" w:cs="Arial"/>
          <w:i/>
          <w:sz w:val="24"/>
          <w:szCs w:val="24"/>
        </w:rPr>
        <w:t>nu trebuie depășită în mai mult de 25 de zile într-un an calendaristic, mediată pe trei ani</w:t>
      </w:r>
      <w:r w:rsidRPr="00315335">
        <w:rPr>
          <w:rFonts w:ascii="Arial" w:eastAsia="Calibri" w:hAnsi="Arial" w:cs="Arial"/>
          <w:sz w:val="24"/>
          <w:szCs w:val="24"/>
        </w:rPr>
        <w:t>.</w:t>
      </w:r>
    </w:p>
    <w:p w:rsidR="00A7312F" w:rsidRPr="00315335" w:rsidRDefault="00A7312F" w:rsidP="00A7312F">
      <w:pPr>
        <w:widowControl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Expunerea la concentraţii semnificative de ozon pentru perioade de câteva zile, poate avea efecte adverse asupra sănătăţii, în special răspunsuri inflamatorii şi reducerea funcţiei pulmonare. În cazul copiilor, expunerea la concentraţii moderate de ozon pe perioade mai lungi poate duce la reducerea funcţiei pulmonare.</w:t>
      </w:r>
    </w:p>
    <w:p w:rsidR="00A7312F" w:rsidRPr="00315335" w:rsidRDefault="00A7312F" w:rsidP="00A7312F">
      <w:pPr>
        <w:widowControl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În anul 2018 nu au fost înregistrate depășiri ale valorii țintă la ozon, în stațiile de monitorizare automată a calităţii aerului de pe raza judeţului Brăila.</w:t>
      </w:r>
    </w:p>
    <w:p w:rsidR="00A7312F" w:rsidRDefault="00A7312F" w:rsidP="00A7312F">
      <w:pPr>
        <w:widowControl w:val="0"/>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Pentru perioada 2008 - 2018 valorile medii anuale ale concentraţiei poluanţilor monitorizaţi pe raza judeţului Brăila sunt prezentate în tabelul următor:</w:t>
      </w:r>
    </w:p>
    <w:p w:rsidR="00B95695" w:rsidRDefault="00B95695" w:rsidP="00A7312F">
      <w:pPr>
        <w:widowControl w:val="0"/>
        <w:spacing w:after="0" w:line="240" w:lineRule="auto"/>
        <w:ind w:firstLine="720"/>
        <w:jc w:val="both"/>
        <w:rPr>
          <w:rFonts w:ascii="Arial" w:eastAsia="Calibri" w:hAnsi="Arial" w:cs="Arial"/>
          <w:sz w:val="24"/>
          <w:szCs w:val="24"/>
        </w:rPr>
      </w:pPr>
    </w:p>
    <w:p w:rsidR="00B95695" w:rsidRPr="00315335" w:rsidRDefault="00B95695" w:rsidP="00B95695">
      <w:pPr>
        <w:spacing w:after="0" w:line="240" w:lineRule="auto"/>
        <w:jc w:val="both"/>
        <w:rPr>
          <w:rFonts w:ascii="Arial" w:eastAsia="Calibri" w:hAnsi="Arial" w:cs="Arial"/>
          <w:sz w:val="24"/>
          <w:szCs w:val="24"/>
        </w:rPr>
      </w:pPr>
      <w:r w:rsidRPr="00315335">
        <w:rPr>
          <w:rFonts w:ascii="Arial" w:eastAsia="Calibri" w:hAnsi="Arial" w:cs="Arial"/>
          <w:sz w:val="24"/>
          <w:szCs w:val="24"/>
        </w:rPr>
        <w:t>Tabel nr. VIII.1.1.1. – 1 Concentraţiile medii ale poluanţilor monitorizaţi în aglomerarea Brăila</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785"/>
        <w:gridCol w:w="785"/>
        <w:gridCol w:w="785"/>
        <w:gridCol w:w="785"/>
        <w:gridCol w:w="785"/>
        <w:gridCol w:w="785"/>
        <w:gridCol w:w="785"/>
        <w:gridCol w:w="785"/>
        <w:gridCol w:w="785"/>
        <w:gridCol w:w="785"/>
        <w:gridCol w:w="785"/>
        <w:gridCol w:w="785"/>
      </w:tblGrid>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POLUANT</w:t>
            </w:r>
          </w:p>
        </w:tc>
        <w:tc>
          <w:tcPr>
            <w:tcW w:w="851" w:type="dxa"/>
            <w:vMerge w:val="restart"/>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Tip staţie</w:t>
            </w:r>
          </w:p>
        </w:tc>
        <w:tc>
          <w:tcPr>
            <w:tcW w:w="851" w:type="dxa"/>
            <w:gridSpan w:val="11"/>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Concentraţia medie anuală</w:t>
            </w:r>
          </w:p>
        </w:tc>
      </w:tr>
      <w:tr w:rsidR="00B95695" w:rsidRPr="00315335" w:rsidTr="00631723">
        <w:trPr>
          <w:trHeight w:val="386"/>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b/>
                <w:sz w:val="20"/>
                <w:szCs w:val="20"/>
              </w:rPr>
            </w:pPr>
            <w:r w:rsidRPr="00315335">
              <w:rPr>
                <w:rFonts w:ascii="Arial" w:eastAsia="Calibri" w:hAnsi="Arial" w:cs="Arial"/>
                <w:b/>
                <w:sz w:val="20"/>
                <w:szCs w:val="20"/>
              </w:rPr>
              <w:t>2008</w:t>
            </w: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2009</w:t>
            </w:r>
          </w:p>
        </w:tc>
        <w:tc>
          <w:tcPr>
            <w:tcW w:w="851" w:type="dxa"/>
            <w:shd w:val="clear" w:color="auto" w:fill="F2DBDB" w:themeFill="accent2" w:themeFillTint="33"/>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2010</w:t>
            </w:r>
          </w:p>
        </w:tc>
        <w:tc>
          <w:tcPr>
            <w:tcW w:w="851" w:type="dxa"/>
            <w:shd w:val="clear" w:color="auto" w:fill="F2DBDB" w:themeFill="accent2" w:themeFillTint="33"/>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2011</w:t>
            </w:r>
          </w:p>
        </w:tc>
        <w:tc>
          <w:tcPr>
            <w:tcW w:w="851" w:type="dxa"/>
            <w:shd w:val="clear" w:color="auto" w:fill="F2DBDB" w:themeFill="accent2" w:themeFillTint="33"/>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2012</w:t>
            </w:r>
          </w:p>
        </w:tc>
        <w:tc>
          <w:tcPr>
            <w:tcW w:w="851" w:type="dxa"/>
            <w:shd w:val="clear" w:color="auto" w:fill="F2DBDB" w:themeFill="accent2" w:themeFillTint="33"/>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2013</w:t>
            </w:r>
          </w:p>
        </w:tc>
        <w:tc>
          <w:tcPr>
            <w:tcW w:w="851" w:type="dxa"/>
            <w:shd w:val="clear" w:color="auto" w:fill="F2DBDB" w:themeFill="accent2" w:themeFillTint="33"/>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2014</w:t>
            </w:r>
          </w:p>
        </w:tc>
        <w:tc>
          <w:tcPr>
            <w:tcW w:w="851" w:type="dxa"/>
            <w:shd w:val="clear" w:color="auto" w:fill="F2DBDB" w:themeFill="accent2" w:themeFillTint="33"/>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2015</w:t>
            </w:r>
          </w:p>
        </w:tc>
        <w:tc>
          <w:tcPr>
            <w:tcW w:w="851" w:type="dxa"/>
            <w:shd w:val="clear" w:color="auto" w:fill="F2DBDB" w:themeFill="accent2" w:themeFillTint="33"/>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2016</w:t>
            </w:r>
          </w:p>
        </w:tc>
        <w:tc>
          <w:tcPr>
            <w:tcW w:w="851" w:type="dxa"/>
            <w:shd w:val="clear" w:color="auto" w:fill="F2DBDB" w:themeFill="accent2" w:themeFillTint="33"/>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2017</w:t>
            </w:r>
          </w:p>
        </w:tc>
        <w:tc>
          <w:tcPr>
            <w:tcW w:w="851" w:type="dxa"/>
            <w:shd w:val="clear" w:color="auto" w:fill="F2DBDB" w:themeFill="accent2" w:themeFillTint="33"/>
            <w:vAlign w:val="center"/>
          </w:tcPr>
          <w:p w:rsidR="00B95695" w:rsidRPr="00315335" w:rsidRDefault="00B95695" w:rsidP="00631723">
            <w:pPr>
              <w:tabs>
                <w:tab w:val="center" w:pos="4680"/>
                <w:tab w:val="right" w:pos="9000"/>
              </w:tabs>
              <w:spacing w:after="0"/>
              <w:jc w:val="center"/>
              <w:rPr>
                <w:rFonts w:ascii="Arial" w:eastAsia="Calibri" w:hAnsi="Arial" w:cs="Arial"/>
                <w:b/>
                <w:sz w:val="20"/>
                <w:szCs w:val="20"/>
              </w:rPr>
            </w:pPr>
            <w:r w:rsidRPr="00315335">
              <w:rPr>
                <w:rFonts w:ascii="Arial" w:eastAsia="Calibri" w:hAnsi="Arial" w:cs="Arial"/>
                <w:b/>
                <w:sz w:val="20"/>
                <w:szCs w:val="20"/>
              </w:rPr>
              <w:t>2018</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vertAlign w:val="subscript"/>
              </w:rPr>
            </w:pPr>
            <w:r w:rsidRPr="00315335">
              <w:rPr>
                <w:rFonts w:ascii="Arial" w:eastAsia="Calibri" w:hAnsi="Arial" w:cs="Arial"/>
                <w:sz w:val="20"/>
                <w:szCs w:val="20"/>
              </w:rPr>
              <w:t>SO</w:t>
            </w:r>
            <w:r w:rsidRPr="00315335">
              <w:rPr>
                <w:rFonts w:ascii="Arial" w:eastAsia="Calibri" w:hAnsi="Arial" w:cs="Arial"/>
                <w:sz w:val="20"/>
                <w:szCs w:val="20"/>
                <w:vertAlign w:val="subscript"/>
              </w:rPr>
              <w:t>2</w:t>
            </w:r>
          </w:p>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(µg/mc)</w:t>
            </w: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11,62</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11,73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10,63</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3.59</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4,41</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6,27</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In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9,49</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12,28</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14,39</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16,60</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14,00</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8,01</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4.50</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4,97</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4,39</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3,51</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8,63</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14,74</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5.09</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5,08</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5,84</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 xml:space="preserve">PM10 nef </w:t>
            </w:r>
          </w:p>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(µg/mc)</w:t>
            </w: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34,02</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29,51</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22,61</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36,68</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21.91</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19,11</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16,14</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In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31,52</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28,1</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24,5</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32,5</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28,07</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36,15</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46,03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27.93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20,70</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16,42</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28,54</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22,64</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29,07</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24.31</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21,79</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13,47</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PM10 grv.</w:t>
            </w:r>
          </w:p>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(µg/mc)</w:t>
            </w: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17,12</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17,52</w:t>
            </w:r>
          </w:p>
        </w:tc>
      </w:tr>
      <w:tr w:rsidR="00B95695" w:rsidRPr="00315335" w:rsidTr="00631723">
        <w:trPr>
          <w:trHeight w:val="255"/>
          <w:jc w:val="center"/>
        </w:trPr>
        <w:tc>
          <w:tcPr>
            <w:tcW w:w="851" w:type="dxa"/>
            <w:vMerge/>
            <w:shd w:val="clear" w:color="auto" w:fill="F2DBDB" w:themeFill="accent2" w:themeFillTint="33"/>
            <w:noWrap/>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In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19,18</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10,17</w:t>
            </w:r>
          </w:p>
        </w:tc>
      </w:tr>
      <w:tr w:rsidR="00B95695" w:rsidRPr="00315335" w:rsidTr="00631723">
        <w:trPr>
          <w:trHeight w:val="255"/>
          <w:jc w:val="center"/>
        </w:trPr>
        <w:tc>
          <w:tcPr>
            <w:tcW w:w="851" w:type="dxa"/>
            <w:vMerge/>
            <w:shd w:val="clear" w:color="auto" w:fill="F2DBDB" w:themeFill="accent2" w:themeFillTint="33"/>
            <w:noWrap/>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22,98</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22,72</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vertAlign w:val="subscript"/>
              </w:rPr>
            </w:pPr>
            <w:r w:rsidRPr="00315335">
              <w:rPr>
                <w:rFonts w:ascii="Arial" w:eastAsia="Calibri" w:hAnsi="Arial" w:cs="Arial"/>
                <w:sz w:val="20"/>
                <w:szCs w:val="20"/>
              </w:rPr>
              <w:t>O</w:t>
            </w:r>
            <w:r w:rsidRPr="00315335">
              <w:rPr>
                <w:rFonts w:ascii="Arial" w:eastAsia="Calibri" w:hAnsi="Arial" w:cs="Arial"/>
                <w:sz w:val="20"/>
                <w:szCs w:val="20"/>
                <w:vertAlign w:val="subscript"/>
              </w:rPr>
              <w:t xml:space="preserve">3 </w:t>
            </w:r>
          </w:p>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(µg/mc)</w:t>
            </w: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72,66</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65,38</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63,30</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67,42</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57,39</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20,02</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53,23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36.48</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43,37</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75,92</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In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63,16</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68,8</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66,00</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52,50</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71,80</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69,60</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48,24</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44,13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50.25</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58,21</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57,23</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vertAlign w:val="subscript"/>
              </w:rPr>
            </w:pPr>
            <w:r w:rsidRPr="00315335">
              <w:rPr>
                <w:rFonts w:ascii="Arial" w:eastAsia="Calibri" w:hAnsi="Arial" w:cs="Arial"/>
                <w:sz w:val="20"/>
                <w:szCs w:val="20"/>
              </w:rPr>
              <w:t>NO</w:t>
            </w:r>
            <w:r w:rsidRPr="00315335">
              <w:rPr>
                <w:rFonts w:ascii="Arial" w:eastAsia="Calibri" w:hAnsi="Arial" w:cs="Arial"/>
                <w:sz w:val="20"/>
                <w:szCs w:val="20"/>
                <w:vertAlign w:val="subscript"/>
              </w:rPr>
              <w:t xml:space="preserve">2 </w:t>
            </w:r>
          </w:p>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(µg/mc)</w:t>
            </w: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15,76</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12,25</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23,94</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25,36</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24,94</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3,86</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15.5</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12,83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20.22</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17,17</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18,42</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In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12,65</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9,98</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10,50</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21,70</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5,15</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12,31</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12.68</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10,90</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16,30</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43,02</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30,73</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28,09</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30,52</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20.25</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26,25</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25,51</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vertAlign w:val="subscript"/>
              </w:rPr>
            </w:pPr>
            <w:r w:rsidRPr="00315335">
              <w:rPr>
                <w:rFonts w:ascii="Arial" w:eastAsia="Calibri" w:hAnsi="Arial" w:cs="Arial"/>
                <w:sz w:val="20"/>
                <w:szCs w:val="20"/>
              </w:rPr>
              <w:t>NO</w:t>
            </w:r>
            <w:r w:rsidRPr="00315335">
              <w:rPr>
                <w:rFonts w:ascii="Arial" w:eastAsia="Calibri" w:hAnsi="Arial" w:cs="Arial"/>
                <w:sz w:val="20"/>
                <w:szCs w:val="20"/>
                <w:vertAlign w:val="subscript"/>
              </w:rPr>
              <w:t xml:space="preserve">x </w:t>
            </w:r>
          </w:p>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(µg/mc)</w:t>
            </w: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21,29</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19,09</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32,95</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33,21</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34,49</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12,14</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20,8</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22,30</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22,30</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25,92</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28,28</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In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16,25</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17,83</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17,25</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31,62</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14,30</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19,78</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19,78</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16,71</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18,90</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61,58</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55,37</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43,68</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43,83</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25.23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41,51</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40,99</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 xml:space="preserve">CO </w:t>
            </w:r>
          </w:p>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(mg/mc)</w:t>
            </w: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0,12</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0,12</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0,13</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0,19</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0,15</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0,22</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0,11</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0.11</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0,09</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0,09</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In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0,16</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0,104</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0,15</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0,26</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0,07</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0,08</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0,07</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0.09</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0,085</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0,08</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0,98</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0,40</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0,19</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0,42</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0,27</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0,34</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0.19</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0,16</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0,14</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 xml:space="preserve">Pb </w:t>
            </w:r>
          </w:p>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(µg/mc)</w:t>
            </w: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0,0423</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tabs>
                <w:tab w:val="center" w:pos="4680"/>
                <w:tab w:val="right" w:pos="9000"/>
              </w:tabs>
              <w:spacing w:after="0"/>
              <w:jc w:val="center"/>
              <w:rPr>
                <w:rFonts w:ascii="Arial" w:eastAsia="Calibri" w:hAnsi="Arial" w:cs="Arial"/>
                <w:sz w:val="20"/>
                <w:szCs w:val="20"/>
              </w:rPr>
            </w:pPr>
            <w:r w:rsidRPr="00315335">
              <w:rPr>
                <w:rFonts w:ascii="Arial" w:eastAsia="Calibri" w:hAnsi="Arial" w:cs="Arial"/>
                <w:sz w:val="20"/>
                <w:szCs w:val="20"/>
              </w:rPr>
              <w:t>In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0,030</w:t>
            </w:r>
            <w:r w:rsidRPr="00315335">
              <w:rPr>
                <w:rFonts w:ascii="Arial" w:eastAsia="Calibri" w:hAnsi="Arial" w:cs="Arial"/>
                <w:sz w:val="20"/>
                <w:szCs w:val="20"/>
              </w:rPr>
              <w:lastRenderedPageBreak/>
              <w:t>1</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lastRenderedPageBreak/>
              <w:t>0,007</w:t>
            </w:r>
            <w:r w:rsidRPr="00315335">
              <w:rPr>
                <w:rFonts w:ascii="Arial" w:eastAsia="Calibri" w:hAnsi="Arial" w:cs="Arial"/>
                <w:sz w:val="20"/>
                <w:szCs w:val="20"/>
              </w:rPr>
              <w:lastRenderedPageBreak/>
              <w:t>5</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lastRenderedPageBreak/>
              <w:t>0,005</w:t>
            </w:r>
            <w:r w:rsidRPr="00315335">
              <w:rPr>
                <w:rFonts w:ascii="Arial" w:eastAsia="Calibri" w:hAnsi="Arial" w:cs="Arial"/>
                <w:sz w:val="20"/>
                <w:szCs w:val="20"/>
              </w:rPr>
              <w:lastRenderedPageBreak/>
              <w:t>2</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lastRenderedPageBreak/>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0,0463</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0,0009</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0,0085</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Benzen</w:t>
            </w:r>
          </w:p>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 xml:space="preserve"> (µg/mc)</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3,145</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0,25</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0,13</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1.2</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1,4</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1,33</w:t>
            </w:r>
          </w:p>
        </w:tc>
      </w:tr>
      <w:tr w:rsidR="00B95695" w:rsidRPr="00315335" w:rsidTr="00631723">
        <w:trPr>
          <w:trHeight w:val="255"/>
          <w:jc w:val="center"/>
        </w:trPr>
        <w:tc>
          <w:tcPr>
            <w:tcW w:w="851" w:type="dxa"/>
            <w:vMerge/>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4,65</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2,41</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1.93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2,39</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2,38</w:t>
            </w:r>
          </w:p>
        </w:tc>
      </w:tr>
      <w:tr w:rsidR="00B95695" w:rsidRPr="00315335" w:rsidTr="00631723">
        <w:trPr>
          <w:trHeight w:val="255"/>
          <w:jc w:val="center"/>
        </w:trPr>
        <w:tc>
          <w:tcPr>
            <w:tcW w:w="851" w:type="dxa"/>
            <w:vMerge w:val="restart"/>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vertAlign w:val="subscript"/>
              </w:rPr>
            </w:pPr>
            <w:r w:rsidRPr="00315335">
              <w:rPr>
                <w:rFonts w:ascii="Arial" w:eastAsia="Calibri" w:hAnsi="Arial" w:cs="Arial"/>
                <w:sz w:val="20"/>
                <w:szCs w:val="20"/>
              </w:rPr>
              <w:t>PM</w:t>
            </w:r>
            <w:r w:rsidRPr="00315335">
              <w:rPr>
                <w:rFonts w:ascii="Arial" w:eastAsia="Calibri" w:hAnsi="Arial" w:cs="Arial"/>
                <w:sz w:val="20"/>
                <w:szCs w:val="20"/>
                <w:vertAlign w:val="subscript"/>
              </w:rPr>
              <w:t xml:space="preserve">2.5 </w:t>
            </w:r>
          </w:p>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(µg/mc)</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Fd urban</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13,56</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12,51</w:t>
            </w:r>
          </w:p>
        </w:tc>
      </w:tr>
      <w:tr w:rsidR="00B95695" w:rsidRPr="00315335" w:rsidTr="00631723">
        <w:trPr>
          <w:trHeight w:val="255"/>
          <w:jc w:val="center"/>
        </w:trPr>
        <w:tc>
          <w:tcPr>
            <w:tcW w:w="851" w:type="dxa"/>
            <w:vMerge/>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noWrap/>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15,46</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0,93</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w:t>
            </w:r>
          </w:p>
        </w:tc>
        <w:tc>
          <w:tcPr>
            <w:tcW w:w="851" w:type="dxa"/>
            <w:shd w:val="clear" w:color="auto" w:fill="F2DBDB"/>
            <w:vAlign w:val="center"/>
          </w:tcPr>
          <w:p w:rsidR="00B95695" w:rsidRPr="00315335" w:rsidRDefault="00B95695" w:rsidP="00631723">
            <w:pPr>
              <w:spacing w:after="0"/>
              <w:jc w:val="center"/>
              <w:rPr>
                <w:rFonts w:ascii="Arial" w:hAnsi="Arial" w:cs="Arial"/>
                <w:sz w:val="20"/>
                <w:szCs w:val="20"/>
              </w:rPr>
            </w:pPr>
            <w:r w:rsidRPr="00315335">
              <w:rPr>
                <w:rFonts w:ascii="Arial" w:hAnsi="Arial" w:cs="Arial"/>
                <w:sz w:val="20"/>
                <w:szCs w:val="20"/>
              </w:rPr>
              <w:t>-</w:t>
            </w:r>
          </w:p>
        </w:tc>
      </w:tr>
    </w:tbl>
    <w:p w:rsidR="00B95695" w:rsidRPr="00315335" w:rsidRDefault="00B95695" w:rsidP="00A7312F">
      <w:pPr>
        <w:widowControl w:val="0"/>
        <w:spacing w:after="0" w:line="240" w:lineRule="auto"/>
        <w:ind w:firstLine="720"/>
        <w:jc w:val="both"/>
        <w:rPr>
          <w:rFonts w:ascii="Arial" w:eastAsia="Calibri" w:hAnsi="Arial" w:cs="Arial"/>
          <w:sz w:val="24"/>
          <w:szCs w:val="24"/>
        </w:rPr>
      </w:pPr>
    </w:p>
    <w:p w:rsidR="00A7312F" w:rsidRDefault="00A7312F" w:rsidP="00A7312F">
      <w:pPr>
        <w:spacing w:after="0" w:line="240" w:lineRule="auto"/>
        <w:jc w:val="both"/>
        <w:rPr>
          <w:rFonts w:ascii="Arial" w:eastAsia="Calibri" w:hAnsi="Arial" w:cs="Arial"/>
          <w:b/>
          <w:sz w:val="24"/>
          <w:szCs w:val="24"/>
        </w:rPr>
      </w:pPr>
    </w:p>
    <w:p w:rsidR="00B95695" w:rsidRPr="00315335" w:rsidRDefault="00B95695" w:rsidP="00B95695">
      <w:pPr>
        <w:spacing w:after="0" w:line="240" w:lineRule="auto"/>
        <w:ind w:firstLine="708"/>
        <w:jc w:val="both"/>
        <w:rPr>
          <w:rFonts w:ascii="Arial" w:eastAsia="Calibri" w:hAnsi="Arial" w:cs="Arial"/>
          <w:sz w:val="24"/>
          <w:szCs w:val="24"/>
        </w:rPr>
      </w:pPr>
      <w:r w:rsidRPr="00315335">
        <w:rPr>
          <w:rFonts w:ascii="Arial" w:eastAsia="Calibri" w:hAnsi="Arial" w:cs="Arial"/>
          <w:sz w:val="24"/>
          <w:szCs w:val="24"/>
        </w:rPr>
        <w:t>Din cauza defecţiunilor apărute la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B95695" w:rsidRPr="00315335" w:rsidRDefault="00B95695" w:rsidP="00B95695">
      <w:pPr>
        <w:spacing w:after="0" w:line="240" w:lineRule="auto"/>
        <w:ind w:firstLine="708"/>
        <w:jc w:val="both"/>
        <w:rPr>
          <w:rFonts w:ascii="Arial" w:hAnsi="Arial" w:cs="Arial"/>
          <w:sz w:val="24"/>
          <w:szCs w:val="24"/>
        </w:rPr>
      </w:pPr>
    </w:p>
    <w:p w:rsidR="00B95695" w:rsidRDefault="00B95695" w:rsidP="00B95695">
      <w:pPr>
        <w:spacing w:after="0" w:line="240" w:lineRule="auto"/>
        <w:jc w:val="both"/>
        <w:rPr>
          <w:rFonts w:ascii="Arial" w:hAnsi="Arial" w:cs="Arial"/>
          <w:b/>
          <w:sz w:val="24"/>
          <w:szCs w:val="24"/>
          <w:lang w:val="en-US"/>
        </w:rPr>
      </w:pPr>
      <w:r w:rsidRPr="00315335">
        <w:rPr>
          <w:rFonts w:ascii="Arial" w:hAnsi="Arial" w:cs="Arial"/>
          <w:b/>
          <w:sz w:val="24"/>
          <w:szCs w:val="24"/>
          <w:lang w:val="en-US"/>
        </w:rPr>
        <w:t xml:space="preserve">Indicatori ai efectelor poluării aerului  asupra sănătăţii populației umane </w:t>
      </w:r>
    </w:p>
    <w:p w:rsidR="00230553" w:rsidRPr="00315335" w:rsidRDefault="00230553" w:rsidP="00B95695">
      <w:pPr>
        <w:spacing w:after="0" w:line="240" w:lineRule="auto"/>
        <w:jc w:val="both"/>
        <w:rPr>
          <w:rFonts w:ascii="Arial" w:hAnsi="Arial" w:cs="Arial"/>
          <w:sz w:val="24"/>
          <w:szCs w:val="24"/>
        </w:rPr>
      </w:pPr>
    </w:p>
    <w:p w:rsidR="00B95695" w:rsidRPr="00315335" w:rsidRDefault="00B95695" w:rsidP="00B95695">
      <w:pPr>
        <w:spacing w:after="0" w:line="240" w:lineRule="auto"/>
        <w:ind w:right="-567"/>
        <w:jc w:val="both"/>
        <w:rPr>
          <w:rFonts w:ascii="Arial" w:hAnsi="Arial" w:cs="Arial"/>
          <w:sz w:val="24"/>
          <w:szCs w:val="24"/>
          <w:lang w:val="en-US"/>
        </w:rPr>
      </w:pPr>
      <w:r w:rsidRPr="00315335">
        <w:rPr>
          <w:rFonts w:ascii="Arial" w:hAnsi="Arial" w:cs="Arial"/>
          <w:sz w:val="24"/>
          <w:szCs w:val="24"/>
        </w:rPr>
        <w:t>Tabel nr. VIII.1.1.1.- 2</w:t>
      </w:r>
      <w:r w:rsidRPr="00315335">
        <w:rPr>
          <w:rFonts w:ascii="Arial" w:hAnsi="Arial" w:cs="Arial"/>
          <w:b/>
          <w:sz w:val="24"/>
          <w:szCs w:val="24"/>
        </w:rPr>
        <w:t xml:space="preserve"> -</w:t>
      </w:r>
      <w:r w:rsidRPr="00315335">
        <w:rPr>
          <w:rFonts w:ascii="Arial" w:hAnsi="Arial" w:cs="Arial"/>
          <w:sz w:val="24"/>
          <w:szCs w:val="24"/>
          <w:lang w:val="en-US"/>
        </w:rPr>
        <w:t xml:space="preserve"> Mortalitatea generală, la nivelul  judeţului Brăila, cea datorată</w:t>
      </w:r>
    </w:p>
    <w:p w:rsidR="00B95695" w:rsidRPr="00315335" w:rsidRDefault="00B95695" w:rsidP="00B95695">
      <w:pPr>
        <w:spacing w:after="0" w:line="240" w:lineRule="auto"/>
        <w:ind w:right="-143"/>
        <w:jc w:val="both"/>
        <w:rPr>
          <w:rFonts w:ascii="Arial" w:hAnsi="Arial" w:cs="Arial"/>
          <w:sz w:val="24"/>
          <w:szCs w:val="24"/>
          <w:lang w:val="en-US"/>
        </w:rPr>
      </w:pPr>
      <w:r w:rsidRPr="00315335">
        <w:rPr>
          <w:rFonts w:ascii="Arial" w:hAnsi="Arial" w:cs="Arial"/>
          <w:sz w:val="24"/>
          <w:szCs w:val="24"/>
          <w:lang w:val="en-US"/>
        </w:rPr>
        <w:t xml:space="preserve"> afecţiunilor respiratorii şi cea prin afecţiuni cardiovasculare în perioada 2014 – 2018 </w:t>
      </w:r>
    </w:p>
    <w:p w:rsidR="00B95695" w:rsidRPr="00315335" w:rsidRDefault="00B95695" w:rsidP="00B95695">
      <w:pPr>
        <w:spacing w:after="0" w:line="240" w:lineRule="auto"/>
        <w:ind w:right="-143"/>
        <w:jc w:val="both"/>
        <w:rPr>
          <w:rFonts w:ascii="Arial" w:hAnsi="Arial" w:cs="Arial"/>
          <w:sz w:val="24"/>
          <w:szCs w:val="24"/>
          <w:lang w:val="en-US"/>
        </w:rPr>
      </w:pPr>
    </w:p>
    <w:tbl>
      <w:tblPr>
        <w:tblW w:w="8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5"/>
        <w:gridCol w:w="835"/>
        <w:gridCol w:w="884"/>
        <w:gridCol w:w="882"/>
        <w:gridCol w:w="840"/>
        <w:gridCol w:w="840"/>
      </w:tblGrid>
      <w:tr w:rsidR="00B95695" w:rsidRPr="00315335" w:rsidTr="00631723">
        <w:trPr>
          <w:jc w:val="center"/>
        </w:trPr>
        <w:tc>
          <w:tcPr>
            <w:tcW w:w="4753" w:type="dxa"/>
            <w:shd w:val="clear" w:color="auto" w:fill="FABF8F"/>
          </w:tcPr>
          <w:p w:rsidR="00B95695" w:rsidRPr="00315335" w:rsidRDefault="00B95695" w:rsidP="00631723">
            <w:pPr>
              <w:spacing w:after="0" w:line="240" w:lineRule="auto"/>
              <w:jc w:val="both"/>
              <w:rPr>
                <w:rFonts w:ascii="Arial" w:hAnsi="Arial" w:cs="Arial"/>
                <w:b/>
                <w:sz w:val="24"/>
                <w:szCs w:val="24"/>
                <w:lang w:val="en-US"/>
              </w:rPr>
            </w:pPr>
            <w:r w:rsidRPr="00315335">
              <w:rPr>
                <w:rFonts w:ascii="Arial" w:hAnsi="Arial" w:cs="Arial"/>
                <w:b/>
                <w:sz w:val="24"/>
                <w:szCs w:val="24"/>
                <w:lang w:val="en-US"/>
              </w:rPr>
              <w:t>Judeţul Brăila</w:t>
            </w:r>
          </w:p>
        </w:tc>
        <w:tc>
          <w:tcPr>
            <w:tcW w:w="836" w:type="dxa"/>
            <w:shd w:val="clear" w:color="auto" w:fill="FABF8F"/>
          </w:tcPr>
          <w:p w:rsidR="00B95695" w:rsidRPr="00315335" w:rsidRDefault="00B95695" w:rsidP="00631723">
            <w:pPr>
              <w:spacing w:after="0" w:line="240" w:lineRule="auto"/>
              <w:jc w:val="both"/>
              <w:rPr>
                <w:rFonts w:ascii="Arial" w:hAnsi="Arial" w:cs="Arial"/>
                <w:b/>
                <w:sz w:val="24"/>
                <w:szCs w:val="24"/>
                <w:lang w:val="en-US"/>
              </w:rPr>
            </w:pPr>
            <w:r w:rsidRPr="00315335">
              <w:rPr>
                <w:rFonts w:ascii="Arial" w:hAnsi="Arial" w:cs="Arial"/>
                <w:b/>
                <w:sz w:val="24"/>
                <w:szCs w:val="24"/>
                <w:lang w:val="en-US"/>
              </w:rPr>
              <w:t>2014</w:t>
            </w:r>
          </w:p>
        </w:tc>
        <w:tc>
          <w:tcPr>
            <w:tcW w:w="841" w:type="dxa"/>
            <w:shd w:val="clear" w:color="auto" w:fill="FABF8F"/>
          </w:tcPr>
          <w:p w:rsidR="00B95695" w:rsidRPr="00315335" w:rsidRDefault="00B95695" w:rsidP="00631723">
            <w:pPr>
              <w:spacing w:after="0" w:line="240" w:lineRule="auto"/>
              <w:jc w:val="both"/>
              <w:rPr>
                <w:rFonts w:ascii="Arial" w:hAnsi="Arial" w:cs="Arial"/>
                <w:b/>
                <w:sz w:val="24"/>
                <w:szCs w:val="24"/>
                <w:lang w:val="en-US"/>
              </w:rPr>
            </w:pPr>
            <w:r w:rsidRPr="00315335">
              <w:rPr>
                <w:rFonts w:ascii="Arial" w:hAnsi="Arial" w:cs="Arial"/>
                <w:b/>
                <w:sz w:val="24"/>
                <w:szCs w:val="24"/>
                <w:lang w:val="en-US"/>
              </w:rPr>
              <w:t>2015</w:t>
            </w:r>
          </w:p>
        </w:tc>
        <w:tc>
          <w:tcPr>
            <w:tcW w:w="884" w:type="dxa"/>
            <w:shd w:val="clear" w:color="auto" w:fill="FABF8F"/>
          </w:tcPr>
          <w:p w:rsidR="00B95695" w:rsidRPr="00315335" w:rsidRDefault="00B95695" w:rsidP="00631723">
            <w:pPr>
              <w:spacing w:after="0" w:line="240" w:lineRule="auto"/>
              <w:jc w:val="both"/>
              <w:rPr>
                <w:rFonts w:ascii="Arial" w:hAnsi="Arial" w:cs="Arial"/>
                <w:b/>
                <w:sz w:val="24"/>
                <w:szCs w:val="24"/>
                <w:lang w:val="en-US"/>
              </w:rPr>
            </w:pPr>
            <w:r w:rsidRPr="00315335">
              <w:rPr>
                <w:rFonts w:ascii="Arial" w:hAnsi="Arial" w:cs="Arial"/>
                <w:b/>
                <w:sz w:val="24"/>
                <w:szCs w:val="24"/>
                <w:lang w:val="en-US"/>
              </w:rPr>
              <w:t>2016</w:t>
            </w:r>
          </w:p>
        </w:tc>
        <w:tc>
          <w:tcPr>
            <w:tcW w:w="841" w:type="dxa"/>
            <w:shd w:val="clear" w:color="auto" w:fill="FABF8F"/>
          </w:tcPr>
          <w:p w:rsidR="00B95695" w:rsidRPr="00315335" w:rsidRDefault="00B95695" w:rsidP="00631723">
            <w:pPr>
              <w:spacing w:after="0" w:line="240" w:lineRule="auto"/>
              <w:jc w:val="both"/>
              <w:rPr>
                <w:rFonts w:ascii="Arial" w:hAnsi="Arial" w:cs="Arial"/>
                <w:b/>
                <w:sz w:val="24"/>
                <w:szCs w:val="24"/>
                <w:lang w:val="en-US"/>
              </w:rPr>
            </w:pPr>
            <w:r w:rsidRPr="00315335">
              <w:rPr>
                <w:rFonts w:ascii="Arial" w:hAnsi="Arial" w:cs="Arial"/>
                <w:b/>
                <w:sz w:val="24"/>
                <w:szCs w:val="24"/>
                <w:lang w:val="en-US"/>
              </w:rPr>
              <w:t>2017</w:t>
            </w:r>
          </w:p>
        </w:tc>
        <w:tc>
          <w:tcPr>
            <w:tcW w:w="841" w:type="dxa"/>
            <w:shd w:val="clear" w:color="auto" w:fill="FABF8F"/>
          </w:tcPr>
          <w:p w:rsidR="00B95695" w:rsidRPr="00315335" w:rsidRDefault="00B95695" w:rsidP="00631723">
            <w:pPr>
              <w:spacing w:after="0" w:line="240" w:lineRule="auto"/>
              <w:jc w:val="both"/>
              <w:rPr>
                <w:rFonts w:ascii="Arial" w:hAnsi="Arial" w:cs="Arial"/>
                <w:b/>
                <w:sz w:val="24"/>
                <w:szCs w:val="24"/>
                <w:lang w:val="en-US"/>
              </w:rPr>
            </w:pPr>
            <w:r w:rsidRPr="00315335">
              <w:rPr>
                <w:rFonts w:ascii="Arial" w:hAnsi="Arial" w:cs="Arial"/>
                <w:b/>
                <w:sz w:val="24"/>
                <w:szCs w:val="24"/>
                <w:lang w:val="en-US"/>
              </w:rPr>
              <w:t>2018</w:t>
            </w:r>
          </w:p>
        </w:tc>
      </w:tr>
      <w:tr w:rsidR="00B95695" w:rsidRPr="00315335" w:rsidTr="00631723">
        <w:trPr>
          <w:jc w:val="center"/>
        </w:trPr>
        <w:tc>
          <w:tcPr>
            <w:tcW w:w="4753" w:type="dxa"/>
            <w:shd w:val="clear" w:color="auto" w:fill="EAF1DD"/>
          </w:tcPr>
          <w:p w:rsidR="00B95695" w:rsidRPr="00315335" w:rsidRDefault="00B95695" w:rsidP="00631723">
            <w:pPr>
              <w:spacing w:after="0" w:line="240" w:lineRule="auto"/>
              <w:jc w:val="both"/>
              <w:rPr>
                <w:rFonts w:ascii="Arial" w:hAnsi="Arial" w:cs="Arial"/>
                <w:sz w:val="24"/>
                <w:szCs w:val="24"/>
              </w:rPr>
            </w:pPr>
            <w:r w:rsidRPr="00315335">
              <w:rPr>
                <w:rFonts w:ascii="Arial" w:hAnsi="Arial" w:cs="Arial"/>
                <w:sz w:val="24"/>
                <w:szCs w:val="24"/>
                <w:lang w:val="en-US"/>
              </w:rPr>
              <w:t xml:space="preserve">Mortalitate </w:t>
            </w:r>
            <w:r w:rsidRPr="00315335">
              <w:rPr>
                <w:rFonts w:ascii="Arial" w:hAnsi="Arial" w:cs="Arial"/>
                <w:sz w:val="24"/>
                <w:szCs w:val="24"/>
              </w:rPr>
              <w:t>generală/din care</w:t>
            </w:r>
          </w:p>
        </w:tc>
        <w:tc>
          <w:tcPr>
            <w:tcW w:w="836"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4455</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12210</w:t>
            </w:r>
          </w:p>
        </w:tc>
        <w:tc>
          <w:tcPr>
            <w:tcW w:w="884"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4613</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4574</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4871</w:t>
            </w:r>
          </w:p>
        </w:tc>
      </w:tr>
      <w:tr w:rsidR="00B95695" w:rsidRPr="00315335" w:rsidTr="00631723">
        <w:trPr>
          <w:jc w:val="center"/>
        </w:trPr>
        <w:tc>
          <w:tcPr>
            <w:tcW w:w="4753"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Boli ale aparatului circulator (număr cazuri)</w:t>
            </w:r>
          </w:p>
        </w:tc>
        <w:tc>
          <w:tcPr>
            <w:tcW w:w="836"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2484</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2660</w:t>
            </w:r>
          </w:p>
        </w:tc>
        <w:tc>
          <w:tcPr>
            <w:tcW w:w="884"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2694</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2720</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2565</w:t>
            </w:r>
          </w:p>
        </w:tc>
      </w:tr>
      <w:tr w:rsidR="00B95695" w:rsidRPr="00315335" w:rsidTr="00631723">
        <w:trPr>
          <w:jc w:val="center"/>
        </w:trPr>
        <w:tc>
          <w:tcPr>
            <w:tcW w:w="4753"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Boală ischemică a inimii (număr cazuri)</w:t>
            </w:r>
          </w:p>
        </w:tc>
        <w:tc>
          <w:tcPr>
            <w:tcW w:w="836"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353</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345</w:t>
            </w:r>
          </w:p>
        </w:tc>
        <w:tc>
          <w:tcPr>
            <w:tcW w:w="884"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594</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593</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819</w:t>
            </w:r>
          </w:p>
        </w:tc>
      </w:tr>
      <w:tr w:rsidR="00B95695" w:rsidRPr="00315335" w:rsidTr="00631723">
        <w:trPr>
          <w:jc w:val="center"/>
        </w:trPr>
        <w:tc>
          <w:tcPr>
            <w:tcW w:w="4753"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Boli respiratorii (număr cazuri)</w:t>
            </w:r>
          </w:p>
        </w:tc>
        <w:tc>
          <w:tcPr>
            <w:tcW w:w="836"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260</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261</w:t>
            </w:r>
          </w:p>
        </w:tc>
        <w:tc>
          <w:tcPr>
            <w:tcW w:w="884"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222</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319</w:t>
            </w:r>
          </w:p>
        </w:tc>
        <w:tc>
          <w:tcPr>
            <w:tcW w:w="841" w:type="dxa"/>
            <w:shd w:val="clear" w:color="auto" w:fill="EAF1DD"/>
          </w:tcPr>
          <w:p w:rsidR="00B95695" w:rsidRPr="00315335" w:rsidRDefault="00B95695" w:rsidP="00631723">
            <w:pPr>
              <w:spacing w:after="0" w:line="240" w:lineRule="auto"/>
              <w:jc w:val="both"/>
              <w:rPr>
                <w:rFonts w:ascii="Arial" w:hAnsi="Arial" w:cs="Arial"/>
                <w:sz w:val="24"/>
                <w:szCs w:val="24"/>
                <w:lang w:val="en-US"/>
              </w:rPr>
            </w:pPr>
            <w:r w:rsidRPr="00315335">
              <w:rPr>
                <w:rFonts w:ascii="Arial" w:hAnsi="Arial" w:cs="Arial"/>
                <w:sz w:val="24"/>
                <w:szCs w:val="24"/>
                <w:lang w:val="en-US"/>
              </w:rPr>
              <w:t>315</w:t>
            </w:r>
          </w:p>
        </w:tc>
      </w:tr>
    </w:tbl>
    <w:p w:rsidR="00B95695" w:rsidRDefault="00B95695" w:rsidP="00B95695">
      <w:pPr>
        <w:jc w:val="both"/>
        <w:rPr>
          <w:rFonts w:ascii="Arial" w:hAnsi="Arial" w:cs="Arial"/>
          <w:i/>
          <w:sz w:val="20"/>
          <w:szCs w:val="20"/>
        </w:rPr>
      </w:pPr>
      <w:r w:rsidRPr="00315335">
        <w:rPr>
          <w:rFonts w:ascii="Arial" w:hAnsi="Arial" w:cs="Arial"/>
          <w:i/>
          <w:sz w:val="20"/>
          <w:szCs w:val="20"/>
          <w:lang w:val="en-US"/>
        </w:rPr>
        <w:t>Not</w:t>
      </w:r>
      <w:r w:rsidRPr="00315335">
        <w:rPr>
          <w:rFonts w:ascii="Arial" w:hAnsi="Arial" w:cs="Arial"/>
          <w:i/>
          <w:sz w:val="20"/>
          <w:szCs w:val="20"/>
        </w:rPr>
        <w:t>ă: Informații furnizate de către Direcția de Sănătate Publică a județului Brăila</w:t>
      </w:r>
    </w:p>
    <w:p w:rsidR="00230553" w:rsidRPr="00315335" w:rsidRDefault="00230553" w:rsidP="00B95695">
      <w:pPr>
        <w:jc w:val="both"/>
        <w:rPr>
          <w:rFonts w:ascii="Arial" w:hAnsi="Arial" w:cs="Arial"/>
          <w:i/>
          <w:sz w:val="20"/>
          <w:szCs w:val="20"/>
        </w:rPr>
      </w:pPr>
    </w:p>
    <w:p w:rsidR="00B95695" w:rsidRPr="00315335" w:rsidRDefault="00B95695" w:rsidP="00B95695">
      <w:pPr>
        <w:jc w:val="center"/>
        <w:rPr>
          <w:rFonts w:ascii="Arial" w:hAnsi="Arial" w:cs="Arial"/>
          <w:sz w:val="24"/>
          <w:szCs w:val="24"/>
          <w:lang w:val="en-US"/>
        </w:rPr>
      </w:pPr>
      <w:r w:rsidRPr="00315335">
        <w:rPr>
          <w:rFonts w:ascii="Arial" w:hAnsi="Arial" w:cs="Arial"/>
          <w:noProof/>
          <w:sz w:val="24"/>
          <w:szCs w:val="24"/>
          <w:shd w:val="clear" w:color="auto" w:fill="F2DBDB"/>
        </w:rPr>
        <w:drawing>
          <wp:inline distT="0" distB="0" distL="0" distR="0" wp14:anchorId="7B312A42" wp14:editId="282F2B5A">
            <wp:extent cx="5438775" cy="3295650"/>
            <wp:effectExtent l="0" t="0" r="9525" b="0"/>
            <wp:docPr id="76" name="Chart 2" descr="Title: 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95695" w:rsidRDefault="00B95695" w:rsidP="00B95695">
      <w:pPr>
        <w:jc w:val="both"/>
        <w:rPr>
          <w:rFonts w:ascii="Arial" w:hAnsi="Arial" w:cs="Arial"/>
          <w:sz w:val="24"/>
          <w:szCs w:val="24"/>
          <w:lang w:val="en-US"/>
        </w:rPr>
      </w:pPr>
      <w:r w:rsidRPr="00315335">
        <w:rPr>
          <w:rFonts w:ascii="Arial" w:hAnsi="Arial" w:cs="Arial"/>
          <w:sz w:val="24"/>
          <w:szCs w:val="24"/>
        </w:rPr>
        <w:t>Tabel nr. VIII.1.1.1. – 3</w:t>
      </w:r>
      <w:r w:rsidRPr="00315335">
        <w:rPr>
          <w:rFonts w:ascii="Arial" w:hAnsi="Arial" w:cs="Arial"/>
          <w:b/>
          <w:sz w:val="24"/>
          <w:szCs w:val="24"/>
        </w:rPr>
        <w:t xml:space="preserve"> -</w:t>
      </w:r>
      <w:r w:rsidRPr="00315335">
        <w:rPr>
          <w:rFonts w:ascii="Arial" w:hAnsi="Arial" w:cs="Arial"/>
          <w:sz w:val="24"/>
          <w:szCs w:val="24"/>
          <w:lang w:val="en-US"/>
        </w:rPr>
        <w:t xml:space="preserve"> Mortalitate infantilă şi prin afecţiuni respiratorii în mediul Urban în perioada 2014 – 2018</w:t>
      </w:r>
    </w:p>
    <w:p w:rsidR="00230553" w:rsidRPr="00315335" w:rsidRDefault="00230553" w:rsidP="00B95695">
      <w:pPr>
        <w:jc w:val="both"/>
        <w:rPr>
          <w:rFonts w:ascii="Arial" w:hAnsi="Arial" w:cs="Arial"/>
          <w:sz w:val="24"/>
          <w:szCs w:val="24"/>
          <w:lang w:val="en-US"/>
        </w:rPr>
      </w:pPr>
    </w:p>
    <w:tbl>
      <w:tblPr>
        <w:tblW w:w="89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6"/>
        <w:gridCol w:w="884"/>
        <w:gridCol w:w="884"/>
        <w:gridCol w:w="881"/>
        <w:gridCol w:w="884"/>
        <w:gridCol w:w="1017"/>
      </w:tblGrid>
      <w:tr w:rsidR="00B95695" w:rsidRPr="00315335" w:rsidTr="00631723">
        <w:trPr>
          <w:trHeight w:val="392"/>
          <w:jc w:val="center"/>
        </w:trPr>
        <w:tc>
          <w:tcPr>
            <w:tcW w:w="4486" w:type="dxa"/>
            <w:shd w:val="clear" w:color="auto" w:fill="FABF8F"/>
          </w:tcPr>
          <w:p w:rsidR="00B95695" w:rsidRPr="00315335" w:rsidRDefault="00B95695" w:rsidP="00631723">
            <w:pPr>
              <w:spacing w:after="0" w:line="240" w:lineRule="auto"/>
              <w:rPr>
                <w:rFonts w:ascii="Arial" w:hAnsi="Arial" w:cs="Arial"/>
                <w:b/>
                <w:sz w:val="24"/>
                <w:szCs w:val="24"/>
                <w:lang w:val="en-US"/>
              </w:rPr>
            </w:pPr>
            <w:r w:rsidRPr="00315335">
              <w:rPr>
                <w:rFonts w:ascii="Arial" w:hAnsi="Arial" w:cs="Arial"/>
                <w:b/>
                <w:sz w:val="24"/>
                <w:szCs w:val="24"/>
                <w:lang w:val="en-US"/>
              </w:rPr>
              <w:lastRenderedPageBreak/>
              <w:t>Judeţul Brăila</w:t>
            </w:r>
          </w:p>
        </w:tc>
        <w:tc>
          <w:tcPr>
            <w:tcW w:w="884" w:type="dxa"/>
            <w:shd w:val="clear" w:color="auto" w:fill="FABF8F"/>
          </w:tcPr>
          <w:p w:rsidR="00B95695" w:rsidRPr="00315335" w:rsidRDefault="00B95695" w:rsidP="00631723">
            <w:pPr>
              <w:spacing w:after="0" w:line="240" w:lineRule="auto"/>
              <w:rPr>
                <w:rFonts w:ascii="Arial" w:hAnsi="Arial" w:cs="Arial"/>
                <w:b/>
                <w:sz w:val="24"/>
                <w:szCs w:val="24"/>
                <w:lang w:val="en-US"/>
              </w:rPr>
            </w:pPr>
            <w:r w:rsidRPr="00315335">
              <w:rPr>
                <w:rFonts w:ascii="Arial" w:hAnsi="Arial" w:cs="Arial"/>
                <w:b/>
                <w:sz w:val="24"/>
                <w:szCs w:val="24"/>
                <w:lang w:val="en-US"/>
              </w:rPr>
              <w:t>2014</w:t>
            </w:r>
          </w:p>
        </w:tc>
        <w:tc>
          <w:tcPr>
            <w:tcW w:w="884" w:type="dxa"/>
            <w:shd w:val="clear" w:color="auto" w:fill="FABF8F"/>
          </w:tcPr>
          <w:p w:rsidR="00B95695" w:rsidRPr="00315335" w:rsidRDefault="00B95695" w:rsidP="00631723">
            <w:pPr>
              <w:spacing w:after="0" w:line="240" w:lineRule="auto"/>
              <w:rPr>
                <w:rFonts w:ascii="Arial" w:hAnsi="Arial" w:cs="Arial"/>
                <w:b/>
                <w:sz w:val="24"/>
                <w:szCs w:val="24"/>
                <w:lang w:val="en-US"/>
              </w:rPr>
            </w:pPr>
            <w:r w:rsidRPr="00315335">
              <w:rPr>
                <w:rFonts w:ascii="Arial" w:hAnsi="Arial" w:cs="Arial"/>
                <w:b/>
                <w:sz w:val="24"/>
                <w:szCs w:val="24"/>
                <w:lang w:val="en-US"/>
              </w:rPr>
              <w:t>2015</w:t>
            </w:r>
          </w:p>
        </w:tc>
        <w:tc>
          <w:tcPr>
            <w:tcW w:w="884" w:type="dxa"/>
            <w:shd w:val="clear" w:color="auto" w:fill="FABF8F"/>
          </w:tcPr>
          <w:p w:rsidR="00B95695" w:rsidRPr="00315335" w:rsidRDefault="00B95695" w:rsidP="00631723">
            <w:pPr>
              <w:spacing w:after="0" w:line="240" w:lineRule="auto"/>
              <w:rPr>
                <w:rFonts w:ascii="Arial" w:hAnsi="Arial" w:cs="Arial"/>
                <w:b/>
                <w:sz w:val="24"/>
                <w:szCs w:val="24"/>
                <w:lang w:val="en-US"/>
              </w:rPr>
            </w:pPr>
            <w:r w:rsidRPr="00315335">
              <w:rPr>
                <w:rFonts w:ascii="Arial" w:hAnsi="Arial" w:cs="Arial"/>
                <w:b/>
                <w:sz w:val="24"/>
                <w:szCs w:val="24"/>
                <w:lang w:val="en-US"/>
              </w:rPr>
              <w:t>2016</w:t>
            </w:r>
          </w:p>
        </w:tc>
        <w:tc>
          <w:tcPr>
            <w:tcW w:w="884" w:type="dxa"/>
            <w:shd w:val="clear" w:color="auto" w:fill="FABF8F"/>
          </w:tcPr>
          <w:p w:rsidR="00B95695" w:rsidRPr="00315335" w:rsidRDefault="00B95695" w:rsidP="00631723">
            <w:pPr>
              <w:spacing w:after="0" w:line="240" w:lineRule="auto"/>
              <w:rPr>
                <w:rFonts w:ascii="Arial" w:hAnsi="Arial" w:cs="Arial"/>
                <w:b/>
                <w:sz w:val="24"/>
                <w:szCs w:val="24"/>
                <w:lang w:val="en-US"/>
              </w:rPr>
            </w:pPr>
            <w:r w:rsidRPr="00315335">
              <w:rPr>
                <w:rFonts w:ascii="Arial" w:hAnsi="Arial" w:cs="Arial"/>
                <w:b/>
                <w:sz w:val="24"/>
                <w:szCs w:val="24"/>
                <w:lang w:val="en-US"/>
              </w:rPr>
              <w:t>2017</w:t>
            </w:r>
          </w:p>
        </w:tc>
        <w:tc>
          <w:tcPr>
            <w:tcW w:w="884" w:type="dxa"/>
            <w:shd w:val="clear" w:color="auto" w:fill="FABF8F"/>
          </w:tcPr>
          <w:p w:rsidR="00B95695" w:rsidRPr="00315335" w:rsidRDefault="00B95695" w:rsidP="00631723">
            <w:pPr>
              <w:spacing w:after="0" w:line="240" w:lineRule="auto"/>
              <w:rPr>
                <w:rFonts w:ascii="Arial" w:hAnsi="Arial" w:cs="Arial"/>
                <w:b/>
                <w:sz w:val="24"/>
                <w:szCs w:val="24"/>
                <w:lang w:val="en-US"/>
              </w:rPr>
            </w:pPr>
            <w:r w:rsidRPr="00315335">
              <w:rPr>
                <w:rFonts w:ascii="Arial" w:hAnsi="Arial" w:cs="Arial"/>
                <w:b/>
                <w:sz w:val="24"/>
                <w:szCs w:val="24"/>
                <w:lang w:val="en-US"/>
              </w:rPr>
              <w:t>2018</w:t>
            </w:r>
          </w:p>
        </w:tc>
      </w:tr>
      <w:tr w:rsidR="00B95695" w:rsidRPr="00315335" w:rsidTr="00631723">
        <w:trPr>
          <w:jc w:val="center"/>
        </w:trPr>
        <w:tc>
          <w:tcPr>
            <w:tcW w:w="4486" w:type="dxa"/>
            <w:shd w:val="clear" w:color="auto" w:fill="DAEEF3"/>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Mortalitate infantilă în mediul Urban (decedaţi sub 1 an la 1000 născuţi vii)</w:t>
            </w:r>
          </w:p>
        </w:tc>
        <w:tc>
          <w:tcPr>
            <w:tcW w:w="884" w:type="dxa"/>
            <w:shd w:val="clear" w:color="auto" w:fill="DAEEF3"/>
            <w:vAlign w:val="center"/>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8/6,03</w:t>
            </w:r>
          </w:p>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vertAlign w:val="superscript"/>
                <w:lang w:val="en-US"/>
              </w:rPr>
              <w:t>0</w:t>
            </w:r>
            <w:r w:rsidRPr="00315335">
              <w:rPr>
                <w:rFonts w:ascii="Arial" w:hAnsi="Arial" w:cs="Arial"/>
                <w:sz w:val="24"/>
                <w:szCs w:val="24"/>
                <w:lang w:val="en-US"/>
              </w:rPr>
              <w:t>/</w:t>
            </w:r>
            <w:r w:rsidRPr="00315335">
              <w:rPr>
                <w:rFonts w:ascii="Arial" w:hAnsi="Arial" w:cs="Arial"/>
                <w:sz w:val="24"/>
                <w:szCs w:val="24"/>
                <w:vertAlign w:val="subscript"/>
                <w:lang w:val="en-US"/>
              </w:rPr>
              <w:t>00</w:t>
            </w:r>
          </w:p>
        </w:tc>
        <w:tc>
          <w:tcPr>
            <w:tcW w:w="884" w:type="dxa"/>
            <w:shd w:val="clear" w:color="auto" w:fill="DAEEF3"/>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5/3,69</w:t>
            </w:r>
          </w:p>
          <w:p w:rsidR="00B95695" w:rsidRPr="00315335" w:rsidRDefault="00B95695" w:rsidP="00631723">
            <w:pPr>
              <w:spacing w:after="0" w:line="240" w:lineRule="auto"/>
              <w:rPr>
                <w:rFonts w:ascii="Arial" w:hAnsi="Arial" w:cs="Arial"/>
                <w:sz w:val="24"/>
                <w:szCs w:val="24"/>
                <w:vertAlign w:val="subscript"/>
                <w:lang w:val="en-US"/>
              </w:rPr>
            </w:pPr>
            <w:r w:rsidRPr="00315335">
              <w:rPr>
                <w:rFonts w:ascii="Arial" w:hAnsi="Arial" w:cs="Arial"/>
                <w:sz w:val="24"/>
                <w:szCs w:val="24"/>
                <w:vertAlign w:val="superscript"/>
                <w:lang w:val="en-US"/>
              </w:rPr>
              <w:t>0</w:t>
            </w:r>
            <w:r w:rsidRPr="00315335">
              <w:rPr>
                <w:rFonts w:ascii="Arial" w:hAnsi="Arial" w:cs="Arial"/>
                <w:sz w:val="24"/>
                <w:szCs w:val="24"/>
                <w:lang w:val="en-US"/>
              </w:rPr>
              <w:t>/</w:t>
            </w:r>
            <w:r w:rsidRPr="00315335">
              <w:rPr>
                <w:rFonts w:ascii="Arial" w:hAnsi="Arial" w:cs="Arial"/>
                <w:sz w:val="24"/>
                <w:szCs w:val="24"/>
                <w:vertAlign w:val="subscript"/>
                <w:lang w:val="en-US"/>
              </w:rPr>
              <w:t>00</w:t>
            </w:r>
          </w:p>
        </w:tc>
        <w:tc>
          <w:tcPr>
            <w:tcW w:w="884" w:type="dxa"/>
            <w:shd w:val="clear" w:color="auto" w:fill="DAEEF3"/>
          </w:tcPr>
          <w:p w:rsidR="00B95695" w:rsidRPr="00315335" w:rsidRDefault="00B95695" w:rsidP="00631723">
            <w:pPr>
              <w:spacing w:after="0" w:line="240" w:lineRule="auto"/>
              <w:rPr>
                <w:rFonts w:ascii="Times New Roman" w:hAnsi="Times New Roman"/>
                <w:sz w:val="24"/>
                <w:szCs w:val="24"/>
              </w:rPr>
            </w:pPr>
            <w:r w:rsidRPr="00315335">
              <w:rPr>
                <w:rFonts w:ascii="Times New Roman" w:hAnsi="Times New Roman"/>
                <w:sz w:val="24"/>
                <w:szCs w:val="24"/>
              </w:rPr>
              <w:t>9/7,29</w:t>
            </w:r>
          </w:p>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vertAlign w:val="superscript"/>
                <w:lang w:val="en-US"/>
              </w:rPr>
              <w:t>0</w:t>
            </w:r>
            <w:r w:rsidRPr="00315335">
              <w:rPr>
                <w:rFonts w:ascii="Arial" w:hAnsi="Arial" w:cs="Arial"/>
                <w:sz w:val="24"/>
                <w:szCs w:val="24"/>
                <w:lang w:val="en-US"/>
              </w:rPr>
              <w:t>/</w:t>
            </w:r>
            <w:r w:rsidRPr="00315335">
              <w:rPr>
                <w:rFonts w:ascii="Arial" w:hAnsi="Arial" w:cs="Arial"/>
                <w:sz w:val="24"/>
                <w:szCs w:val="24"/>
                <w:vertAlign w:val="subscript"/>
                <w:lang w:val="en-US"/>
              </w:rPr>
              <w:t>00</w:t>
            </w:r>
          </w:p>
        </w:tc>
        <w:tc>
          <w:tcPr>
            <w:tcW w:w="884" w:type="dxa"/>
            <w:shd w:val="clear" w:color="auto" w:fill="DAEEF3"/>
            <w:vAlign w:val="center"/>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6/2,58</w:t>
            </w:r>
          </w:p>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vertAlign w:val="superscript"/>
                <w:lang w:val="en-US"/>
              </w:rPr>
              <w:t>0</w:t>
            </w:r>
            <w:r w:rsidRPr="00315335">
              <w:rPr>
                <w:rFonts w:ascii="Arial" w:hAnsi="Arial" w:cs="Arial"/>
                <w:sz w:val="24"/>
                <w:szCs w:val="24"/>
                <w:lang w:val="en-US"/>
              </w:rPr>
              <w:t>/</w:t>
            </w:r>
            <w:r w:rsidRPr="00315335">
              <w:rPr>
                <w:rFonts w:ascii="Arial" w:hAnsi="Arial" w:cs="Arial"/>
                <w:sz w:val="24"/>
                <w:szCs w:val="24"/>
                <w:vertAlign w:val="subscript"/>
                <w:lang w:val="en-US"/>
              </w:rPr>
              <w:t>00</w:t>
            </w:r>
          </w:p>
        </w:tc>
        <w:tc>
          <w:tcPr>
            <w:tcW w:w="884" w:type="dxa"/>
            <w:shd w:val="clear" w:color="auto" w:fill="DAEEF3"/>
            <w:vAlign w:val="center"/>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10/6,76</w:t>
            </w:r>
          </w:p>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vertAlign w:val="superscript"/>
                <w:lang w:val="en-US"/>
              </w:rPr>
              <w:t>0</w:t>
            </w:r>
            <w:r w:rsidRPr="00315335">
              <w:rPr>
                <w:rFonts w:ascii="Arial" w:hAnsi="Arial" w:cs="Arial"/>
                <w:sz w:val="24"/>
                <w:szCs w:val="24"/>
                <w:lang w:val="en-US"/>
              </w:rPr>
              <w:t>/</w:t>
            </w:r>
            <w:r w:rsidRPr="00315335">
              <w:rPr>
                <w:rFonts w:ascii="Arial" w:hAnsi="Arial" w:cs="Arial"/>
                <w:sz w:val="24"/>
                <w:szCs w:val="24"/>
                <w:vertAlign w:val="subscript"/>
                <w:lang w:val="en-US"/>
              </w:rPr>
              <w:t>00</w:t>
            </w:r>
          </w:p>
        </w:tc>
      </w:tr>
      <w:tr w:rsidR="00B95695" w:rsidRPr="00315335" w:rsidTr="00631723">
        <w:trPr>
          <w:jc w:val="center"/>
        </w:trPr>
        <w:tc>
          <w:tcPr>
            <w:tcW w:w="4486" w:type="dxa"/>
            <w:shd w:val="clear" w:color="auto" w:fill="DAEEF3"/>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Mortalitate infantilă prin afecţiuni respiratorii în mediul Urban (decedaţi sub 1 an la 1000 născuţi vii)</w:t>
            </w:r>
          </w:p>
        </w:tc>
        <w:tc>
          <w:tcPr>
            <w:tcW w:w="884" w:type="dxa"/>
            <w:shd w:val="clear" w:color="auto" w:fill="DAEEF3"/>
            <w:vAlign w:val="center"/>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0/0</w:t>
            </w:r>
          </w:p>
        </w:tc>
        <w:tc>
          <w:tcPr>
            <w:tcW w:w="884" w:type="dxa"/>
            <w:shd w:val="clear" w:color="auto" w:fill="DAEEF3"/>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1/0,73</w:t>
            </w:r>
          </w:p>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vertAlign w:val="superscript"/>
                <w:lang w:val="en-US"/>
              </w:rPr>
              <w:t>0</w:t>
            </w:r>
            <w:r w:rsidRPr="00315335">
              <w:rPr>
                <w:rFonts w:ascii="Arial" w:hAnsi="Arial" w:cs="Arial"/>
                <w:sz w:val="24"/>
                <w:szCs w:val="24"/>
                <w:lang w:val="en-US"/>
              </w:rPr>
              <w:t>/</w:t>
            </w:r>
            <w:r w:rsidRPr="00315335">
              <w:rPr>
                <w:rFonts w:ascii="Arial" w:hAnsi="Arial" w:cs="Arial"/>
                <w:sz w:val="24"/>
                <w:szCs w:val="24"/>
                <w:vertAlign w:val="subscript"/>
                <w:lang w:val="en-US"/>
              </w:rPr>
              <w:t>00</w:t>
            </w:r>
          </w:p>
        </w:tc>
        <w:tc>
          <w:tcPr>
            <w:tcW w:w="884" w:type="dxa"/>
            <w:shd w:val="clear" w:color="auto" w:fill="DAEEF3"/>
          </w:tcPr>
          <w:p w:rsidR="00B95695" w:rsidRPr="00315335" w:rsidRDefault="00B95695" w:rsidP="00631723">
            <w:pPr>
              <w:spacing w:after="0" w:line="240" w:lineRule="auto"/>
              <w:rPr>
                <w:rFonts w:ascii="Times New Roman" w:hAnsi="Times New Roman"/>
                <w:sz w:val="24"/>
                <w:szCs w:val="24"/>
              </w:rPr>
            </w:pPr>
            <w:r w:rsidRPr="00315335">
              <w:rPr>
                <w:rFonts w:ascii="Times New Roman" w:hAnsi="Times New Roman"/>
                <w:sz w:val="24"/>
                <w:szCs w:val="24"/>
              </w:rPr>
              <w:t>2/1,46</w:t>
            </w:r>
          </w:p>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vertAlign w:val="superscript"/>
                <w:lang w:val="en-US"/>
              </w:rPr>
              <w:t>0</w:t>
            </w:r>
            <w:r w:rsidRPr="00315335">
              <w:rPr>
                <w:rFonts w:ascii="Arial" w:hAnsi="Arial" w:cs="Arial"/>
                <w:sz w:val="24"/>
                <w:szCs w:val="24"/>
                <w:lang w:val="en-US"/>
              </w:rPr>
              <w:t>/</w:t>
            </w:r>
            <w:r w:rsidRPr="00315335">
              <w:rPr>
                <w:rFonts w:ascii="Arial" w:hAnsi="Arial" w:cs="Arial"/>
                <w:sz w:val="24"/>
                <w:szCs w:val="24"/>
                <w:vertAlign w:val="subscript"/>
                <w:lang w:val="en-US"/>
              </w:rPr>
              <w:t>00</w:t>
            </w:r>
          </w:p>
        </w:tc>
        <w:tc>
          <w:tcPr>
            <w:tcW w:w="884" w:type="dxa"/>
            <w:shd w:val="clear" w:color="auto" w:fill="DAEEF3"/>
            <w:vAlign w:val="center"/>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0/0</w:t>
            </w:r>
          </w:p>
        </w:tc>
        <w:tc>
          <w:tcPr>
            <w:tcW w:w="884" w:type="dxa"/>
            <w:shd w:val="clear" w:color="auto" w:fill="DAEEF3"/>
            <w:vAlign w:val="center"/>
          </w:tcPr>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lang w:val="en-US"/>
              </w:rPr>
              <w:t>4/2,70</w:t>
            </w:r>
          </w:p>
          <w:p w:rsidR="00B95695" w:rsidRPr="00315335" w:rsidRDefault="00B95695" w:rsidP="00631723">
            <w:pPr>
              <w:spacing w:after="0" w:line="240" w:lineRule="auto"/>
              <w:rPr>
                <w:rFonts w:ascii="Arial" w:hAnsi="Arial" w:cs="Arial"/>
                <w:sz w:val="24"/>
                <w:szCs w:val="24"/>
                <w:lang w:val="en-US"/>
              </w:rPr>
            </w:pPr>
            <w:r w:rsidRPr="00315335">
              <w:rPr>
                <w:rFonts w:ascii="Arial" w:hAnsi="Arial" w:cs="Arial"/>
                <w:sz w:val="24"/>
                <w:szCs w:val="24"/>
                <w:vertAlign w:val="superscript"/>
                <w:lang w:val="en-US"/>
              </w:rPr>
              <w:t>0</w:t>
            </w:r>
            <w:r w:rsidRPr="00315335">
              <w:rPr>
                <w:rFonts w:ascii="Arial" w:hAnsi="Arial" w:cs="Arial"/>
                <w:sz w:val="24"/>
                <w:szCs w:val="24"/>
                <w:lang w:val="en-US"/>
              </w:rPr>
              <w:t>/</w:t>
            </w:r>
            <w:r w:rsidRPr="00315335">
              <w:rPr>
                <w:rFonts w:ascii="Arial" w:hAnsi="Arial" w:cs="Arial"/>
                <w:sz w:val="24"/>
                <w:szCs w:val="24"/>
                <w:vertAlign w:val="subscript"/>
                <w:lang w:val="en-US"/>
              </w:rPr>
              <w:t>00</w:t>
            </w:r>
          </w:p>
        </w:tc>
      </w:tr>
    </w:tbl>
    <w:p w:rsidR="00B95695" w:rsidRPr="00315335" w:rsidRDefault="00B95695" w:rsidP="00B95695">
      <w:pPr>
        <w:jc w:val="both"/>
        <w:rPr>
          <w:rFonts w:ascii="Arial" w:hAnsi="Arial" w:cs="Arial"/>
          <w:i/>
          <w:sz w:val="20"/>
          <w:szCs w:val="20"/>
        </w:rPr>
      </w:pPr>
      <w:r w:rsidRPr="00315335">
        <w:rPr>
          <w:rFonts w:ascii="Arial" w:hAnsi="Arial" w:cs="Arial"/>
          <w:i/>
          <w:sz w:val="20"/>
          <w:szCs w:val="20"/>
          <w:lang w:val="en-US"/>
        </w:rPr>
        <w:t xml:space="preserve">    Not</w:t>
      </w:r>
      <w:r w:rsidRPr="00315335">
        <w:rPr>
          <w:rFonts w:ascii="Arial" w:hAnsi="Arial" w:cs="Arial"/>
          <w:i/>
          <w:sz w:val="20"/>
          <w:szCs w:val="20"/>
        </w:rPr>
        <w:t>ă: Informații furnizate de către Direcția de Sănătate Publică a județului Brăila</w:t>
      </w:r>
    </w:p>
    <w:p w:rsidR="00B95695" w:rsidRPr="00315335" w:rsidRDefault="00B95695" w:rsidP="00B95695">
      <w:pPr>
        <w:jc w:val="center"/>
        <w:rPr>
          <w:rFonts w:ascii="Arial" w:hAnsi="Arial" w:cs="Arial"/>
          <w:sz w:val="24"/>
          <w:szCs w:val="24"/>
        </w:rPr>
      </w:pPr>
      <w:r w:rsidRPr="00315335">
        <w:rPr>
          <w:rFonts w:ascii="Arial" w:hAnsi="Arial" w:cs="Arial"/>
          <w:noProof/>
          <w:sz w:val="24"/>
          <w:szCs w:val="24"/>
        </w:rPr>
        <w:drawing>
          <wp:inline distT="0" distB="0" distL="0" distR="0" wp14:anchorId="349EF28A" wp14:editId="50CB5F9D">
            <wp:extent cx="5572125" cy="2562225"/>
            <wp:effectExtent l="0" t="0" r="9525" b="9525"/>
            <wp:docPr id="223"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B95695" w:rsidRPr="00315335" w:rsidRDefault="00B95695" w:rsidP="00B95695">
      <w:pPr>
        <w:tabs>
          <w:tab w:val="left" w:pos="1515"/>
        </w:tabs>
        <w:spacing w:after="0" w:line="240" w:lineRule="auto"/>
        <w:jc w:val="both"/>
        <w:rPr>
          <w:rFonts w:ascii="Arial" w:hAnsi="Arial" w:cs="Arial"/>
          <w:sz w:val="24"/>
          <w:szCs w:val="24"/>
        </w:rPr>
      </w:pPr>
    </w:p>
    <w:p w:rsidR="00B95695" w:rsidRPr="00315335" w:rsidRDefault="00B95695" w:rsidP="00B95695">
      <w:pPr>
        <w:tabs>
          <w:tab w:val="left" w:pos="1515"/>
        </w:tabs>
        <w:spacing w:after="0" w:line="240" w:lineRule="auto"/>
        <w:jc w:val="both"/>
        <w:rPr>
          <w:rFonts w:ascii="Arial" w:hAnsi="Arial" w:cs="Arial"/>
          <w:sz w:val="24"/>
          <w:szCs w:val="24"/>
        </w:rPr>
      </w:pPr>
      <w:r w:rsidRPr="00315335">
        <w:rPr>
          <w:rFonts w:ascii="Arial" w:hAnsi="Arial" w:cs="Arial"/>
          <w:sz w:val="24"/>
          <w:szCs w:val="24"/>
        </w:rPr>
        <w:t>Tabel nr. VIII.1.1.1. – 4</w:t>
      </w:r>
      <w:r w:rsidRPr="00315335">
        <w:rPr>
          <w:rFonts w:ascii="Arial" w:hAnsi="Arial" w:cs="Arial"/>
          <w:b/>
          <w:sz w:val="24"/>
          <w:szCs w:val="24"/>
        </w:rPr>
        <w:t xml:space="preserve"> -</w:t>
      </w:r>
      <w:r w:rsidRPr="00315335">
        <w:rPr>
          <w:rFonts w:ascii="Arial" w:hAnsi="Arial" w:cs="Arial"/>
          <w:sz w:val="24"/>
          <w:szCs w:val="24"/>
          <w:lang w:val="en-US"/>
        </w:rPr>
        <w:t xml:space="preserve"> </w:t>
      </w:r>
      <w:r w:rsidRPr="00315335">
        <w:rPr>
          <w:rFonts w:ascii="Arial" w:hAnsi="Arial" w:cs="Arial"/>
          <w:sz w:val="24"/>
          <w:szCs w:val="24"/>
        </w:rPr>
        <w:t>Mortalitatea prin afecțiuni cardiovasculare pe orașele din județul Brăila (număr cazuri) în perioada 2014 –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824"/>
        <w:gridCol w:w="824"/>
        <w:gridCol w:w="824"/>
        <w:gridCol w:w="824"/>
        <w:gridCol w:w="824"/>
      </w:tblGrid>
      <w:tr w:rsidR="00B95695" w:rsidRPr="00315335" w:rsidTr="00631723">
        <w:trPr>
          <w:jc w:val="center"/>
        </w:trPr>
        <w:tc>
          <w:tcPr>
            <w:tcW w:w="2214" w:type="dxa"/>
            <w:shd w:val="clear" w:color="auto" w:fill="FABF8F"/>
          </w:tcPr>
          <w:p w:rsidR="00B95695" w:rsidRPr="00315335" w:rsidRDefault="00B95695" w:rsidP="00631723">
            <w:pPr>
              <w:tabs>
                <w:tab w:val="left" w:pos="1139"/>
              </w:tabs>
              <w:spacing w:after="0" w:line="240" w:lineRule="auto"/>
              <w:rPr>
                <w:rFonts w:ascii="Arial" w:hAnsi="Arial" w:cs="Arial"/>
                <w:b/>
                <w:sz w:val="24"/>
                <w:szCs w:val="24"/>
              </w:rPr>
            </w:pPr>
            <w:r w:rsidRPr="00315335">
              <w:rPr>
                <w:rFonts w:ascii="Arial" w:hAnsi="Arial" w:cs="Arial"/>
                <w:b/>
                <w:sz w:val="24"/>
                <w:szCs w:val="24"/>
              </w:rPr>
              <w:t>Mortalitate prin afecțiuni cardiovasculare</w:t>
            </w:r>
          </w:p>
        </w:tc>
        <w:tc>
          <w:tcPr>
            <w:tcW w:w="824" w:type="dxa"/>
            <w:shd w:val="clear" w:color="auto" w:fill="FABF8F"/>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2014</w:t>
            </w:r>
          </w:p>
        </w:tc>
        <w:tc>
          <w:tcPr>
            <w:tcW w:w="824" w:type="dxa"/>
            <w:shd w:val="clear" w:color="auto" w:fill="FABF8F"/>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2015</w:t>
            </w:r>
          </w:p>
        </w:tc>
        <w:tc>
          <w:tcPr>
            <w:tcW w:w="824" w:type="dxa"/>
            <w:shd w:val="clear" w:color="auto" w:fill="FABF8F"/>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2016</w:t>
            </w:r>
          </w:p>
        </w:tc>
        <w:tc>
          <w:tcPr>
            <w:tcW w:w="824" w:type="dxa"/>
            <w:shd w:val="clear" w:color="auto" w:fill="FABF8F"/>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2017</w:t>
            </w:r>
          </w:p>
        </w:tc>
        <w:tc>
          <w:tcPr>
            <w:tcW w:w="824" w:type="dxa"/>
            <w:shd w:val="clear" w:color="auto" w:fill="FABF8F"/>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2018</w:t>
            </w:r>
          </w:p>
        </w:tc>
      </w:tr>
      <w:tr w:rsidR="00B95695" w:rsidRPr="00315335" w:rsidTr="00631723">
        <w:trPr>
          <w:jc w:val="center"/>
        </w:trPr>
        <w:tc>
          <w:tcPr>
            <w:tcW w:w="221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Brăila</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1147</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1242</w:t>
            </w:r>
          </w:p>
        </w:tc>
        <w:tc>
          <w:tcPr>
            <w:tcW w:w="824" w:type="dxa"/>
            <w:shd w:val="clear" w:color="auto" w:fill="E5DFEC"/>
          </w:tcPr>
          <w:p w:rsidR="00B95695" w:rsidRPr="00315335" w:rsidRDefault="00B95695" w:rsidP="00631723">
            <w:pPr>
              <w:tabs>
                <w:tab w:val="left" w:pos="1139"/>
              </w:tabs>
              <w:spacing w:after="0" w:line="240" w:lineRule="auto"/>
              <w:jc w:val="center"/>
              <w:rPr>
                <w:rFonts w:ascii="Times New Roman" w:hAnsi="Times New Roman"/>
                <w:sz w:val="24"/>
                <w:szCs w:val="24"/>
              </w:rPr>
            </w:pPr>
            <w:r w:rsidRPr="00315335">
              <w:rPr>
                <w:rFonts w:ascii="Times New Roman" w:hAnsi="Times New Roman"/>
                <w:sz w:val="24"/>
                <w:szCs w:val="24"/>
              </w:rPr>
              <w:t>1178</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1194</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1076</w:t>
            </w:r>
          </w:p>
        </w:tc>
      </w:tr>
      <w:tr w:rsidR="00B95695" w:rsidRPr="00315335" w:rsidTr="00631723">
        <w:trPr>
          <w:jc w:val="center"/>
        </w:trPr>
        <w:tc>
          <w:tcPr>
            <w:tcW w:w="221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Ianca</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71</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71</w:t>
            </w:r>
          </w:p>
        </w:tc>
        <w:tc>
          <w:tcPr>
            <w:tcW w:w="824" w:type="dxa"/>
            <w:shd w:val="clear" w:color="auto" w:fill="E5DFEC"/>
          </w:tcPr>
          <w:p w:rsidR="00B95695" w:rsidRPr="00315335" w:rsidRDefault="00B95695" w:rsidP="00631723">
            <w:pPr>
              <w:tabs>
                <w:tab w:val="left" w:pos="1139"/>
              </w:tabs>
              <w:spacing w:after="0" w:line="240" w:lineRule="auto"/>
              <w:jc w:val="center"/>
              <w:rPr>
                <w:rFonts w:ascii="Times New Roman" w:hAnsi="Times New Roman"/>
                <w:sz w:val="24"/>
                <w:szCs w:val="24"/>
              </w:rPr>
            </w:pPr>
            <w:r w:rsidRPr="00315335">
              <w:rPr>
                <w:rFonts w:ascii="Times New Roman" w:hAnsi="Times New Roman"/>
                <w:sz w:val="24"/>
                <w:szCs w:val="24"/>
              </w:rPr>
              <w:t>90</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29</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30</w:t>
            </w:r>
          </w:p>
        </w:tc>
      </w:tr>
      <w:tr w:rsidR="00B95695" w:rsidRPr="00315335" w:rsidTr="00631723">
        <w:trPr>
          <w:jc w:val="center"/>
        </w:trPr>
        <w:tc>
          <w:tcPr>
            <w:tcW w:w="221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Făurei</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23</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33</w:t>
            </w:r>
          </w:p>
        </w:tc>
        <w:tc>
          <w:tcPr>
            <w:tcW w:w="824" w:type="dxa"/>
            <w:shd w:val="clear" w:color="auto" w:fill="E5DFEC"/>
          </w:tcPr>
          <w:p w:rsidR="00B95695" w:rsidRPr="00315335" w:rsidRDefault="00B95695" w:rsidP="00631723">
            <w:pPr>
              <w:tabs>
                <w:tab w:val="left" w:pos="1139"/>
              </w:tabs>
              <w:spacing w:after="0" w:line="240" w:lineRule="auto"/>
              <w:jc w:val="center"/>
              <w:rPr>
                <w:rFonts w:ascii="Times New Roman" w:hAnsi="Times New Roman"/>
                <w:sz w:val="24"/>
                <w:szCs w:val="24"/>
              </w:rPr>
            </w:pPr>
            <w:r w:rsidRPr="00315335">
              <w:rPr>
                <w:rFonts w:ascii="Times New Roman" w:hAnsi="Times New Roman"/>
                <w:sz w:val="24"/>
                <w:szCs w:val="24"/>
              </w:rPr>
              <w:t>31</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75</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23</w:t>
            </w:r>
          </w:p>
        </w:tc>
      </w:tr>
      <w:tr w:rsidR="00B95695" w:rsidRPr="00315335" w:rsidTr="00631723">
        <w:trPr>
          <w:jc w:val="center"/>
        </w:trPr>
        <w:tc>
          <w:tcPr>
            <w:tcW w:w="221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Însurăței</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54</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51</w:t>
            </w:r>
          </w:p>
        </w:tc>
        <w:tc>
          <w:tcPr>
            <w:tcW w:w="824" w:type="dxa"/>
            <w:shd w:val="clear" w:color="auto" w:fill="E5DFEC"/>
          </w:tcPr>
          <w:p w:rsidR="00B95695" w:rsidRPr="00315335" w:rsidRDefault="00B95695" w:rsidP="00631723">
            <w:pPr>
              <w:tabs>
                <w:tab w:val="left" w:pos="1139"/>
              </w:tabs>
              <w:spacing w:after="0" w:line="240" w:lineRule="auto"/>
              <w:jc w:val="center"/>
              <w:rPr>
                <w:rFonts w:ascii="Times New Roman" w:hAnsi="Times New Roman"/>
                <w:sz w:val="24"/>
                <w:szCs w:val="24"/>
              </w:rPr>
            </w:pPr>
            <w:r w:rsidRPr="00315335">
              <w:rPr>
                <w:rFonts w:ascii="Times New Roman" w:hAnsi="Times New Roman"/>
                <w:sz w:val="24"/>
                <w:szCs w:val="24"/>
              </w:rPr>
              <w:t>59</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59</w:t>
            </w:r>
          </w:p>
        </w:tc>
        <w:tc>
          <w:tcPr>
            <w:tcW w:w="824" w:type="dxa"/>
            <w:shd w:val="clear" w:color="auto" w:fill="E5DFEC"/>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48</w:t>
            </w:r>
          </w:p>
        </w:tc>
      </w:tr>
    </w:tbl>
    <w:p w:rsidR="00B95695" w:rsidRPr="00315335" w:rsidRDefault="00B95695" w:rsidP="00B95695">
      <w:pPr>
        <w:jc w:val="both"/>
        <w:rPr>
          <w:rFonts w:ascii="Arial" w:hAnsi="Arial" w:cs="Arial"/>
          <w:i/>
          <w:sz w:val="20"/>
          <w:szCs w:val="20"/>
        </w:rPr>
      </w:pPr>
      <w:r w:rsidRPr="00315335">
        <w:rPr>
          <w:rFonts w:ascii="Arial" w:hAnsi="Arial" w:cs="Arial"/>
          <w:i/>
          <w:sz w:val="20"/>
          <w:szCs w:val="20"/>
          <w:lang w:val="en-US"/>
        </w:rPr>
        <w:t xml:space="preserve">                    Not</w:t>
      </w:r>
      <w:r w:rsidRPr="00315335">
        <w:rPr>
          <w:rFonts w:ascii="Arial" w:hAnsi="Arial" w:cs="Arial"/>
          <w:i/>
          <w:sz w:val="20"/>
          <w:szCs w:val="20"/>
        </w:rPr>
        <w:t>ă: Informații furnizate de către Direcția de Sănătate Publică a județului Brăila</w:t>
      </w:r>
    </w:p>
    <w:p w:rsidR="00B95695" w:rsidRPr="00315335" w:rsidRDefault="00B95695" w:rsidP="00B95695">
      <w:pPr>
        <w:jc w:val="both"/>
        <w:rPr>
          <w:rFonts w:ascii="Arial" w:hAnsi="Arial" w:cs="Arial"/>
          <w:sz w:val="24"/>
          <w:szCs w:val="24"/>
        </w:rPr>
      </w:pPr>
      <w:r w:rsidRPr="00315335">
        <w:rPr>
          <w:rFonts w:ascii="Arial" w:hAnsi="Arial" w:cs="Arial"/>
          <w:b/>
          <w:bCs/>
          <w:sz w:val="24"/>
          <w:szCs w:val="24"/>
        </w:rPr>
        <w:t>Figura nr. VIII.1.1.1. – 3 -</w:t>
      </w:r>
      <w:r w:rsidRPr="00315335">
        <w:rPr>
          <w:rFonts w:ascii="Arial" w:hAnsi="Arial" w:cs="Arial"/>
          <w:sz w:val="24"/>
          <w:szCs w:val="24"/>
        </w:rPr>
        <w:t xml:space="preserve"> Mortalitatea prin afecțiuni cardiovasculare pe orașele din județul Brăila (număr cazuri) în perioada 2014 – 2018</w:t>
      </w:r>
    </w:p>
    <w:p w:rsidR="00B95695" w:rsidRPr="00315335" w:rsidRDefault="00B95695" w:rsidP="00B95695">
      <w:pPr>
        <w:tabs>
          <w:tab w:val="left" w:pos="1139"/>
        </w:tabs>
        <w:jc w:val="center"/>
        <w:rPr>
          <w:rFonts w:ascii="Arial" w:hAnsi="Arial" w:cs="Arial"/>
          <w:b/>
          <w:sz w:val="24"/>
          <w:szCs w:val="24"/>
        </w:rPr>
      </w:pPr>
      <w:r w:rsidRPr="00315335">
        <w:rPr>
          <w:rFonts w:ascii="Arial" w:hAnsi="Arial" w:cs="Arial"/>
          <w:b/>
          <w:noProof/>
          <w:sz w:val="24"/>
          <w:szCs w:val="24"/>
        </w:rPr>
        <w:drawing>
          <wp:inline distT="0" distB="0" distL="0" distR="0" wp14:anchorId="251FEED1" wp14:editId="5519872A">
            <wp:extent cx="4562475" cy="1905000"/>
            <wp:effectExtent l="19050" t="0" r="9525" b="0"/>
            <wp:docPr id="7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B95695" w:rsidRPr="00315335" w:rsidRDefault="00B95695" w:rsidP="00B95695">
      <w:pPr>
        <w:tabs>
          <w:tab w:val="left" w:pos="1139"/>
        </w:tabs>
        <w:spacing w:after="0" w:line="240" w:lineRule="auto"/>
        <w:jc w:val="both"/>
        <w:rPr>
          <w:rFonts w:ascii="Arial" w:hAnsi="Arial" w:cs="Arial"/>
          <w:sz w:val="24"/>
          <w:szCs w:val="24"/>
        </w:rPr>
      </w:pPr>
      <w:r w:rsidRPr="00315335">
        <w:rPr>
          <w:rFonts w:ascii="Arial" w:hAnsi="Arial" w:cs="Arial"/>
          <w:sz w:val="24"/>
          <w:szCs w:val="24"/>
        </w:rPr>
        <w:t>Tabel nr. VIII.1.1.1. – 5 -</w:t>
      </w:r>
      <w:r w:rsidRPr="00315335">
        <w:rPr>
          <w:rFonts w:ascii="Arial" w:hAnsi="Arial" w:cs="Arial"/>
          <w:sz w:val="24"/>
          <w:szCs w:val="24"/>
          <w:lang w:val="en-US"/>
        </w:rPr>
        <w:t xml:space="preserve"> </w:t>
      </w:r>
      <w:r w:rsidRPr="00315335">
        <w:rPr>
          <w:rFonts w:ascii="Arial" w:hAnsi="Arial" w:cs="Arial"/>
          <w:sz w:val="24"/>
          <w:szCs w:val="24"/>
        </w:rPr>
        <w:t xml:space="preserve">Incidența cazurilor de astm Bronșic pe orașele din județul Brăila (număr cazuri) </w:t>
      </w:r>
      <w:r w:rsidRPr="00315335">
        <w:rPr>
          <w:rFonts w:ascii="Arial" w:hAnsi="Arial" w:cs="Arial"/>
          <w:sz w:val="24"/>
          <w:szCs w:val="24"/>
          <w:lang w:val="en-US"/>
        </w:rPr>
        <w:t>corelată cu PM</w:t>
      </w:r>
      <w:r w:rsidRPr="00315335">
        <w:rPr>
          <w:rFonts w:ascii="Arial" w:hAnsi="Arial" w:cs="Arial"/>
          <w:sz w:val="24"/>
          <w:szCs w:val="24"/>
          <w:vertAlign w:val="subscript"/>
          <w:lang w:val="en-US"/>
        </w:rPr>
        <w:t>10</w:t>
      </w:r>
      <w:r w:rsidRPr="00315335">
        <w:rPr>
          <w:rFonts w:ascii="Arial" w:hAnsi="Arial" w:cs="Arial"/>
          <w:sz w:val="24"/>
          <w:szCs w:val="24"/>
          <w:lang w:val="en-US"/>
        </w:rPr>
        <w:t xml:space="preserve"> - concentraţie medie/an</w:t>
      </w:r>
      <w:r w:rsidRPr="00315335">
        <w:rPr>
          <w:rFonts w:ascii="Arial" w:hAnsi="Arial" w:cs="Arial"/>
          <w:sz w:val="24"/>
          <w:szCs w:val="24"/>
        </w:rPr>
        <w:t xml:space="preserve"> (µg/mc) perioada 2014 – 2018</w:t>
      </w:r>
    </w:p>
    <w:p w:rsidR="00B95695" w:rsidRPr="00315335" w:rsidRDefault="00B95695" w:rsidP="00B95695">
      <w:pPr>
        <w:tabs>
          <w:tab w:val="left" w:pos="1139"/>
        </w:tabs>
        <w:spacing w:after="0" w:line="240" w:lineRule="auto"/>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848"/>
        <w:gridCol w:w="848"/>
        <w:gridCol w:w="848"/>
        <w:gridCol w:w="848"/>
        <w:gridCol w:w="848"/>
      </w:tblGrid>
      <w:tr w:rsidR="00B95695" w:rsidRPr="00315335" w:rsidTr="00631723">
        <w:trPr>
          <w:jc w:val="center"/>
        </w:trPr>
        <w:tc>
          <w:tcPr>
            <w:tcW w:w="4521" w:type="dxa"/>
            <w:shd w:val="clear" w:color="auto" w:fill="FBD4B4"/>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Număr cazuri de astm Bronșic</w:t>
            </w:r>
          </w:p>
        </w:tc>
        <w:tc>
          <w:tcPr>
            <w:tcW w:w="848" w:type="dxa"/>
            <w:shd w:val="clear" w:color="auto" w:fill="FBD4B4"/>
            <w:vAlign w:val="center"/>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2014</w:t>
            </w:r>
          </w:p>
        </w:tc>
        <w:tc>
          <w:tcPr>
            <w:tcW w:w="848" w:type="dxa"/>
            <w:shd w:val="clear" w:color="auto" w:fill="FBD4B4"/>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2015</w:t>
            </w:r>
          </w:p>
        </w:tc>
        <w:tc>
          <w:tcPr>
            <w:tcW w:w="848" w:type="dxa"/>
            <w:shd w:val="clear" w:color="auto" w:fill="FBD4B4"/>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2016</w:t>
            </w:r>
          </w:p>
        </w:tc>
        <w:tc>
          <w:tcPr>
            <w:tcW w:w="848" w:type="dxa"/>
            <w:shd w:val="clear" w:color="auto" w:fill="FBD4B4"/>
            <w:vAlign w:val="center"/>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2017</w:t>
            </w:r>
          </w:p>
        </w:tc>
        <w:tc>
          <w:tcPr>
            <w:tcW w:w="848" w:type="dxa"/>
            <w:shd w:val="clear" w:color="auto" w:fill="FBD4B4"/>
            <w:vAlign w:val="center"/>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2018</w:t>
            </w:r>
          </w:p>
        </w:tc>
      </w:tr>
      <w:tr w:rsidR="00B95695" w:rsidRPr="00315335" w:rsidTr="00631723">
        <w:trPr>
          <w:jc w:val="center"/>
        </w:trPr>
        <w:tc>
          <w:tcPr>
            <w:tcW w:w="4521" w:type="dxa"/>
            <w:shd w:val="clear" w:color="auto" w:fill="DAEEF3"/>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Brăila</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217</w:t>
            </w:r>
          </w:p>
        </w:tc>
        <w:tc>
          <w:tcPr>
            <w:tcW w:w="848" w:type="dxa"/>
            <w:shd w:val="clear" w:color="auto" w:fill="DAEEF3"/>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210</w:t>
            </w:r>
          </w:p>
        </w:tc>
        <w:tc>
          <w:tcPr>
            <w:tcW w:w="848" w:type="dxa"/>
            <w:shd w:val="clear" w:color="auto" w:fill="DAEEF3"/>
          </w:tcPr>
          <w:p w:rsidR="00B95695" w:rsidRPr="00315335" w:rsidRDefault="00B95695" w:rsidP="00631723">
            <w:pPr>
              <w:tabs>
                <w:tab w:val="left" w:pos="1139"/>
              </w:tabs>
              <w:spacing w:after="0" w:line="240" w:lineRule="auto"/>
              <w:jc w:val="center"/>
              <w:rPr>
                <w:rFonts w:ascii="Times New Roman" w:hAnsi="Times New Roman"/>
                <w:sz w:val="24"/>
                <w:szCs w:val="24"/>
              </w:rPr>
            </w:pPr>
            <w:r w:rsidRPr="00315335">
              <w:rPr>
                <w:rFonts w:ascii="Times New Roman" w:hAnsi="Times New Roman"/>
                <w:sz w:val="24"/>
                <w:szCs w:val="24"/>
              </w:rPr>
              <w:t>181</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344</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209</w:t>
            </w:r>
          </w:p>
        </w:tc>
      </w:tr>
      <w:tr w:rsidR="00B95695" w:rsidRPr="00315335" w:rsidTr="00631723">
        <w:trPr>
          <w:jc w:val="center"/>
        </w:trPr>
        <w:tc>
          <w:tcPr>
            <w:tcW w:w="4521" w:type="dxa"/>
            <w:shd w:val="clear" w:color="auto" w:fill="DAEEF3"/>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Ianca</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25</w:t>
            </w:r>
          </w:p>
        </w:tc>
        <w:tc>
          <w:tcPr>
            <w:tcW w:w="848" w:type="dxa"/>
            <w:shd w:val="clear" w:color="auto" w:fill="DAEEF3"/>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5</w:t>
            </w:r>
          </w:p>
        </w:tc>
        <w:tc>
          <w:tcPr>
            <w:tcW w:w="848" w:type="dxa"/>
            <w:shd w:val="clear" w:color="auto" w:fill="DAEEF3"/>
          </w:tcPr>
          <w:p w:rsidR="00B95695" w:rsidRPr="00315335" w:rsidRDefault="00B95695" w:rsidP="00631723">
            <w:pPr>
              <w:tabs>
                <w:tab w:val="left" w:pos="1139"/>
              </w:tabs>
              <w:spacing w:after="0" w:line="240" w:lineRule="auto"/>
              <w:jc w:val="center"/>
              <w:rPr>
                <w:rFonts w:ascii="Times New Roman" w:hAnsi="Times New Roman"/>
                <w:sz w:val="24"/>
                <w:szCs w:val="24"/>
              </w:rPr>
            </w:pPr>
            <w:r w:rsidRPr="00315335">
              <w:rPr>
                <w:rFonts w:ascii="Times New Roman" w:hAnsi="Times New Roman"/>
                <w:sz w:val="24"/>
                <w:szCs w:val="24"/>
              </w:rPr>
              <w:t>31</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23</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6</w:t>
            </w:r>
          </w:p>
        </w:tc>
      </w:tr>
      <w:tr w:rsidR="00B95695" w:rsidRPr="00315335" w:rsidTr="00631723">
        <w:trPr>
          <w:jc w:val="center"/>
        </w:trPr>
        <w:tc>
          <w:tcPr>
            <w:tcW w:w="4521" w:type="dxa"/>
            <w:shd w:val="clear" w:color="auto" w:fill="DAEEF3"/>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lastRenderedPageBreak/>
              <w:t>Făurei</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27</w:t>
            </w:r>
          </w:p>
        </w:tc>
        <w:tc>
          <w:tcPr>
            <w:tcW w:w="848" w:type="dxa"/>
            <w:shd w:val="clear" w:color="auto" w:fill="DAEEF3"/>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9</w:t>
            </w:r>
          </w:p>
        </w:tc>
        <w:tc>
          <w:tcPr>
            <w:tcW w:w="848" w:type="dxa"/>
            <w:shd w:val="clear" w:color="auto" w:fill="DAEEF3"/>
          </w:tcPr>
          <w:p w:rsidR="00B95695" w:rsidRPr="00315335" w:rsidRDefault="00B95695" w:rsidP="00631723">
            <w:pPr>
              <w:tabs>
                <w:tab w:val="left" w:pos="1139"/>
              </w:tabs>
              <w:spacing w:after="0" w:line="240" w:lineRule="auto"/>
              <w:jc w:val="center"/>
              <w:rPr>
                <w:rFonts w:ascii="Times New Roman" w:hAnsi="Times New Roman"/>
                <w:sz w:val="24"/>
                <w:szCs w:val="24"/>
              </w:rPr>
            </w:pPr>
            <w:r w:rsidRPr="00315335">
              <w:rPr>
                <w:rFonts w:ascii="Times New Roman" w:hAnsi="Times New Roman"/>
                <w:sz w:val="24"/>
                <w:szCs w:val="24"/>
              </w:rPr>
              <w:t>8</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4</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3</w:t>
            </w:r>
          </w:p>
        </w:tc>
      </w:tr>
      <w:tr w:rsidR="00B95695" w:rsidRPr="00315335" w:rsidTr="00631723">
        <w:trPr>
          <w:jc w:val="center"/>
        </w:trPr>
        <w:tc>
          <w:tcPr>
            <w:tcW w:w="4521" w:type="dxa"/>
            <w:shd w:val="clear" w:color="auto" w:fill="DAEEF3"/>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Însurăței</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10</w:t>
            </w:r>
          </w:p>
        </w:tc>
        <w:tc>
          <w:tcPr>
            <w:tcW w:w="848" w:type="dxa"/>
            <w:shd w:val="clear" w:color="auto" w:fill="DAEEF3"/>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1</w:t>
            </w:r>
          </w:p>
        </w:tc>
        <w:tc>
          <w:tcPr>
            <w:tcW w:w="848" w:type="dxa"/>
            <w:shd w:val="clear" w:color="auto" w:fill="DAEEF3"/>
          </w:tcPr>
          <w:p w:rsidR="00B95695" w:rsidRPr="00315335" w:rsidRDefault="00B95695" w:rsidP="00631723">
            <w:pPr>
              <w:tabs>
                <w:tab w:val="left" w:pos="1139"/>
              </w:tabs>
              <w:spacing w:after="0" w:line="240" w:lineRule="auto"/>
              <w:jc w:val="center"/>
              <w:rPr>
                <w:rFonts w:ascii="Times New Roman" w:hAnsi="Times New Roman"/>
                <w:sz w:val="24"/>
                <w:szCs w:val="24"/>
              </w:rPr>
            </w:pPr>
            <w:r w:rsidRPr="00315335">
              <w:rPr>
                <w:rFonts w:ascii="Times New Roman" w:hAnsi="Times New Roman"/>
                <w:sz w:val="24"/>
                <w:szCs w:val="24"/>
              </w:rPr>
              <w:t>4</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5</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sz w:val="24"/>
                <w:szCs w:val="24"/>
              </w:rPr>
            </w:pPr>
            <w:r w:rsidRPr="00315335">
              <w:rPr>
                <w:rFonts w:ascii="Arial" w:hAnsi="Arial" w:cs="Arial"/>
                <w:sz w:val="24"/>
                <w:szCs w:val="24"/>
              </w:rPr>
              <w:t>0</w:t>
            </w:r>
          </w:p>
        </w:tc>
      </w:tr>
      <w:tr w:rsidR="00B95695" w:rsidRPr="00315335" w:rsidTr="00631723">
        <w:trPr>
          <w:jc w:val="center"/>
        </w:trPr>
        <w:tc>
          <w:tcPr>
            <w:tcW w:w="4521" w:type="dxa"/>
            <w:shd w:val="clear" w:color="auto" w:fill="DAEEF3"/>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Total județ Brăila</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504</w:t>
            </w:r>
          </w:p>
        </w:tc>
        <w:tc>
          <w:tcPr>
            <w:tcW w:w="848" w:type="dxa"/>
            <w:shd w:val="clear" w:color="auto" w:fill="DAEEF3"/>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400</w:t>
            </w:r>
          </w:p>
        </w:tc>
        <w:tc>
          <w:tcPr>
            <w:tcW w:w="848" w:type="dxa"/>
            <w:shd w:val="clear" w:color="auto" w:fill="DAEEF3"/>
          </w:tcPr>
          <w:p w:rsidR="00B95695" w:rsidRPr="00315335" w:rsidRDefault="00B95695" w:rsidP="00631723">
            <w:pPr>
              <w:tabs>
                <w:tab w:val="left" w:pos="1139"/>
              </w:tabs>
              <w:spacing w:after="0" w:line="240" w:lineRule="auto"/>
              <w:jc w:val="center"/>
              <w:rPr>
                <w:rFonts w:ascii="Times New Roman" w:hAnsi="Times New Roman"/>
                <w:b/>
                <w:sz w:val="24"/>
                <w:szCs w:val="24"/>
              </w:rPr>
            </w:pPr>
            <w:r w:rsidRPr="00315335">
              <w:rPr>
                <w:rFonts w:ascii="Times New Roman" w:hAnsi="Times New Roman"/>
                <w:b/>
                <w:sz w:val="24"/>
                <w:szCs w:val="24"/>
              </w:rPr>
              <w:t>399</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376</w:t>
            </w:r>
          </w:p>
        </w:tc>
        <w:tc>
          <w:tcPr>
            <w:tcW w:w="848" w:type="dxa"/>
            <w:shd w:val="clear" w:color="auto" w:fill="DAEEF3"/>
            <w:vAlign w:val="center"/>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218</w:t>
            </w:r>
          </w:p>
        </w:tc>
      </w:tr>
      <w:tr w:rsidR="00B95695" w:rsidRPr="00315335" w:rsidTr="00631723">
        <w:trPr>
          <w:jc w:val="center"/>
        </w:trPr>
        <w:tc>
          <w:tcPr>
            <w:tcW w:w="4521" w:type="dxa"/>
            <w:shd w:val="clear" w:color="auto" w:fill="DAEEF3"/>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sz w:val="24"/>
                <w:szCs w:val="24"/>
                <w:lang w:val="en-US"/>
              </w:rPr>
              <w:t>PM</w:t>
            </w:r>
            <w:r w:rsidRPr="00315335">
              <w:rPr>
                <w:rFonts w:ascii="Arial" w:hAnsi="Arial" w:cs="Arial"/>
                <w:sz w:val="24"/>
                <w:szCs w:val="24"/>
                <w:vertAlign w:val="subscript"/>
                <w:lang w:val="en-US"/>
              </w:rPr>
              <w:t>10</w:t>
            </w:r>
            <w:r w:rsidRPr="00315335">
              <w:rPr>
                <w:rFonts w:ascii="Arial" w:hAnsi="Arial" w:cs="Arial"/>
                <w:sz w:val="24"/>
                <w:szCs w:val="24"/>
                <w:lang w:val="en-US"/>
              </w:rPr>
              <w:t xml:space="preserve"> - concentraţie medie/an</w:t>
            </w:r>
            <w:r w:rsidRPr="00315335">
              <w:rPr>
                <w:rFonts w:ascii="Arial" w:hAnsi="Arial" w:cs="Arial"/>
                <w:sz w:val="24"/>
                <w:szCs w:val="24"/>
              </w:rPr>
              <w:t xml:space="preserve">  (µg/mc)</w:t>
            </w:r>
          </w:p>
        </w:tc>
        <w:tc>
          <w:tcPr>
            <w:tcW w:w="848" w:type="dxa"/>
            <w:shd w:val="clear" w:color="auto" w:fill="DAEEF3"/>
            <w:vAlign w:val="center"/>
          </w:tcPr>
          <w:p w:rsidR="00B95695" w:rsidRPr="00315335" w:rsidRDefault="00B95695" w:rsidP="00631723">
            <w:pPr>
              <w:spacing w:after="0" w:line="240" w:lineRule="auto"/>
              <w:jc w:val="both"/>
              <w:rPr>
                <w:rFonts w:ascii="Arial" w:hAnsi="Arial" w:cs="Arial"/>
                <w:sz w:val="24"/>
                <w:szCs w:val="24"/>
              </w:rPr>
            </w:pPr>
            <w:r w:rsidRPr="00315335">
              <w:rPr>
                <w:rFonts w:ascii="Arial" w:hAnsi="Arial" w:cs="Arial"/>
                <w:sz w:val="24"/>
                <w:szCs w:val="24"/>
              </w:rPr>
              <w:t>46,03</w:t>
            </w:r>
          </w:p>
        </w:tc>
        <w:tc>
          <w:tcPr>
            <w:tcW w:w="848" w:type="dxa"/>
            <w:shd w:val="clear" w:color="auto" w:fill="DAEEF3"/>
          </w:tcPr>
          <w:p w:rsidR="00B95695" w:rsidRPr="00315335" w:rsidRDefault="00B95695" w:rsidP="00631723">
            <w:pPr>
              <w:spacing w:after="0" w:line="240" w:lineRule="auto"/>
              <w:jc w:val="both"/>
              <w:rPr>
                <w:rFonts w:ascii="Arial" w:hAnsi="Arial" w:cs="Arial"/>
                <w:sz w:val="24"/>
                <w:szCs w:val="24"/>
              </w:rPr>
            </w:pPr>
            <w:r w:rsidRPr="00315335">
              <w:rPr>
                <w:rFonts w:ascii="Arial" w:hAnsi="Arial" w:cs="Arial"/>
                <w:sz w:val="24"/>
                <w:szCs w:val="24"/>
              </w:rPr>
              <w:t>36,68</w:t>
            </w:r>
          </w:p>
        </w:tc>
        <w:tc>
          <w:tcPr>
            <w:tcW w:w="848" w:type="dxa"/>
            <w:shd w:val="clear" w:color="auto" w:fill="DAEEF3"/>
          </w:tcPr>
          <w:p w:rsidR="00B95695" w:rsidRPr="00315335" w:rsidRDefault="00B95695" w:rsidP="00631723">
            <w:pPr>
              <w:spacing w:after="0" w:line="240" w:lineRule="auto"/>
              <w:jc w:val="both"/>
              <w:rPr>
                <w:rFonts w:ascii="Arial" w:hAnsi="Arial" w:cs="Arial"/>
                <w:sz w:val="24"/>
                <w:szCs w:val="24"/>
              </w:rPr>
            </w:pPr>
            <w:r w:rsidRPr="00315335">
              <w:rPr>
                <w:rFonts w:ascii="Arial" w:hAnsi="Arial" w:cs="Arial"/>
              </w:rPr>
              <w:t>27,93</w:t>
            </w:r>
          </w:p>
        </w:tc>
        <w:tc>
          <w:tcPr>
            <w:tcW w:w="848" w:type="dxa"/>
            <w:shd w:val="clear" w:color="auto" w:fill="DAEEF3"/>
            <w:vAlign w:val="center"/>
          </w:tcPr>
          <w:p w:rsidR="00B95695" w:rsidRPr="00315335" w:rsidRDefault="00B95695" w:rsidP="00631723">
            <w:pPr>
              <w:spacing w:after="0" w:line="240" w:lineRule="auto"/>
              <w:jc w:val="both"/>
              <w:rPr>
                <w:rFonts w:ascii="Arial" w:hAnsi="Arial" w:cs="Arial"/>
                <w:sz w:val="24"/>
                <w:szCs w:val="24"/>
              </w:rPr>
            </w:pPr>
            <w:r w:rsidRPr="00315335">
              <w:rPr>
                <w:rFonts w:ascii="Arial" w:hAnsi="Arial" w:cs="Arial"/>
                <w:sz w:val="24"/>
                <w:szCs w:val="24"/>
              </w:rPr>
              <w:t>20,70</w:t>
            </w:r>
          </w:p>
        </w:tc>
        <w:tc>
          <w:tcPr>
            <w:tcW w:w="848" w:type="dxa"/>
            <w:shd w:val="clear" w:color="auto" w:fill="DAEEF3"/>
            <w:vAlign w:val="center"/>
          </w:tcPr>
          <w:p w:rsidR="00B95695" w:rsidRPr="00315335" w:rsidRDefault="00B95695" w:rsidP="00631723">
            <w:pPr>
              <w:spacing w:after="0" w:line="240" w:lineRule="auto"/>
              <w:jc w:val="both"/>
              <w:rPr>
                <w:rFonts w:ascii="Arial" w:hAnsi="Arial" w:cs="Arial"/>
                <w:sz w:val="24"/>
                <w:szCs w:val="24"/>
              </w:rPr>
            </w:pPr>
            <w:r w:rsidRPr="00315335">
              <w:rPr>
                <w:rFonts w:ascii="Arial" w:hAnsi="Arial" w:cs="Arial"/>
              </w:rPr>
              <w:t>16,25</w:t>
            </w:r>
          </w:p>
        </w:tc>
      </w:tr>
    </w:tbl>
    <w:p w:rsidR="00B95695" w:rsidRPr="00315335" w:rsidRDefault="00B95695" w:rsidP="00B95695">
      <w:pPr>
        <w:jc w:val="both"/>
        <w:rPr>
          <w:rFonts w:ascii="Arial" w:hAnsi="Arial" w:cs="Arial"/>
          <w:sz w:val="24"/>
          <w:szCs w:val="24"/>
        </w:rPr>
      </w:pPr>
      <w:r w:rsidRPr="00315335">
        <w:rPr>
          <w:rFonts w:ascii="Arial" w:hAnsi="Arial" w:cs="Arial"/>
          <w:i/>
          <w:sz w:val="20"/>
          <w:szCs w:val="20"/>
          <w:lang w:val="en-US"/>
        </w:rPr>
        <w:t>Not</w:t>
      </w:r>
      <w:r w:rsidRPr="00315335">
        <w:rPr>
          <w:rFonts w:ascii="Arial" w:hAnsi="Arial" w:cs="Arial"/>
          <w:i/>
          <w:sz w:val="20"/>
          <w:szCs w:val="20"/>
        </w:rPr>
        <w:t>ă: Informații furnizate de către Direcția de Sănătate Publică a județului Brăila și de APM Brăila</w:t>
      </w:r>
    </w:p>
    <w:p w:rsidR="00B95695" w:rsidRPr="00315335" w:rsidRDefault="00B95695" w:rsidP="00B95695">
      <w:pPr>
        <w:pStyle w:val="Titlu1"/>
        <w:jc w:val="center"/>
        <w:rPr>
          <w:b w:val="0"/>
          <w:sz w:val="24"/>
          <w:szCs w:val="24"/>
        </w:rPr>
      </w:pPr>
      <w:r w:rsidRPr="00315335">
        <w:rPr>
          <w:b w:val="0"/>
          <w:noProof/>
          <w:sz w:val="24"/>
          <w:szCs w:val="24"/>
          <w:lang w:val="ro-RO" w:eastAsia="ro-RO"/>
        </w:rPr>
        <w:drawing>
          <wp:inline distT="0" distB="0" distL="0" distR="0" wp14:anchorId="4F633BC9" wp14:editId="2CF96C95">
            <wp:extent cx="5495925" cy="2505075"/>
            <wp:effectExtent l="19050" t="0" r="9525" b="0"/>
            <wp:docPr id="78" name="Chart 1" descr="Title: Figura nr.VIII.1.1.1. - 4 - Incidența cazurilor de astm bronșic pe orașele din județul Brăila (număr cazuri) - Description: Figura nr.VIII.1.1.1. - 4 - Incidența cazurilor de astm bronșic pe orașele din județul Brăila (număr cazuri)"/>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B95695" w:rsidRPr="00315335" w:rsidRDefault="00B95695" w:rsidP="00B95695">
      <w:pPr>
        <w:rPr>
          <w:lang w:val="en-GB"/>
        </w:rPr>
      </w:pPr>
    </w:p>
    <w:p w:rsidR="00B95695" w:rsidRPr="00315335" w:rsidRDefault="00B95695" w:rsidP="00B95695">
      <w:pPr>
        <w:tabs>
          <w:tab w:val="left" w:pos="1139"/>
        </w:tabs>
        <w:spacing w:after="0" w:line="240" w:lineRule="auto"/>
        <w:jc w:val="both"/>
        <w:rPr>
          <w:rFonts w:ascii="Arial" w:hAnsi="Arial" w:cs="Arial"/>
          <w:sz w:val="24"/>
          <w:szCs w:val="24"/>
        </w:rPr>
      </w:pPr>
      <w:r w:rsidRPr="00315335">
        <w:rPr>
          <w:rFonts w:ascii="Arial" w:hAnsi="Arial" w:cs="Arial"/>
          <w:sz w:val="24"/>
          <w:szCs w:val="24"/>
        </w:rPr>
        <w:t>Tabel nr. VIII.1.1.1. – 6 –</w:t>
      </w:r>
      <w:r w:rsidRPr="00315335">
        <w:rPr>
          <w:rFonts w:ascii="Arial" w:hAnsi="Arial" w:cs="Arial"/>
          <w:sz w:val="24"/>
          <w:szCs w:val="24"/>
          <w:lang w:val="en-US"/>
        </w:rPr>
        <w:t xml:space="preserve"> Evoluția </w:t>
      </w:r>
      <w:r w:rsidRPr="00315335">
        <w:rPr>
          <w:rFonts w:ascii="Arial" w:hAnsi="Arial" w:cs="Arial"/>
          <w:sz w:val="24"/>
          <w:szCs w:val="24"/>
        </w:rPr>
        <w:t xml:space="preserve"> </w:t>
      </w:r>
      <w:r w:rsidRPr="00315335">
        <w:rPr>
          <w:rFonts w:ascii="Arial" w:hAnsi="Arial" w:cs="Arial"/>
          <w:sz w:val="24"/>
          <w:szCs w:val="24"/>
          <w:lang w:val="en-US"/>
        </w:rPr>
        <w:t>concentraţiilor  medii anuale a</w:t>
      </w:r>
      <w:r w:rsidRPr="00315335">
        <w:rPr>
          <w:rFonts w:ascii="Arial" w:hAnsi="Arial" w:cs="Arial"/>
          <w:sz w:val="24"/>
          <w:szCs w:val="24"/>
        </w:rPr>
        <w:t xml:space="preserve"> </w:t>
      </w:r>
      <w:r w:rsidRPr="00315335">
        <w:rPr>
          <w:rFonts w:ascii="Arial" w:hAnsi="Arial" w:cs="Arial"/>
          <w:sz w:val="24"/>
          <w:szCs w:val="24"/>
          <w:lang w:val="en-US"/>
        </w:rPr>
        <w:t>PM</w:t>
      </w:r>
      <w:r w:rsidRPr="00315335">
        <w:rPr>
          <w:rFonts w:ascii="Arial" w:hAnsi="Arial" w:cs="Arial"/>
          <w:sz w:val="24"/>
          <w:szCs w:val="24"/>
          <w:vertAlign w:val="subscript"/>
          <w:lang w:val="en-US"/>
        </w:rPr>
        <w:t>10</w:t>
      </w:r>
      <w:r w:rsidRPr="00315335">
        <w:rPr>
          <w:rFonts w:ascii="Arial" w:hAnsi="Arial" w:cs="Arial"/>
          <w:sz w:val="24"/>
          <w:szCs w:val="24"/>
          <w:lang w:val="en-US"/>
        </w:rPr>
        <w:t xml:space="preserve"> - </w:t>
      </w:r>
      <w:r w:rsidRPr="00315335">
        <w:rPr>
          <w:rFonts w:ascii="Arial" w:hAnsi="Arial" w:cs="Arial"/>
          <w:sz w:val="24"/>
          <w:szCs w:val="24"/>
        </w:rPr>
        <w:t xml:space="preserve">(µg/mc) în județul Brăila în perioada 2012 – 2018 </w:t>
      </w:r>
    </w:p>
    <w:p w:rsidR="00B95695" w:rsidRPr="00315335" w:rsidRDefault="00B95695" w:rsidP="00B95695">
      <w:pPr>
        <w:tabs>
          <w:tab w:val="left" w:pos="1139"/>
        </w:tabs>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980"/>
        <w:gridCol w:w="992"/>
        <w:gridCol w:w="992"/>
        <w:gridCol w:w="992"/>
        <w:gridCol w:w="983"/>
        <w:gridCol w:w="992"/>
        <w:gridCol w:w="884"/>
      </w:tblGrid>
      <w:tr w:rsidR="00B95695" w:rsidRPr="00315335" w:rsidTr="00631723">
        <w:trPr>
          <w:jc w:val="center"/>
        </w:trPr>
        <w:tc>
          <w:tcPr>
            <w:tcW w:w="3607" w:type="dxa"/>
            <w:shd w:val="clear" w:color="auto" w:fill="E5B8B7" w:themeFill="accent2" w:themeFillTint="66"/>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județul</w:t>
            </w:r>
            <w:r w:rsidRPr="00315335">
              <w:rPr>
                <w:rFonts w:ascii="Arial" w:hAnsi="Arial" w:cs="Arial"/>
                <w:sz w:val="24"/>
                <w:szCs w:val="24"/>
              </w:rPr>
              <w:t xml:space="preserve"> </w:t>
            </w:r>
            <w:r w:rsidRPr="00315335">
              <w:rPr>
                <w:rFonts w:ascii="Arial" w:hAnsi="Arial" w:cs="Arial"/>
                <w:b/>
                <w:sz w:val="24"/>
                <w:szCs w:val="24"/>
              </w:rPr>
              <w:t>Brăila</w:t>
            </w:r>
          </w:p>
        </w:tc>
        <w:tc>
          <w:tcPr>
            <w:tcW w:w="980" w:type="dxa"/>
            <w:shd w:val="clear" w:color="auto" w:fill="E5B8B7" w:themeFill="accent2" w:themeFillTint="66"/>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2012</w:t>
            </w:r>
          </w:p>
        </w:tc>
        <w:tc>
          <w:tcPr>
            <w:tcW w:w="992" w:type="dxa"/>
            <w:shd w:val="clear" w:color="auto" w:fill="E5B8B7" w:themeFill="accent2" w:themeFillTint="66"/>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2013</w:t>
            </w:r>
          </w:p>
        </w:tc>
        <w:tc>
          <w:tcPr>
            <w:tcW w:w="992" w:type="dxa"/>
            <w:shd w:val="clear" w:color="auto" w:fill="E5B8B7" w:themeFill="accent2" w:themeFillTint="66"/>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2014</w:t>
            </w:r>
          </w:p>
        </w:tc>
        <w:tc>
          <w:tcPr>
            <w:tcW w:w="992" w:type="dxa"/>
            <w:shd w:val="clear" w:color="auto" w:fill="E5B8B7" w:themeFill="accent2" w:themeFillTint="66"/>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2015</w:t>
            </w:r>
          </w:p>
        </w:tc>
        <w:tc>
          <w:tcPr>
            <w:tcW w:w="983" w:type="dxa"/>
            <w:shd w:val="clear" w:color="auto" w:fill="E5B8B7" w:themeFill="accent2" w:themeFillTint="66"/>
          </w:tcPr>
          <w:p w:rsidR="00B95695" w:rsidRPr="00315335" w:rsidRDefault="00B95695" w:rsidP="00631723">
            <w:pPr>
              <w:tabs>
                <w:tab w:val="left" w:pos="1139"/>
              </w:tabs>
              <w:spacing w:after="0" w:line="240" w:lineRule="auto"/>
              <w:jc w:val="both"/>
              <w:rPr>
                <w:rFonts w:ascii="Arial" w:hAnsi="Arial" w:cs="Arial"/>
                <w:b/>
                <w:sz w:val="24"/>
                <w:szCs w:val="24"/>
              </w:rPr>
            </w:pPr>
            <w:r w:rsidRPr="00315335">
              <w:rPr>
                <w:rFonts w:ascii="Arial" w:hAnsi="Arial" w:cs="Arial"/>
                <w:b/>
                <w:sz w:val="24"/>
                <w:szCs w:val="24"/>
              </w:rPr>
              <w:t>2016</w:t>
            </w:r>
          </w:p>
        </w:tc>
        <w:tc>
          <w:tcPr>
            <w:tcW w:w="992" w:type="dxa"/>
            <w:shd w:val="clear" w:color="auto" w:fill="E5B8B7" w:themeFill="accent2" w:themeFillTint="66"/>
          </w:tcPr>
          <w:p w:rsidR="00B95695" w:rsidRPr="00315335" w:rsidRDefault="00B95695" w:rsidP="00631723">
            <w:pPr>
              <w:tabs>
                <w:tab w:val="left" w:pos="1139"/>
              </w:tabs>
              <w:spacing w:after="0" w:line="240" w:lineRule="auto"/>
              <w:jc w:val="center"/>
              <w:rPr>
                <w:rFonts w:ascii="Arial" w:hAnsi="Arial" w:cs="Arial"/>
                <w:b/>
                <w:sz w:val="24"/>
                <w:szCs w:val="24"/>
              </w:rPr>
            </w:pPr>
            <w:r w:rsidRPr="00315335">
              <w:rPr>
                <w:rFonts w:ascii="Arial" w:hAnsi="Arial" w:cs="Arial"/>
                <w:b/>
                <w:sz w:val="24"/>
                <w:szCs w:val="24"/>
              </w:rPr>
              <w:t>2017</w:t>
            </w:r>
          </w:p>
        </w:tc>
        <w:tc>
          <w:tcPr>
            <w:tcW w:w="884" w:type="dxa"/>
            <w:shd w:val="clear" w:color="auto" w:fill="E5B8B7" w:themeFill="accent2" w:themeFillTint="66"/>
          </w:tcPr>
          <w:p w:rsidR="00B95695" w:rsidRPr="00315335" w:rsidRDefault="00B95695" w:rsidP="00631723">
            <w:pPr>
              <w:tabs>
                <w:tab w:val="left" w:pos="1139"/>
              </w:tabs>
              <w:spacing w:after="0" w:line="240" w:lineRule="auto"/>
              <w:jc w:val="center"/>
              <w:rPr>
                <w:rFonts w:ascii="Arial" w:hAnsi="Arial" w:cs="Arial"/>
                <w:b/>
                <w:sz w:val="24"/>
                <w:szCs w:val="24"/>
              </w:rPr>
            </w:pPr>
            <w:r w:rsidRPr="00315335">
              <w:rPr>
                <w:rFonts w:ascii="Arial" w:hAnsi="Arial" w:cs="Arial"/>
                <w:b/>
                <w:sz w:val="24"/>
                <w:szCs w:val="24"/>
              </w:rPr>
              <w:t>2018</w:t>
            </w:r>
          </w:p>
        </w:tc>
      </w:tr>
      <w:tr w:rsidR="00B95695" w:rsidRPr="00315335" w:rsidTr="00631723">
        <w:trPr>
          <w:trHeight w:val="571"/>
          <w:jc w:val="center"/>
        </w:trPr>
        <w:tc>
          <w:tcPr>
            <w:tcW w:w="3607" w:type="dxa"/>
            <w:shd w:val="clear" w:color="auto" w:fill="FDE9D9"/>
          </w:tcPr>
          <w:p w:rsidR="00B95695" w:rsidRPr="00315335" w:rsidRDefault="00B95695" w:rsidP="00631723">
            <w:pPr>
              <w:tabs>
                <w:tab w:val="left" w:pos="1139"/>
              </w:tabs>
              <w:spacing w:line="240" w:lineRule="auto"/>
              <w:rPr>
                <w:rFonts w:ascii="Arial" w:hAnsi="Arial" w:cs="Arial"/>
                <w:b/>
                <w:sz w:val="24"/>
                <w:szCs w:val="24"/>
              </w:rPr>
            </w:pPr>
            <w:r w:rsidRPr="00315335">
              <w:rPr>
                <w:rFonts w:ascii="Arial" w:hAnsi="Arial" w:cs="Arial"/>
                <w:sz w:val="24"/>
                <w:szCs w:val="24"/>
                <w:lang w:val="en-US"/>
              </w:rPr>
              <w:t>PM</w:t>
            </w:r>
            <w:r w:rsidRPr="00315335">
              <w:rPr>
                <w:rFonts w:ascii="Arial" w:hAnsi="Arial" w:cs="Arial"/>
                <w:sz w:val="24"/>
                <w:szCs w:val="24"/>
                <w:vertAlign w:val="subscript"/>
                <w:lang w:val="en-US"/>
              </w:rPr>
              <w:t>10</w:t>
            </w:r>
            <w:r w:rsidRPr="00315335">
              <w:rPr>
                <w:rFonts w:ascii="Arial" w:hAnsi="Arial" w:cs="Arial"/>
                <w:sz w:val="24"/>
                <w:szCs w:val="24"/>
                <w:lang w:val="en-US"/>
              </w:rPr>
              <w:t xml:space="preserve"> (concentraţie medie/an)</w:t>
            </w:r>
            <w:r w:rsidRPr="00315335">
              <w:rPr>
                <w:rFonts w:ascii="Arial" w:hAnsi="Arial" w:cs="Arial"/>
                <w:sz w:val="24"/>
                <w:szCs w:val="24"/>
              </w:rPr>
              <w:t xml:space="preserve">  (µg/mc)</w:t>
            </w:r>
          </w:p>
        </w:tc>
        <w:tc>
          <w:tcPr>
            <w:tcW w:w="980"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28,7</w:t>
            </w:r>
          </w:p>
        </w:tc>
        <w:tc>
          <w:tcPr>
            <w:tcW w:w="992"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36,15</w:t>
            </w:r>
          </w:p>
        </w:tc>
        <w:tc>
          <w:tcPr>
            <w:tcW w:w="992"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46,03</w:t>
            </w:r>
          </w:p>
        </w:tc>
        <w:tc>
          <w:tcPr>
            <w:tcW w:w="992"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36,68</w:t>
            </w:r>
          </w:p>
        </w:tc>
        <w:tc>
          <w:tcPr>
            <w:tcW w:w="983"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rPr>
              <w:t>27,93</w:t>
            </w:r>
          </w:p>
        </w:tc>
        <w:tc>
          <w:tcPr>
            <w:tcW w:w="992"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20,70</w:t>
            </w:r>
          </w:p>
        </w:tc>
        <w:tc>
          <w:tcPr>
            <w:tcW w:w="884"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16,25</w:t>
            </w:r>
          </w:p>
        </w:tc>
      </w:tr>
    </w:tbl>
    <w:p w:rsidR="00B95695" w:rsidRPr="00315335" w:rsidRDefault="00B95695" w:rsidP="00B95695">
      <w:pPr>
        <w:jc w:val="both"/>
        <w:rPr>
          <w:rFonts w:ascii="Arial" w:hAnsi="Arial" w:cs="Arial"/>
          <w:b/>
          <w:sz w:val="24"/>
          <w:szCs w:val="24"/>
          <w:lang w:val="en-US"/>
        </w:rPr>
      </w:pPr>
    </w:p>
    <w:p w:rsidR="00B95695" w:rsidRPr="00315335" w:rsidRDefault="00B95695" w:rsidP="00B95695">
      <w:pPr>
        <w:tabs>
          <w:tab w:val="left" w:pos="4253"/>
        </w:tabs>
        <w:jc w:val="center"/>
        <w:rPr>
          <w:rFonts w:ascii="Arial" w:hAnsi="Arial" w:cs="Arial"/>
          <w:b/>
          <w:sz w:val="24"/>
          <w:szCs w:val="24"/>
          <w:lang w:val="en-US"/>
        </w:rPr>
      </w:pPr>
      <w:r w:rsidRPr="00315335">
        <w:rPr>
          <w:rFonts w:ascii="Arial" w:hAnsi="Arial" w:cs="Arial"/>
          <w:b/>
          <w:noProof/>
          <w:sz w:val="24"/>
          <w:szCs w:val="24"/>
        </w:rPr>
        <w:drawing>
          <wp:inline distT="0" distB="0" distL="0" distR="0" wp14:anchorId="77C74C71" wp14:editId="33CC93B9">
            <wp:extent cx="5248275" cy="2419350"/>
            <wp:effectExtent l="0" t="0" r="0" b="0"/>
            <wp:docPr id="79"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B95695" w:rsidRPr="00315335" w:rsidRDefault="00B95695" w:rsidP="00B95695">
      <w:pPr>
        <w:jc w:val="both"/>
        <w:rPr>
          <w:rFonts w:ascii="Arial" w:hAnsi="Arial" w:cs="Arial"/>
          <w:b/>
          <w:sz w:val="24"/>
          <w:szCs w:val="24"/>
          <w:lang w:val="en-US"/>
        </w:rPr>
      </w:pPr>
    </w:p>
    <w:p w:rsidR="00B95695" w:rsidRPr="00315335" w:rsidRDefault="00B95695" w:rsidP="00B95695">
      <w:pPr>
        <w:jc w:val="both"/>
        <w:rPr>
          <w:rFonts w:ascii="Arial" w:hAnsi="Arial" w:cs="Arial"/>
          <w:b/>
          <w:i/>
          <w:sz w:val="24"/>
          <w:szCs w:val="24"/>
        </w:rPr>
      </w:pPr>
      <w:r w:rsidRPr="00315335">
        <w:rPr>
          <w:rFonts w:ascii="Arial" w:hAnsi="Arial" w:cs="Arial"/>
          <w:b/>
          <w:sz w:val="24"/>
          <w:szCs w:val="24"/>
          <w:lang w:val="en-US"/>
        </w:rPr>
        <w:t>VIII.</w:t>
      </w:r>
      <w:r w:rsidRPr="00315335">
        <w:rPr>
          <w:rFonts w:ascii="Arial" w:hAnsi="Arial" w:cs="Arial"/>
          <w:b/>
          <w:bCs/>
          <w:sz w:val="24"/>
          <w:szCs w:val="24"/>
        </w:rPr>
        <w:t>1.2</w:t>
      </w:r>
      <w:r w:rsidRPr="00315335">
        <w:rPr>
          <w:rFonts w:ascii="Arial" w:hAnsi="Arial" w:cs="Arial"/>
          <w:b/>
          <w:bCs/>
          <w:i/>
          <w:sz w:val="24"/>
          <w:szCs w:val="24"/>
        </w:rPr>
        <w:t xml:space="preserve"> </w:t>
      </w:r>
      <w:r w:rsidRPr="00315335">
        <w:rPr>
          <w:rFonts w:ascii="Arial" w:hAnsi="Arial" w:cs="Arial"/>
          <w:b/>
          <w:i/>
          <w:sz w:val="24"/>
          <w:szCs w:val="24"/>
        </w:rPr>
        <w:t xml:space="preserve">Poluarea fonică și efectele asupra sănătății și calității vieții </w:t>
      </w:r>
    </w:p>
    <w:p w:rsidR="00B95695" w:rsidRPr="00315335" w:rsidRDefault="00B95695" w:rsidP="00B95695">
      <w:pPr>
        <w:spacing w:after="0" w:line="240" w:lineRule="auto"/>
        <w:ind w:firstLine="708"/>
        <w:jc w:val="both"/>
        <w:rPr>
          <w:rFonts w:ascii="Arial" w:eastAsia="Calibri" w:hAnsi="Arial" w:cs="Arial"/>
          <w:sz w:val="24"/>
          <w:szCs w:val="24"/>
        </w:rPr>
      </w:pPr>
      <w:r w:rsidRPr="00315335">
        <w:rPr>
          <w:rFonts w:ascii="Arial" w:eastAsia="Calibri" w:hAnsi="Arial" w:cs="Arial"/>
          <w:sz w:val="24"/>
          <w:szCs w:val="24"/>
        </w:rPr>
        <w:t xml:space="preserve">Poluarea fonică reprezintă expunerea oamenilor sau a animalelor la sunete ale căror intensități sunt stresante sau care afectează sistemul auditiv. Deși sunetele puternice fac parte din natură, în ultimele doua secole zonele urbane au devenit extrem de zgomotoase. </w:t>
      </w:r>
    </w:p>
    <w:p w:rsidR="00B95695" w:rsidRPr="00315335" w:rsidRDefault="00B95695" w:rsidP="00B95695">
      <w:pPr>
        <w:autoSpaceDE w:val="0"/>
        <w:autoSpaceDN w:val="0"/>
        <w:adjustRightInd w:val="0"/>
        <w:spacing w:after="0" w:line="240" w:lineRule="auto"/>
        <w:jc w:val="both"/>
        <w:rPr>
          <w:rFonts w:ascii="Arial" w:eastAsia="Calibri" w:hAnsi="Arial" w:cs="Arial"/>
          <w:sz w:val="24"/>
          <w:szCs w:val="24"/>
        </w:rPr>
      </w:pPr>
      <w:r w:rsidRPr="00315335">
        <w:rPr>
          <w:rFonts w:ascii="Arial" w:eastAsia="Calibri" w:hAnsi="Arial" w:cs="Arial"/>
          <w:sz w:val="24"/>
          <w:szCs w:val="24"/>
        </w:rPr>
        <w:tab/>
        <w:t xml:space="preserve">Zgomotul în cadrul unui oraș provine în principal de la diversele activități desfășurate de către locuitori în zonele industriale aflate în interiorul aglomerărilor, de la mijloacele de transport personal sau comunitar care asigură deplasarea în oraș sau în afara acestuia, precum și de la mijloacele de transport feroviar și/sau aerian. Activităţile specifice din sectorul construcţiilor, </w:t>
      </w:r>
      <w:r w:rsidRPr="00315335">
        <w:rPr>
          <w:rFonts w:ascii="Arial" w:eastAsia="Calibri" w:hAnsi="Arial" w:cs="Arial"/>
          <w:sz w:val="24"/>
          <w:szCs w:val="24"/>
        </w:rPr>
        <w:lastRenderedPageBreak/>
        <w:t xml:space="preserve">activităţile publice, sistemele de alarmare (pentru clădiri şi autovehicule) precum şi cele din sectorul specific de consum şi de recreere (restaurante, discoteci, mici ateliere, animale domestice, stadioane, concerte în aer liber, manifestări culturale în aer liber) sunt alte surse generatoare de zgomot specifice vieţii de zi cu zi a unei societăţi umane. </w:t>
      </w:r>
    </w:p>
    <w:p w:rsidR="00B95695" w:rsidRPr="00315335" w:rsidRDefault="00B95695" w:rsidP="00B95695">
      <w:pPr>
        <w:autoSpaceDE w:val="0"/>
        <w:autoSpaceDN w:val="0"/>
        <w:adjustRightInd w:val="0"/>
        <w:spacing w:after="0" w:line="240" w:lineRule="auto"/>
        <w:ind w:firstLine="360"/>
        <w:jc w:val="both"/>
        <w:rPr>
          <w:rFonts w:ascii="Arial" w:eastAsia="Calibri" w:hAnsi="Arial" w:cs="Arial"/>
          <w:sz w:val="24"/>
          <w:szCs w:val="24"/>
        </w:rPr>
      </w:pPr>
      <w:r w:rsidRPr="00315335">
        <w:rPr>
          <w:rFonts w:ascii="Arial" w:eastAsia="Calibri" w:hAnsi="Arial" w:cs="Arial"/>
          <w:sz w:val="24"/>
          <w:szCs w:val="24"/>
        </w:rPr>
        <w:t xml:space="preserve">Influenţa zgomotului asupra organismului depinde de mai mulţi factori: </w:t>
      </w:r>
    </w:p>
    <w:p w:rsidR="00B95695" w:rsidRPr="00315335" w:rsidRDefault="00B95695" w:rsidP="00B95695">
      <w:pPr>
        <w:numPr>
          <w:ilvl w:val="0"/>
          <w:numId w:val="29"/>
        </w:numPr>
        <w:autoSpaceDE w:val="0"/>
        <w:autoSpaceDN w:val="0"/>
        <w:adjustRightInd w:val="0"/>
        <w:spacing w:after="0" w:line="240" w:lineRule="auto"/>
        <w:ind w:left="1080"/>
        <w:contextualSpacing/>
        <w:jc w:val="both"/>
        <w:rPr>
          <w:rFonts w:ascii="Arial" w:eastAsia="Times New Roman" w:hAnsi="Arial" w:cs="Arial"/>
          <w:sz w:val="24"/>
          <w:szCs w:val="24"/>
        </w:rPr>
      </w:pPr>
      <w:r w:rsidRPr="00315335">
        <w:rPr>
          <w:rFonts w:ascii="Arial" w:eastAsia="Times New Roman" w:hAnsi="Arial" w:cs="Arial"/>
          <w:sz w:val="24"/>
          <w:szCs w:val="24"/>
        </w:rPr>
        <w:t xml:space="preserve">mărimea zgomotului, considerând frecvenţa, intensitatea, timpul de acţiune şi caracteristicile (continuu, pulsatoriu, accidental); </w:t>
      </w:r>
    </w:p>
    <w:p w:rsidR="00B95695" w:rsidRPr="00315335" w:rsidRDefault="00B95695" w:rsidP="00B95695">
      <w:pPr>
        <w:numPr>
          <w:ilvl w:val="0"/>
          <w:numId w:val="29"/>
        </w:numPr>
        <w:autoSpaceDE w:val="0"/>
        <w:autoSpaceDN w:val="0"/>
        <w:adjustRightInd w:val="0"/>
        <w:spacing w:after="0" w:line="240" w:lineRule="auto"/>
        <w:ind w:left="1080"/>
        <w:contextualSpacing/>
        <w:jc w:val="both"/>
        <w:rPr>
          <w:rFonts w:ascii="Arial" w:eastAsia="Times New Roman" w:hAnsi="Arial" w:cs="Arial"/>
          <w:sz w:val="24"/>
          <w:szCs w:val="24"/>
        </w:rPr>
      </w:pPr>
      <w:r w:rsidRPr="00315335">
        <w:rPr>
          <w:rFonts w:ascii="Arial" w:eastAsia="Times New Roman" w:hAnsi="Arial" w:cs="Arial"/>
          <w:sz w:val="24"/>
          <w:szCs w:val="24"/>
        </w:rPr>
        <w:t xml:space="preserve">caracteristicile distribuţiei zgomotului de fond existent în afara celui perturbator; </w:t>
      </w:r>
    </w:p>
    <w:p w:rsidR="00B95695" w:rsidRPr="00315335" w:rsidRDefault="00B95695" w:rsidP="00B95695">
      <w:pPr>
        <w:numPr>
          <w:ilvl w:val="0"/>
          <w:numId w:val="29"/>
        </w:numPr>
        <w:autoSpaceDE w:val="0"/>
        <w:autoSpaceDN w:val="0"/>
        <w:adjustRightInd w:val="0"/>
        <w:spacing w:after="0" w:line="240" w:lineRule="auto"/>
        <w:ind w:left="1080"/>
        <w:contextualSpacing/>
        <w:jc w:val="both"/>
        <w:rPr>
          <w:rFonts w:ascii="Arial" w:eastAsia="Times New Roman" w:hAnsi="Arial" w:cs="Arial"/>
          <w:sz w:val="24"/>
          <w:szCs w:val="24"/>
        </w:rPr>
      </w:pPr>
      <w:r w:rsidRPr="00315335">
        <w:rPr>
          <w:rFonts w:ascii="Arial" w:eastAsia="Times New Roman" w:hAnsi="Arial" w:cs="Arial"/>
          <w:sz w:val="24"/>
          <w:szCs w:val="24"/>
        </w:rPr>
        <w:t xml:space="preserve">organism: vârsta, starea fizică, sensibilitatea individuală, obișnuința; </w:t>
      </w:r>
    </w:p>
    <w:p w:rsidR="00B95695" w:rsidRPr="00315335" w:rsidRDefault="00B95695" w:rsidP="00B95695">
      <w:pPr>
        <w:numPr>
          <w:ilvl w:val="0"/>
          <w:numId w:val="29"/>
        </w:numPr>
        <w:autoSpaceDE w:val="0"/>
        <w:autoSpaceDN w:val="0"/>
        <w:adjustRightInd w:val="0"/>
        <w:spacing w:after="0" w:line="240" w:lineRule="auto"/>
        <w:ind w:left="1080"/>
        <w:contextualSpacing/>
        <w:jc w:val="both"/>
        <w:rPr>
          <w:rFonts w:ascii="Arial" w:eastAsia="Times New Roman" w:hAnsi="Arial" w:cs="Arial"/>
          <w:sz w:val="24"/>
          <w:szCs w:val="24"/>
        </w:rPr>
      </w:pPr>
      <w:r w:rsidRPr="00315335">
        <w:rPr>
          <w:rFonts w:ascii="Arial" w:eastAsia="Times New Roman" w:hAnsi="Arial" w:cs="Arial"/>
          <w:sz w:val="24"/>
          <w:szCs w:val="24"/>
        </w:rPr>
        <w:t>mediul de propagare: dimensiunea spaţiului (închis, în afară, configuraţia terenului, structura arhitecturală).</w:t>
      </w:r>
    </w:p>
    <w:p w:rsidR="00B95695" w:rsidRPr="00315335" w:rsidRDefault="00B95695" w:rsidP="00B95695">
      <w:pPr>
        <w:widowControl w:val="0"/>
        <w:autoSpaceDE w:val="0"/>
        <w:autoSpaceDN w:val="0"/>
        <w:adjustRightInd w:val="0"/>
        <w:spacing w:after="0" w:line="240" w:lineRule="auto"/>
        <w:ind w:firstLine="720"/>
        <w:jc w:val="both"/>
        <w:rPr>
          <w:rFonts w:ascii="Arial" w:eastAsia="Times New Roman" w:hAnsi="Arial" w:cs="Arial"/>
          <w:sz w:val="24"/>
          <w:szCs w:val="24"/>
        </w:rPr>
      </w:pPr>
      <w:r w:rsidRPr="00315335">
        <w:rPr>
          <w:rFonts w:ascii="Arial" w:eastAsia="Times New Roman" w:hAnsi="Arial" w:cs="Arial"/>
          <w:sz w:val="24"/>
          <w:szCs w:val="24"/>
        </w:rPr>
        <w:t xml:space="preserve">Factorii care influenţează nivelul de zgomot ambiental sunt: </w:t>
      </w:r>
    </w:p>
    <w:p w:rsidR="00B95695" w:rsidRPr="00315335" w:rsidRDefault="00B95695" w:rsidP="00B95695">
      <w:pPr>
        <w:widowControl w:val="0"/>
        <w:numPr>
          <w:ilvl w:val="0"/>
          <w:numId w:val="37"/>
        </w:numPr>
        <w:autoSpaceDE w:val="0"/>
        <w:autoSpaceDN w:val="0"/>
        <w:adjustRightInd w:val="0"/>
        <w:spacing w:after="0" w:line="240" w:lineRule="auto"/>
        <w:ind w:left="1134"/>
        <w:contextualSpacing/>
        <w:jc w:val="both"/>
        <w:rPr>
          <w:rFonts w:ascii="Arial" w:eastAsia="Times New Roman" w:hAnsi="Arial" w:cs="Arial"/>
          <w:sz w:val="24"/>
          <w:szCs w:val="24"/>
        </w:rPr>
      </w:pPr>
      <w:r w:rsidRPr="00315335">
        <w:rPr>
          <w:rFonts w:ascii="Arial" w:eastAsia="Times New Roman" w:hAnsi="Arial" w:cs="Arial"/>
          <w:sz w:val="24"/>
          <w:szCs w:val="24"/>
        </w:rPr>
        <w:t>mărimea zgomotului emis de sursă;</w:t>
      </w:r>
    </w:p>
    <w:p w:rsidR="00B95695" w:rsidRPr="00315335" w:rsidRDefault="00B95695" w:rsidP="00B95695">
      <w:pPr>
        <w:widowControl w:val="0"/>
        <w:numPr>
          <w:ilvl w:val="0"/>
          <w:numId w:val="37"/>
        </w:numPr>
        <w:autoSpaceDE w:val="0"/>
        <w:autoSpaceDN w:val="0"/>
        <w:adjustRightInd w:val="0"/>
        <w:spacing w:after="0" w:line="240" w:lineRule="auto"/>
        <w:ind w:left="1134"/>
        <w:contextualSpacing/>
        <w:jc w:val="both"/>
        <w:rPr>
          <w:rFonts w:ascii="Arial" w:eastAsia="Times New Roman" w:hAnsi="Arial" w:cs="Arial"/>
          <w:sz w:val="24"/>
          <w:szCs w:val="24"/>
        </w:rPr>
      </w:pPr>
      <w:r w:rsidRPr="00315335">
        <w:rPr>
          <w:rFonts w:ascii="Arial" w:eastAsia="Times New Roman" w:hAnsi="Arial" w:cs="Arial"/>
          <w:sz w:val="24"/>
          <w:szCs w:val="24"/>
        </w:rPr>
        <w:t>textura suprafeţei de rulare, în cazul surselor de trafic terestru;</w:t>
      </w:r>
    </w:p>
    <w:p w:rsidR="00B95695" w:rsidRPr="00315335" w:rsidRDefault="00B95695" w:rsidP="00B95695">
      <w:pPr>
        <w:widowControl w:val="0"/>
        <w:numPr>
          <w:ilvl w:val="0"/>
          <w:numId w:val="37"/>
        </w:numPr>
        <w:autoSpaceDE w:val="0"/>
        <w:autoSpaceDN w:val="0"/>
        <w:adjustRightInd w:val="0"/>
        <w:spacing w:after="0" w:line="240" w:lineRule="auto"/>
        <w:ind w:left="1134"/>
        <w:contextualSpacing/>
        <w:jc w:val="both"/>
        <w:rPr>
          <w:rFonts w:ascii="Arial" w:eastAsia="Times New Roman" w:hAnsi="Arial" w:cs="Arial"/>
          <w:sz w:val="24"/>
          <w:szCs w:val="24"/>
        </w:rPr>
      </w:pPr>
      <w:r w:rsidRPr="00315335">
        <w:rPr>
          <w:rFonts w:ascii="Arial" w:eastAsia="Times New Roman" w:hAnsi="Arial" w:cs="Arial"/>
          <w:sz w:val="24"/>
          <w:szCs w:val="24"/>
        </w:rPr>
        <w:t>sistemul de propulsie, transmisiile mecanice şi contactul pneu-cale de rulare, în cazul circulaţiei rutiere;</w:t>
      </w:r>
    </w:p>
    <w:p w:rsidR="00B95695" w:rsidRPr="00315335" w:rsidRDefault="00B95695" w:rsidP="00B95695">
      <w:pPr>
        <w:widowControl w:val="0"/>
        <w:numPr>
          <w:ilvl w:val="0"/>
          <w:numId w:val="37"/>
        </w:numPr>
        <w:autoSpaceDE w:val="0"/>
        <w:autoSpaceDN w:val="0"/>
        <w:adjustRightInd w:val="0"/>
        <w:spacing w:after="0" w:line="240" w:lineRule="auto"/>
        <w:ind w:left="1134"/>
        <w:contextualSpacing/>
        <w:jc w:val="both"/>
        <w:rPr>
          <w:rFonts w:ascii="Arial" w:eastAsia="Times New Roman" w:hAnsi="Arial" w:cs="Arial"/>
          <w:sz w:val="24"/>
          <w:szCs w:val="24"/>
        </w:rPr>
      </w:pPr>
      <w:r w:rsidRPr="00315335">
        <w:rPr>
          <w:rFonts w:ascii="Arial" w:eastAsia="Times New Roman" w:hAnsi="Arial" w:cs="Arial"/>
          <w:sz w:val="24"/>
          <w:szCs w:val="24"/>
        </w:rPr>
        <w:t xml:space="preserve">factorii de propagare (distanţa faţă de sursă, obstacole, suprafeţe reflectante etc.); </w:t>
      </w:r>
    </w:p>
    <w:p w:rsidR="00B95695" w:rsidRPr="00315335" w:rsidRDefault="00B95695" w:rsidP="00B95695">
      <w:pPr>
        <w:widowControl w:val="0"/>
        <w:numPr>
          <w:ilvl w:val="0"/>
          <w:numId w:val="37"/>
        </w:numPr>
        <w:autoSpaceDE w:val="0"/>
        <w:autoSpaceDN w:val="0"/>
        <w:adjustRightInd w:val="0"/>
        <w:spacing w:after="0" w:line="240" w:lineRule="auto"/>
        <w:ind w:left="1134"/>
        <w:contextualSpacing/>
        <w:jc w:val="both"/>
        <w:rPr>
          <w:rFonts w:ascii="Arial" w:eastAsia="Times New Roman" w:hAnsi="Arial" w:cs="Arial"/>
          <w:sz w:val="24"/>
          <w:szCs w:val="24"/>
        </w:rPr>
      </w:pPr>
      <w:r w:rsidRPr="00315335">
        <w:rPr>
          <w:rFonts w:ascii="Arial" w:eastAsia="Times New Roman" w:hAnsi="Arial" w:cs="Arial"/>
          <w:sz w:val="24"/>
          <w:szCs w:val="24"/>
        </w:rPr>
        <w:t>factorii meteorologici.</w:t>
      </w:r>
    </w:p>
    <w:p w:rsidR="00B95695" w:rsidRPr="00315335" w:rsidRDefault="00B95695" w:rsidP="00B95695">
      <w:pPr>
        <w:autoSpaceDE w:val="0"/>
        <w:autoSpaceDN w:val="0"/>
        <w:adjustRightInd w:val="0"/>
        <w:spacing w:after="0" w:line="240" w:lineRule="auto"/>
        <w:ind w:firstLine="720"/>
        <w:jc w:val="both"/>
        <w:rPr>
          <w:rFonts w:ascii="Arial" w:eastAsia="Calibri" w:hAnsi="Arial" w:cs="Arial"/>
          <w:sz w:val="24"/>
          <w:szCs w:val="24"/>
        </w:rPr>
      </w:pPr>
      <w:r w:rsidRPr="00315335">
        <w:rPr>
          <w:rFonts w:ascii="Arial" w:eastAsia="Calibri" w:hAnsi="Arial" w:cs="Arial"/>
          <w:bCs/>
          <w:sz w:val="24"/>
          <w:szCs w:val="24"/>
        </w:rPr>
        <w:t xml:space="preserve">Efectele dăunătoare </w:t>
      </w:r>
      <w:r w:rsidRPr="00315335">
        <w:rPr>
          <w:rFonts w:ascii="Arial" w:eastAsia="Calibri" w:hAnsi="Arial" w:cs="Arial"/>
          <w:sz w:val="24"/>
          <w:szCs w:val="24"/>
        </w:rPr>
        <w:t>ale zgomotului asupra comunităţilor umane sunt :</w:t>
      </w:r>
    </w:p>
    <w:p w:rsidR="00B95695" w:rsidRPr="00315335" w:rsidRDefault="00B95695" w:rsidP="00B95695">
      <w:pPr>
        <w:numPr>
          <w:ilvl w:val="0"/>
          <w:numId w:val="30"/>
        </w:numPr>
        <w:autoSpaceDE w:val="0"/>
        <w:autoSpaceDN w:val="0"/>
        <w:adjustRightInd w:val="0"/>
        <w:spacing w:after="0" w:line="240" w:lineRule="auto"/>
        <w:contextualSpacing/>
        <w:jc w:val="both"/>
        <w:rPr>
          <w:rFonts w:ascii="Arial" w:eastAsia="Times New Roman" w:hAnsi="Arial" w:cs="Arial"/>
          <w:sz w:val="24"/>
          <w:szCs w:val="24"/>
        </w:rPr>
      </w:pPr>
      <w:r w:rsidRPr="00315335">
        <w:rPr>
          <w:rFonts w:ascii="Arial" w:eastAsia="Times New Roman" w:hAnsi="Arial" w:cs="Arial"/>
          <w:sz w:val="24"/>
          <w:szCs w:val="24"/>
        </w:rPr>
        <w:t>65 dB (A) - risc asupra sănătăţii;</w:t>
      </w:r>
    </w:p>
    <w:p w:rsidR="00B95695" w:rsidRPr="00315335" w:rsidRDefault="00B95695" w:rsidP="00B95695">
      <w:pPr>
        <w:numPr>
          <w:ilvl w:val="0"/>
          <w:numId w:val="30"/>
        </w:numPr>
        <w:autoSpaceDE w:val="0"/>
        <w:autoSpaceDN w:val="0"/>
        <w:adjustRightInd w:val="0"/>
        <w:spacing w:after="0" w:line="240" w:lineRule="auto"/>
        <w:contextualSpacing/>
        <w:jc w:val="both"/>
        <w:rPr>
          <w:rFonts w:ascii="Arial" w:eastAsia="Times New Roman" w:hAnsi="Arial" w:cs="Arial"/>
          <w:sz w:val="24"/>
          <w:szCs w:val="24"/>
        </w:rPr>
      </w:pPr>
      <w:r w:rsidRPr="00315335">
        <w:rPr>
          <w:rFonts w:ascii="Arial" w:eastAsia="Times New Roman" w:hAnsi="Arial" w:cs="Arial"/>
          <w:sz w:val="24"/>
          <w:szCs w:val="24"/>
        </w:rPr>
        <w:t>55 dB (A) - este perturbată comunicarea;</w:t>
      </w:r>
    </w:p>
    <w:p w:rsidR="00B95695" w:rsidRPr="00315335" w:rsidRDefault="00B95695" w:rsidP="00B95695">
      <w:pPr>
        <w:numPr>
          <w:ilvl w:val="0"/>
          <w:numId w:val="30"/>
        </w:numPr>
        <w:spacing w:after="0" w:line="240" w:lineRule="auto"/>
        <w:contextualSpacing/>
        <w:jc w:val="both"/>
        <w:rPr>
          <w:rFonts w:ascii="Arial" w:eastAsia="Times New Roman" w:hAnsi="Arial" w:cs="Arial"/>
          <w:sz w:val="24"/>
          <w:szCs w:val="24"/>
        </w:rPr>
      </w:pPr>
      <w:r w:rsidRPr="00315335">
        <w:rPr>
          <w:rFonts w:ascii="Arial" w:eastAsia="Times New Roman" w:hAnsi="Arial" w:cs="Arial"/>
          <w:sz w:val="24"/>
          <w:szCs w:val="24"/>
        </w:rPr>
        <w:t>45 dB (A) - este perturbat somnul.</w:t>
      </w:r>
    </w:p>
    <w:p w:rsidR="00B95695" w:rsidRPr="00315335" w:rsidRDefault="00B95695" w:rsidP="00B95695">
      <w:pPr>
        <w:widowControl w:val="0"/>
        <w:spacing w:after="0" w:line="240" w:lineRule="auto"/>
        <w:ind w:firstLine="720"/>
        <w:jc w:val="both"/>
        <w:rPr>
          <w:rFonts w:ascii="Arial" w:eastAsia="Times New Roman" w:hAnsi="Arial" w:cs="Arial"/>
          <w:sz w:val="24"/>
          <w:szCs w:val="24"/>
        </w:rPr>
      </w:pPr>
      <w:r w:rsidRPr="00315335">
        <w:rPr>
          <w:rFonts w:ascii="Arial" w:eastAsia="Times New Roman" w:hAnsi="Arial" w:cs="Arial"/>
          <w:sz w:val="24"/>
          <w:szCs w:val="24"/>
        </w:rPr>
        <w:t>Efectele zgomotului asupra organismului uman pot fi:</w:t>
      </w:r>
    </w:p>
    <w:p w:rsidR="00B95695" w:rsidRPr="00315335" w:rsidRDefault="00B95695" w:rsidP="00B95695">
      <w:pPr>
        <w:widowControl w:val="0"/>
        <w:numPr>
          <w:ilvl w:val="0"/>
          <w:numId w:val="36"/>
        </w:numPr>
        <w:overflowPunct w:val="0"/>
        <w:autoSpaceDE w:val="0"/>
        <w:autoSpaceDN w:val="0"/>
        <w:adjustRightInd w:val="0"/>
        <w:spacing w:after="0" w:line="240" w:lineRule="auto"/>
        <w:ind w:left="1134" w:hanging="284"/>
        <w:jc w:val="both"/>
        <w:textAlignment w:val="baseline"/>
        <w:rPr>
          <w:rFonts w:ascii="Arial" w:eastAsia="Times New Roman" w:hAnsi="Arial" w:cs="Arial"/>
          <w:sz w:val="24"/>
          <w:szCs w:val="24"/>
        </w:rPr>
      </w:pPr>
      <w:r w:rsidRPr="00315335">
        <w:rPr>
          <w:rFonts w:ascii="Arial" w:eastAsia="Times New Roman" w:hAnsi="Arial" w:cs="Arial"/>
          <w:sz w:val="24"/>
          <w:szCs w:val="24"/>
        </w:rPr>
        <w:t>efecte specifice: hipoacuzie, surditate;</w:t>
      </w:r>
    </w:p>
    <w:p w:rsidR="00B95695" w:rsidRPr="00315335" w:rsidRDefault="00B95695" w:rsidP="00B95695">
      <w:pPr>
        <w:widowControl w:val="0"/>
        <w:numPr>
          <w:ilvl w:val="0"/>
          <w:numId w:val="36"/>
        </w:numPr>
        <w:overflowPunct w:val="0"/>
        <w:autoSpaceDE w:val="0"/>
        <w:autoSpaceDN w:val="0"/>
        <w:adjustRightInd w:val="0"/>
        <w:spacing w:after="0" w:line="240" w:lineRule="auto"/>
        <w:ind w:left="1134" w:hanging="284"/>
        <w:jc w:val="both"/>
        <w:textAlignment w:val="baseline"/>
        <w:rPr>
          <w:rFonts w:ascii="Arial" w:eastAsia="Times New Roman" w:hAnsi="Arial" w:cs="Arial"/>
          <w:sz w:val="24"/>
          <w:szCs w:val="24"/>
        </w:rPr>
      </w:pPr>
      <w:r w:rsidRPr="00315335">
        <w:rPr>
          <w:rFonts w:ascii="Arial" w:eastAsia="Times New Roman" w:hAnsi="Arial" w:cs="Arial"/>
          <w:sz w:val="24"/>
          <w:szCs w:val="24"/>
        </w:rPr>
        <w:t>efecte nespecifice: oboseală cronică caracterizată prin astenie, iritabilitate, depresie, scăderea atenţiei, a capacităţii de concentrare, tulburări vizuale</w:t>
      </w:r>
    </w:p>
    <w:p w:rsidR="00B95695" w:rsidRPr="00315335" w:rsidRDefault="00B95695" w:rsidP="00B95695">
      <w:pPr>
        <w:widowControl w:val="0"/>
        <w:spacing w:after="0" w:line="240" w:lineRule="auto"/>
        <w:ind w:firstLine="720"/>
        <w:jc w:val="both"/>
        <w:rPr>
          <w:rFonts w:ascii="Arial" w:eastAsia="Times New Roman" w:hAnsi="Arial" w:cs="Arial"/>
          <w:sz w:val="24"/>
          <w:szCs w:val="24"/>
        </w:rPr>
      </w:pPr>
      <w:r w:rsidRPr="00315335">
        <w:rPr>
          <w:rFonts w:ascii="Arial" w:eastAsia="Times New Roman" w:hAnsi="Arial" w:cs="Arial"/>
          <w:sz w:val="24"/>
          <w:szCs w:val="24"/>
        </w:rPr>
        <w:t xml:space="preserve">Disconfortul acustic este accentuat mai ales în zonele adiacente arterelor de circulaţie şi a unor activităţi industriale. </w:t>
      </w:r>
    </w:p>
    <w:p w:rsidR="00B95695" w:rsidRPr="00315335" w:rsidRDefault="00B95695" w:rsidP="00B95695">
      <w:pPr>
        <w:widowControl w:val="0"/>
        <w:autoSpaceDE w:val="0"/>
        <w:autoSpaceDN w:val="0"/>
        <w:adjustRightInd w:val="0"/>
        <w:spacing w:after="0" w:line="240" w:lineRule="auto"/>
        <w:ind w:firstLine="720"/>
        <w:jc w:val="both"/>
        <w:rPr>
          <w:rFonts w:ascii="Arial" w:eastAsia="Calibri" w:hAnsi="Arial" w:cs="Arial"/>
          <w:b/>
          <w:bCs/>
          <w:sz w:val="24"/>
          <w:szCs w:val="24"/>
        </w:rPr>
      </w:pPr>
      <w:r w:rsidRPr="00315335">
        <w:rPr>
          <w:rFonts w:ascii="Arial" w:eastAsia="Times New Roman" w:hAnsi="Arial" w:cs="Arial"/>
          <w:sz w:val="24"/>
          <w:szCs w:val="24"/>
        </w:rPr>
        <w:t xml:space="preserve">Zgomotul produs de traficul feroviar nu afectează întreaga populaţie a oraşelor, fiind concentrat pe anumite direcţii şi zone adiacente liniilor de cale ferată. </w:t>
      </w:r>
    </w:p>
    <w:p w:rsidR="00B95695" w:rsidRPr="00315335" w:rsidRDefault="00B95695" w:rsidP="00B95695">
      <w:pPr>
        <w:spacing w:after="0" w:line="240" w:lineRule="auto"/>
        <w:jc w:val="both"/>
        <w:rPr>
          <w:rFonts w:ascii="Arial" w:eastAsia="Calibri" w:hAnsi="Arial" w:cs="Arial"/>
          <w:b/>
          <w:bCs/>
          <w:sz w:val="24"/>
          <w:szCs w:val="24"/>
        </w:rPr>
      </w:pPr>
    </w:p>
    <w:p w:rsidR="00B95695" w:rsidRPr="00315335" w:rsidRDefault="00B95695" w:rsidP="00B95695">
      <w:pPr>
        <w:spacing w:after="0" w:line="240" w:lineRule="auto"/>
        <w:jc w:val="both"/>
        <w:rPr>
          <w:rFonts w:ascii="Arial" w:eastAsia="Calibri" w:hAnsi="Arial" w:cs="Arial"/>
          <w:b/>
          <w:bCs/>
          <w:sz w:val="24"/>
          <w:szCs w:val="24"/>
        </w:rPr>
      </w:pPr>
      <w:r w:rsidRPr="00315335">
        <w:rPr>
          <w:rFonts w:ascii="Arial" w:eastAsia="Calibri" w:hAnsi="Arial" w:cs="Arial"/>
          <w:b/>
          <w:bCs/>
          <w:sz w:val="24"/>
          <w:szCs w:val="24"/>
        </w:rPr>
        <w:t>VIIII.1.2.1 Expunerea la poluarea sonoră a aglomerărilor urbane cu peste 250.000 locuitori</w:t>
      </w:r>
    </w:p>
    <w:p w:rsidR="00B95695" w:rsidRPr="00315335" w:rsidRDefault="00B95695" w:rsidP="00B95695">
      <w:pPr>
        <w:autoSpaceDE w:val="0"/>
        <w:autoSpaceDN w:val="0"/>
        <w:adjustRightInd w:val="0"/>
        <w:spacing w:after="0" w:line="240" w:lineRule="auto"/>
        <w:jc w:val="both"/>
        <w:rPr>
          <w:rFonts w:ascii="Arial" w:eastAsia="Calibri" w:hAnsi="Arial" w:cs="Arial"/>
          <w:sz w:val="24"/>
          <w:szCs w:val="24"/>
        </w:rPr>
      </w:pPr>
      <w:r w:rsidRPr="00315335">
        <w:rPr>
          <w:rFonts w:ascii="Arial" w:eastAsia="Calibri" w:hAnsi="Arial" w:cs="Arial"/>
          <w:sz w:val="24"/>
          <w:szCs w:val="24"/>
        </w:rPr>
        <w:tab/>
      </w:r>
    </w:p>
    <w:p w:rsidR="00B95695" w:rsidRPr="00315335" w:rsidRDefault="00B95695" w:rsidP="00B95695">
      <w:pPr>
        <w:widowControl w:val="0"/>
        <w:spacing w:after="0" w:line="240" w:lineRule="auto"/>
        <w:ind w:firstLine="720"/>
        <w:jc w:val="both"/>
        <w:rPr>
          <w:rFonts w:ascii="Arial" w:eastAsia="Calibri" w:hAnsi="Arial" w:cs="Arial"/>
          <w:b/>
          <w:spacing w:val="-10"/>
          <w:sz w:val="24"/>
          <w:szCs w:val="24"/>
        </w:rPr>
      </w:pPr>
      <w:r w:rsidRPr="00315335">
        <w:rPr>
          <w:rFonts w:ascii="Arial" w:eastAsia="Calibri" w:hAnsi="Arial" w:cs="Arial"/>
          <w:sz w:val="24"/>
          <w:szCs w:val="24"/>
        </w:rPr>
        <w:t xml:space="preserve">APM Brăila monitorizează nivelul de zgomot ambiant </w:t>
      </w:r>
      <w:r w:rsidRPr="00315335">
        <w:rPr>
          <w:rFonts w:ascii="Arial" w:eastAsia="Times New Roman" w:hAnsi="Arial" w:cs="Arial"/>
          <w:sz w:val="24"/>
          <w:szCs w:val="24"/>
        </w:rPr>
        <w:t xml:space="preserve">în municipiul </w:t>
      </w:r>
      <w:r w:rsidRPr="00315335">
        <w:rPr>
          <w:rFonts w:ascii="Arial" w:eastAsia="Calibri" w:hAnsi="Arial" w:cs="Arial"/>
          <w:sz w:val="24"/>
          <w:szCs w:val="24"/>
        </w:rPr>
        <w:t>Brăila</w:t>
      </w:r>
      <w:r w:rsidRPr="00315335">
        <w:rPr>
          <w:rFonts w:ascii="Arial" w:eastAsia="Times New Roman" w:hAnsi="Arial" w:cs="Arial"/>
          <w:sz w:val="24"/>
          <w:szCs w:val="24"/>
        </w:rPr>
        <w:t xml:space="preserve">, pe străzi şi zone funcţionale care pot prezenta riscuri de afectare a populaţiei expuse la niveluri crescute de zgomot exterior. </w:t>
      </w:r>
    </w:p>
    <w:p w:rsidR="00B95695" w:rsidRPr="00315335" w:rsidRDefault="00B95695" w:rsidP="00B95695">
      <w:pPr>
        <w:spacing w:after="0" w:line="240" w:lineRule="auto"/>
        <w:ind w:firstLine="720"/>
        <w:jc w:val="both"/>
        <w:rPr>
          <w:rFonts w:ascii="Arial" w:eastAsia="Calibri" w:hAnsi="Arial" w:cs="Arial"/>
          <w:b/>
          <w:spacing w:val="-10"/>
          <w:sz w:val="24"/>
          <w:szCs w:val="24"/>
        </w:rPr>
      </w:pPr>
      <w:r w:rsidRPr="00315335">
        <w:rPr>
          <w:rFonts w:ascii="Arial" w:eastAsia="Calibri" w:hAnsi="Arial" w:cs="Arial"/>
          <w:b/>
          <w:spacing w:val="-10"/>
          <w:sz w:val="24"/>
          <w:szCs w:val="24"/>
        </w:rPr>
        <w:t>Măsurători de zgomot efectuate în Municipiul Brăila</w:t>
      </w:r>
    </w:p>
    <w:p w:rsidR="00B95695" w:rsidRPr="00315335" w:rsidRDefault="00B95695" w:rsidP="00B95695">
      <w:pPr>
        <w:spacing w:after="0" w:line="240" w:lineRule="auto"/>
        <w:jc w:val="both"/>
        <w:rPr>
          <w:rFonts w:ascii="Arial" w:eastAsia="Calibri" w:hAnsi="Arial" w:cs="Arial"/>
          <w:sz w:val="24"/>
          <w:szCs w:val="24"/>
        </w:rPr>
      </w:pPr>
      <w:r w:rsidRPr="00315335">
        <w:rPr>
          <w:rFonts w:ascii="Arial" w:eastAsia="Calibri" w:hAnsi="Arial" w:cs="Arial"/>
          <w:b/>
          <w:sz w:val="24"/>
          <w:szCs w:val="24"/>
        </w:rPr>
        <w:t>Nivelul de zgomoturban</w:t>
      </w:r>
      <w:r w:rsidRPr="00315335">
        <w:rPr>
          <w:rFonts w:ascii="Arial" w:eastAsia="Calibri" w:hAnsi="Arial" w:cs="Arial"/>
          <w:sz w:val="24"/>
          <w:szCs w:val="24"/>
        </w:rPr>
        <w:t xml:space="preserve"> în decursul anului 2018 s-a determinat în 42 de puncte reprezentative astfel: </w:t>
      </w:r>
    </w:p>
    <w:p w:rsidR="00B95695" w:rsidRPr="00315335" w:rsidRDefault="00B95695" w:rsidP="00B95695">
      <w:pPr>
        <w:numPr>
          <w:ilvl w:val="0"/>
          <w:numId w:val="31"/>
        </w:numPr>
        <w:spacing w:after="0" w:line="240" w:lineRule="auto"/>
        <w:contextualSpacing/>
        <w:jc w:val="both"/>
        <w:rPr>
          <w:rFonts w:ascii="Arial" w:eastAsia="Times New Roman" w:hAnsi="Arial" w:cs="Arial"/>
          <w:sz w:val="24"/>
          <w:szCs w:val="24"/>
        </w:rPr>
      </w:pPr>
      <w:r w:rsidRPr="00315335">
        <w:rPr>
          <w:rFonts w:ascii="Arial" w:eastAsia="Times New Roman" w:hAnsi="Arial" w:cs="Arial"/>
          <w:sz w:val="24"/>
          <w:szCs w:val="24"/>
        </w:rPr>
        <w:t>17 puncte pe diferite categorii de străzi cu lăţimi de 3m, 7m, 14m şi respectiv 21m;</w:t>
      </w:r>
    </w:p>
    <w:p w:rsidR="00B95695" w:rsidRPr="00315335" w:rsidRDefault="00B95695" w:rsidP="00B95695">
      <w:pPr>
        <w:numPr>
          <w:ilvl w:val="0"/>
          <w:numId w:val="31"/>
        </w:numPr>
        <w:spacing w:after="0" w:line="240" w:lineRule="auto"/>
        <w:contextualSpacing/>
        <w:jc w:val="both"/>
        <w:rPr>
          <w:rFonts w:ascii="Arial" w:eastAsia="Times New Roman" w:hAnsi="Arial" w:cs="Arial"/>
          <w:spacing w:val="-10"/>
          <w:sz w:val="24"/>
          <w:szCs w:val="24"/>
        </w:rPr>
      </w:pPr>
      <w:r w:rsidRPr="00315335">
        <w:rPr>
          <w:rFonts w:ascii="Arial" w:eastAsia="Times New Roman" w:hAnsi="Arial" w:cs="Arial"/>
          <w:sz w:val="24"/>
          <w:szCs w:val="24"/>
        </w:rPr>
        <w:t>25 puncte expertizate situate la limita exterioară a parcurilor, zonelor de recreere, tratament medical şi balneoclimateric, incintelor de şcoli, pieţelor şi spaţiilor comerciale, incintelor  industriale, parcajelor auto şi zonelor rezidenţiale.</w:t>
      </w:r>
    </w:p>
    <w:p w:rsidR="00B95695" w:rsidRPr="00315335" w:rsidRDefault="00B95695" w:rsidP="00B95695">
      <w:pPr>
        <w:spacing w:after="0" w:line="240" w:lineRule="auto"/>
        <w:ind w:left="720"/>
        <w:contextualSpacing/>
        <w:jc w:val="both"/>
        <w:rPr>
          <w:rFonts w:ascii="Arial" w:eastAsia="Times New Roman" w:hAnsi="Arial" w:cs="Arial"/>
          <w:spacing w:val="-10"/>
          <w:sz w:val="24"/>
          <w:szCs w:val="24"/>
        </w:rPr>
      </w:pPr>
    </w:p>
    <w:p w:rsidR="00B95695" w:rsidRPr="00315335" w:rsidRDefault="00B95695" w:rsidP="00B95695">
      <w:pPr>
        <w:spacing w:after="0" w:line="240" w:lineRule="auto"/>
        <w:jc w:val="both"/>
        <w:rPr>
          <w:rFonts w:ascii="Arial" w:eastAsia="Calibri" w:hAnsi="Arial" w:cs="Arial"/>
          <w:bCs/>
          <w:sz w:val="24"/>
          <w:szCs w:val="24"/>
        </w:rPr>
      </w:pPr>
      <w:r w:rsidRPr="00315335">
        <w:rPr>
          <w:rFonts w:ascii="Arial" w:eastAsia="Calibri" w:hAnsi="Arial" w:cs="Arial"/>
          <w:bCs/>
          <w:sz w:val="24"/>
          <w:szCs w:val="24"/>
        </w:rPr>
        <w:t>În tabelul VIII.1.2.1.1. sunt prezentate date privind monitorizarea zgomotului urban din anul 2018, după cum urmează:</w:t>
      </w:r>
    </w:p>
    <w:p w:rsidR="00B95695" w:rsidRPr="00315335" w:rsidRDefault="00B95695" w:rsidP="00B95695">
      <w:pPr>
        <w:spacing w:after="0" w:line="240" w:lineRule="auto"/>
        <w:rPr>
          <w:rFonts w:ascii="Arial" w:eastAsia="Calibri" w:hAnsi="Arial" w:cs="Arial"/>
          <w:b/>
          <w:bCs/>
          <w:sz w:val="24"/>
          <w:szCs w:val="24"/>
        </w:rPr>
      </w:pPr>
    </w:p>
    <w:p w:rsidR="00B95695" w:rsidRPr="00315335" w:rsidRDefault="00B95695" w:rsidP="00B95695">
      <w:pPr>
        <w:spacing w:after="0" w:line="240" w:lineRule="auto"/>
        <w:rPr>
          <w:rFonts w:ascii="Arial" w:eastAsia="Calibri" w:hAnsi="Arial" w:cs="Arial"/>
          <w:b/>
          <w:bCs/>
          <w:sz w:val="24"/>
          <w:szCs w:val="24"/>
        </w:rPr>
      </w:pPr>
      <w:r w:rsidRPr="00315335">
        <w:rPr>
          <w:rFonts w:ascii="Arial" w:eastAsia="Calibri" w:hAnsi="Arial" w:cs="Arial"/>
          <w:b/>
          <w:bCs/>
          <w:sz w:val="24"/>
          <w:szCs w:val="24"/>
        </w:rPr>
        <w:t>Tabel VIII.1.2.1.1.privind monitorizarea zgomotului urban în anul 2018</w:t>
      </w:r>
    </w:p>
    <w:tbl>
      <w:tblPr>
        <w:tblW w:w="46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hemeFill="accent2" w:themeFillTint="33"/>
        <w:tblLayout w:type="fixed"/>
        <w:tblCellMar>
          <w:left w:w="28" w:type="dxa"/>
          <w:right w:w="28" w:type="dxa"/>
        </w:tblCellMar>
        <w:tblLook w:val="01E0" w:firstRow="1" w:lastRow="1" w:firstColumn="1" w:lastColumn="1" w:noHBand="0" w:noVBand="0"/>
      </w:tblPr>
      <w:tblGrid>
        <w:gridCol w:w="1901"/>
        <w:gridCol w:w="2315"/>
        <w:gridCol w:w="1133"/>
        <w:gridCol w:w="1416"/>
        <w:gridCol w:w="1276"/>
        <w:gridCol w:w="1414"/>
      </w:tblGrid>
      <w:tr w:rsidR="00B95695" w:rsidRPr="00315335" w:rsidTr="00631723">
        <w:trPr>
          <w:trHeight w:val="14"/>
          <w:jc w:val="center"/>
        </w:trPr>
        <w:tc>
          <w:tcPr>
            <w:tcW w:w="1005"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b/>
                <w:sz w:val="20"/>
                <w:szCs w:val="20"/>
              </w:rPr>
            </w:pPr>
            <w:r w:rsidRPr="00315335">
              <w:rPr>
                <w:rFonts w:ascii="Arial" w:eastAsia="Calibri" w:hAnsi="Arial" w:cs="Arial"/>
                <w:b/>
                <w:sz w:val="20"/>
                <w:szCs w:val="20"/>
              </w:rPr>
              <w:t>Tip măsurătoare</w:t>
            </w:r>
          </w:p>
          <w:p w:rsidR="00B95695" w:rsidRPr="00315335" w:rsidRDefault="00B95695" w:rsidP="00631723">
            <w:pPr>
              <w:spacing w:after="0" w:line="240" w:lineRule="auto"/>
              <w:jc w:val="center"/>
              <w:rPr>
                <w:rFonts w:ascii="Arial" w:eastAsia="Calibri" w:hAnsi="Arial" w:cs="Arial"/>
                <w:b/>
                <w:sz w:val="20"/>
                <w:szCs w:val="20"/>
              </w:rPr>
            </w:pPr>
            <w:r w:rsidRPr="00315335">
              <w:rPr>
                <w:rFonts w:ascii="Arial" w:eastAsia="Calibri" w:hAnsi="Arial" w:cs="Arial"/>
                <w:b/>
                <w:sz w:val="20"/>
                <w:szCs w:val="20"/>
              </w:rPr>
              <w:t>zgomot</w:t>
            </w:r>
          </w:p>
        </w:tc>
        <w:tc>
          <w:tcPr>
            <w:tcW w:w="1224"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b/>
                <w:sz w:val="20"/>
                <w:szCs w:val="20"/>
              </w:rPr>
            </w:pPr>
            <w:r w:rsidRPr="00315335">
              <w:rPr>
                <w:rFonts w:ascii="Arial" w:eastAsia="Calibri" w:hAnsi="Arial" w:cs="Arial"/>
                <w:b/>
                <w:sz w:val="20"/>
                <w:szCs w:val="20"/>
              </w:rPr>
              <w:t>Punct de măsurare</w:t>
            </w:r>
          </w:p>
        </w:tc>
        <w:tc>
          <w:tcPr>
            <w:tcW w:w="599"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b/>
                <w:sz w:val="20"/>
                <w:szCs w:val="20"/>
              </w:rPr>
            </w:pPr>
            <w:r w:rsidRPr="00315335">
              <w:rPr>
                <w:rFonts w:ascii="Arial" w:eastAsia="Calibri" w:hAnsi="Arial" w:cs="Arial"/>
                <w:b/>
                <w:sz w:val="20"/>
                <w:szCs w:val="20"/>
              </w:rPr>
              <w:t>Număr măsurători</w:t>
            </w:r>
          </w:p>
          <w:p w:rsidR="00B95695" w:rsidRPr="00315335" w:rsidRDefault="00B95695" w:rsidP="00631723">
            <w:pPr>
              <w:spacing w:after="0" w:line="240" w:lineRule="auto"/>
              <w:jc w:val="center"/>
              <w:rPr>
                <w:rFonts w:ascii="Arial" w:eastAsia="Calibri" w:hAnsi="Arial" w:cs="Arial"/>
                <w:b/>
                <w:sz w:val="20"/>
                <w:szCs w:val="20"/>
              </w:rPr>
            </w:pPr>
            <w:r w:rsidRPr="00315335">
              <w:rPr>
                <w:rFonts w:ascii="Arial" w:eastAsia="Calibri" w:hAnsi="Arial" w:cs="Arial"/>
                <w:b/>
                <w:sz w:val="20"/>
                <w:szCs w:val="20"/>
              </w:rPr>
              <w:t>2018</w:t>
            </w:r>
          </w:p>
        </w:tc>
        <w:tc>
          <w:tcPr>
            <w:tcW w:w="749"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b/>
                <w:sz w:val="20"/>
                <w:szCs w:val="20"/>
              </w:rPr>
            </w:pPr>
            <w:r w:rsidRPr="00315335">
              <w:rPr>
                <w:rFonts w:ascii="Arial" w:eastAsia="Calibri" w:hAnsi="Arial" w:cs="Arial"/>
                <w:b/>
                <w:sz w:val="20"/>
                <w:szCs w:val="20"/>
              </w:rPr>
              <w:t>Nivelul echivalent de zgomot  maxim măsurat dB(A)</w:t>
            </w:r>
          </w:p>
        </w:tc>
        <w:tc>
          <w:tcPr>
            <w:tcW w:w="675"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b/>
                <w:sz w:val="20"/>
                <w:szCs w:val="20"/>
              </w:rPr>
            </w:pPr>
            <w:r w:rsidRPr="00315335">
              <w:rPr>
                <w:rFonts w:ascii="Arial" w:eastAsia="Calibri" w:hAnsi="Arial" w:cs="Arial"/>
                <w:b/>
                <w:sz w:val="20"/>
                <w:szCs w:val="20"/>
              </w:rPr>
              <w:t>Număr depăşiri</w:t>
            </w:r>
          </w:p>
          <w:p w:rsidR="00B95695" w:rsidRPr="00315335" w:rsidRDefault="00B95695" w:rsidP="00631723">
            <w:pPr>
              <w:spacing w:after="0" w:line="240" w:lineRule="auto"/>
              <w:jc w:val="center"/>
              <w:rPr>
                <w:rFonts w:ascii="Arial" w:eastAsia="Calibri" w:hAnsi="Arial" w:cs="Arial"/>
                <w:b/>
                <w:sz w:val="20"/>
                <w:szCs w:val="20"/>
              </w:rPr>
            </w:pPr>
            <w:r w:rsidRPr="00315335">
              <w:rPr>
                <w:rFonts w:ascii="Arial" w:eastAsia="Calibri" w:hAnsi="Arial" w:cs="Arial"/>
                <w:b/>
                <w:sz w:val="20"/>
                <w:szCs w:val="20"/>
              </w:rPr>
              <w:t>2018</w:t>
            </w:r>
          </w:p>
        </w:tc>
        <w:tc>
          <w:tcPr>
            <w:tcW w:w="748" w:type="pc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b/>
                <w:sz w:val="20"/>
                <w:szCs w:val="20"/>
              </w:rPr>
            </w:pPr>
            <w:r w:rsidRPr="00315335">
              <w:rPr>
                <w:rFonts w:ascii="Arial" w:eastAsia="Calibri" w:hAnsi="Arial" w:cs="Arial"/>
                <w:b/>
                <w:sz w:val="20"/>
                <w:szCs w:val="20"/>
              </w:rPr>
              <w:t>Nivelul echiv. de zgomot admisibil dB(A)</w:t>
            </w:r>
          </w:p>
        </w:tc>
      </w:tr>
      <w:tr w:rsidR="00B95695" w:rsidRPr="00315335" w:rsidTr="00631723">
        <w:trPr>
          <w:trHeight w:val="2"/>
          <w:jc w:val="center"/>
        </w:trPr>
        <w:tc>
          <w:tcPr>
            <w:tcW w:w="1005"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Parcuri, zone de recreere şi odihnă</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Parcul Grădina Mare</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54,32</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tcPr>
          <w:p w:rsidR="00B95695" w:rsidRPr="00315335" w:rsidRDefault="00B95695" w:rsidP="00631723">
            <w:pPr>
              <w:jc w:val="center"/>
            </w:pPr>
            <w:r w:rsidRPr="00315335">
              <w:rPr>
                <w:rFonts w:ascii="Arial" w:eastAsia="Calibri" w:hAnsi="Arial" w:cs="Arial"/>
                <w:sz w:val="20"/>
                <w:szCs w:val="20"/>
              </w:rPr>
              <w:t>5</w:t>
            </w:r>
          </w:p>
        </w:tc>
        <w:tc>
          <w:tcPr>
            <w:tcW w:w="748" w:type="pct"/>
            <w:vMerge w:val="restart"/>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45</w:t>
            </w:r>
          </w:p>
        </w:tc>
      </w:tr>
      <w:tr w:rsidR="00B95695" w:rsidRPr="00315335" w:rsidTr="00631723">
        <w:trPr>
          <w:trHeight w:val="2"/>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Parcul Monument</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54,49</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tcPr>
          <w:p w:rsidR="00B95695" w:rsidRPr="00315335" w:rsidRDefault="00B95695" w:rsidP="00631723">
            <w:pPr>
              <w:jc w:val="center"/>
            </w:pPr>
            <w:r w:rsidRPr="00315335">
              <w:rPr>
                <w:rFonts w:ascii="Arial" w:eastAsia="Calibri" w:hAnsi="Arial" w:cs="Arial"/>
                <w:sz w:val="20"/>
                <w:szCs w:val="20"/>
              </w:rPr>
              <w:t>5</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Faleza Dunării</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50,81</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tcPr>
          <w:p w:rsidR="00B95695" w:rsidRPr="00315335" w:rsidRDefault="00B95695" w:rsidP="00631723">
            <w:pPr>
              <w:jc w:val="center"/>
            </w:pPr>
            <w:r w:rsidRPr="00315335">
              <w:rPr>
                <w:rFonts w:ascii="Arial" w:eastAsia="Calibri" w:hAnsi="Arial" w:cs="Arial"/>
                <w:sz w:val="20"/>
                <w:szCs w:val="20"/>
              </w:rPr>
              <w:t>5</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Staţiunea Lacu – Sărat</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53,35</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tcPr>
          <w:p w:rsidR="00B95695" w:rsidRPr="00315335" w:rsidRDefault="00B95695" w:rsidP="00631723">
            <w:pPr>
              <w:jc w:val="center"/>
            </w:pPr>
            <w:r w:rsidRPr="00315335">
              <w:rPr>
                <w:rFonts w:ascii="Arial" w:eastAsia="Calibri" w:hAnsi="Arial" w:cs="Arial"/>
                <w:sz w:val="20"/>
                <w:szCs w:val="20"/>
              </w:rPr>
              <w:t>5</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Spitalul Sf. Spiridon</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64,48</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tcPr>
          <w:p w:rsidR="00B95695" w:rsidRPr="00315335" w:rsidRDefault="00B95695" w:rsidP="00631723">
            <w:pPr>
              <w:jc w:val="center"/>
            </w:pPr>
            <w:r w:rsidRPr="00315335">
              <w:rPr>
                <w:rFonts w:ascii="Arial" w:eastAsia="Calibri" w:hAnsi="Arial" w:cs="Arial"/>
                <w:sz w:val="20"/>
                <w:szCs w:val="20"/>
              </w:rPr>
              <w:t>5</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Incinte de școli, spații de joacă</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Liceul Gh. M. Murgoci</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55,84</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75</w:t>
            </w:r>
          </w:p>
        </w:tc>
      </w:tr>
      <w:tr w:rsidR="00B95695" w:rsidRPr="00315335" w:rsidTr="00631723">
        <w:trPr>
          <w:trHeight w:val="2"/>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Liceul N. Iorga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60,45</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Liceul N. Bălcescu</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66,16</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Şcoala Generală nr. 7</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55,17</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val="restart"/>
            <w:tcBorders>
              <w:top w:val="single" w:sz="12" w:space="0" w:color="auto"/>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Piețe, spații comerciale, restaurante în aer liber</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Piaţa Concordia</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61,93</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val="restart"/>
            <w:tcBorders>
              <w:top w:val="single" w:sz="8" w:space="0" w:color="auto"/>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65</w:t>
            </w:r>
          </w:p>
        </w:tc>
      </w:tr>
      <w:tr w:rsidR="00B95695" w:rsidRPr="00315335" w:rsidTr="00631723">
        <w:trPr>
          <w:trHeight w:val="2"/>
          <w:jc w:val="center"/>
        </w:trPr>
        <w:tc>
          <w:tcPr>
            <w:tcW w:w="1005"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Piaţa Halelor</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62,42</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Piaţa Radu Negru</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55,1</w:t>
            </w:r>
            <w:r w:rsidR="00004913">
              <w:rPr>
                <w:rFonts w:ascii="Arial" w:eastAsia="Calibri" w:hAnsi="Arial" w:cs="Arial"/>
                <w:sz w:val="20"/>
                <w:szCs w:val="20"/>
              </w:rPr>
              <w:t>0</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bottom"/>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Piaţa Pistruiatu</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59,63</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Terasa Dreams</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56,19</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Restaurant Swing</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57,23</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Incinte industriale</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S.C. Progresu S.A.</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57,15</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65</w:t>
            </w:r>
          </w:p>
        </w:tc>
      </w:tr>
      <w:tr w:rsidR="00B95695" w:rsidRPr="00315335" w:rsidTr="00631723">
        <w:trPr>
          <w:trHeight w:val="2"/>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S.C. Farex S.A.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59,72</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S.C. Laminoru S.A.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64,24</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5"/>
          <w:jc w:val="center"/>
        </w:trPr>
        <w:tc>
          <w:tcPr>
            <w:tcW w:w="1005"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Şantier Naval Vard S.A</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63,61</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5"/>
          <w:jc w:val="center"/>
        </w:trPr>
        <w:tc>
          <w:tcPr>
            <w:tcW w:w="1005"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Parcaje auto</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Supermarket XXL</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60,44</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70</w:t>
            </w:r>
          </w:p>
        </w:tc>
      </w:tr>
      <w:tr w:rsidR="00B95695" w:rsidRPr="00315335" w:rsidTr="00631723">
        <w:trPr>
          <w:trHeight w:val="5"/>
          <w:jc w:val="center"/>
        </w:trPr>
        <w:tc>
          <w:tcPr>
            <w:tcW w:w="1005"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Supermarket Billa/Praktiker</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63,66</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5"/>
          <w:jc w:val="center"/>
        </w:trPr>
        <w:tc>
          <w:tcPr>
            <w:tcW w:w="1005"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Zone rezidențiale</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Teatrul Maria Filotti</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56,77</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w:t>
            </w:r>
          </w:p>
        </w:tc>
        <w:tc>
          <w:tcPr>
            <w:tcW w:w="748"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50</w:t>
            </w:r>
          </w:p>
        </w:tc>
      </w:tr>
      <w:tr w:rsidR="00B95695" w:rsidRPr="00315335" w:rsidTr="00631723">
        <w:trPr>
          <w:trHeight w:val="5"/>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Şoseaua-Buzăului (Supermarket XXL)</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51,68</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5"/>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 xml:space="preserve">Faleza Dunării </w:t>
            </w:r>
          </w:p>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(Direcţia de Finanţe)</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51,71</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5"/>
          <w:jc w:val="center"/>
        </w:trPr>
        <w:tc>
          <w:tcPr>
            <w:tcW w:w="1005"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Cartier Hipodrom</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57,23</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1"/>
          <w:jc w:val="center"/>
        </w:trPr>
        <w:tc>
          <w:tcPr>
            <w:tcW w:w="1005"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Stradă de categorie tehnică I, magistrală</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B-dul Dorobanţilor/Apollo</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72,06</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80</w:t>
            </w:r>
          </w:p>
        </w:tc>
      </w:tr>
      <w:tr w:rsidR="00B95695" w:rsidRPr="00315335" w:rsidTr="00631723">
        <w:trPr>
          <w:trHeight w:val="1"/>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B-dul Independenţei– APM Brăila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63,26</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1"/>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Calea Călăraşi IAS-IMB</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72,13</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1"/>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Calea Călăraşi/Dorobanţi</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71,23</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1"/>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Calea Galaţi/Dorobanţi</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74,66</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1"/>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Calea Călăraşi/B-dul Independenţei</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73,76</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Calea Călăraşi/Griviţa</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69,67</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val="restart"/>
            <w:tcBorders>
              <w:top w:val="single" w:sz="12" w:space="0" w:color="auto"/>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Stradă de categorie tehnică II, de legătură</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Centură – IDMS</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71,42</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w:t>
            </w:r>
          </w:p>
        </w:tc>
        <w:tc>
          <w:tcPr>
            <w:tcW w:w="748" w:type="pct"/>
            <w:vMerge w:val="restart"/>
            <w:tcBorders>
              <w:top w:val="single" w:sz="8" w:space="0" w:color="auto"/>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70</w:t>
            </w:r>
          </w:p>
        </w:tc>
      </w:tr>
      <w:tr w:rsidR="00B95695" w:rsidRPr="00315335" w:rsidTr="00631723">
        <w:trPr>
          <w:trHeight w:val="2"/>
          <w:jc w:val="center"/>
        </w:trPr>
        <w:tc>
          <w:tcPr>
            <w:tcW w:w="1005"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Calea Galaţi (Pţa. Traian)</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68,36</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1 Decembrie 1918</w:t>
            </w:r>
          </w:p>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/Griviţa</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67,41</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1"/>
          <w:jc w:val="center"/>
        </w:trPr>
        <w:tc>
          <w:tcPr>
            <w:tcW w:w="1005"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4"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1Decembrie 1918/Dorobanţi</w:t>
            </w:r>
          </w:p>
        </w:tc>
        <w:tc>
          <w:tcPr>
            <w:tcW w:w="599" w:type="pct"/>
            <w:tcBorders>
              <w:top w:val="single" w:sz="8" w:space="0" w:color="auto"/>
              <w:left w:val="single" w:sz="12" w:space="0" w:color="auto"/>
              <w:bottom w:val="single" w:sz="4"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4"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77,46</w:t>
            </w:r>
          </w:p>
        </w:tc>
        <w:tc>
          <w:tcPr>
            <w:tcW w:w="675" w:type="pct"/>
            <w:tcBorders>
              <w:top w:val="single" w:sz="8" w:space="0" w:color="auto"/>
              <w:left w:val="single" w:sz="12" w:space="0" w:color="auto"/>
              <w:bottom w:val="single" w:sz="4"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w:t>
            </w:r>
          </w:p>
        </w:tc>
        <w:tc>
          <w:tcPr>
            <w:tcW w:w="748" w:type="pct"/>
            <w:vMerge/>
            <w:tcBorders>
              <w:left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1"/>
          <w:jc w:val="center"/>
        </w:trPr>
        <w:tc>
          <w:tcPr>
            <w:tcW w:w="1005" w:type="pct"/>
            <w:vMerge/>
            <w:tcBorders>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4"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Comuna din Paris/Focşani</w:t>
            </w:r>
          </w:p>
        </w:tc>
        <w:tc>
          <w:tcPr>
            <w:tcW w:w="599" w:type="pct"/>
            <w:tcBorders>
              <w:top w:val="single" w:sz="4"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4"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69,32</w:t>
            </w:r>
          </w:p>
        </w:tc>
        <w:tc>
          <w:tcPr>
            <w:tcW w:w="675" w:type="pct"/>
            <w:tcBorders>
              <w:top w:val="single" w:sz="4"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Stradă de categorie tehnică III, de colectare</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Rahova/Biserica Sf. Constantin</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67,06</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1</w:t>
            </w:r>
          </w:p>
        </w:tc>
        <w:tc>
          <w:tcPr>
            <w:tcW w:w="748"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65</w:t>
            </w:r>
          </w:p>
        </w:tc>
      </w:tr>
      <w:tr w:rsidR="00B95695" w:rsidRPr="00315335" w:rsidTr="00631723">
        <w:trPr>
          <w:trHeight w:val="2"/>
          <w:jc w:val="center"/>
        </w:trPr>
        <w:tc>
          <w:tcPr>
            <w:tcW w:w="1005" w:type="pct"/>
            <w:vMerge/>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Roşiori /Sf. Constantin</w:t>
            </w:r>
          </w:p>
        </w:tc>
        <w:tc>
          <w:tcPr>
            <w:tcW w:w="59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59,68</w:t>
            </w:r>
          </w:p>
        </w:tc>
        <w:tc>
          <w:tcPr>
            <w:tcW w:w="675" w:type="pct"/>
            <w:tcBorders>
              <w:top w:val="single" w:sz="8"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p>
        </w:tc>
        <w:tc>
          <w:tcPr>
            <w:tcW w:w="1224"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Chişinău/Grigore Alexandrescu</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64,60</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4</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p>
        </w:tc>
      </w:tr>
      <w:tr w:rsidR="00B95695" w:rsidRPr="00315335" w:rsidTr="00631723">
        <w:trPr>
          <w:trHeight w:val="2"/>
          <w:jc w:val="center"/>
        </w:trPr>
        <w:tc>
          <w:tcPr>
            <w:tcW w:w="1005" w:type="pct"/>
            <w:vMerge w:val="restar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rPr>
                <w:rFonts w:ascii="Arial" w:eastAsia="Calibri" w:hAnsi="Arial" w:cs="Arial"/>
                <w:sz w:val="20"/>
                <w:szCs w:val="20"/>
              </w:rPr>
            </w:pPr>
            <w:r w:rsidRPr="00315335">
              <w:rPr>
                <w:rFonts w:ascii="Arial" w:eastAsia="Calibri" w:hAnsi="Arial" w:cs="Arial"/>
                <w:sz w:val="20"/>
                <w:szCs w:val="20"/>
              </w:rPr>
              <w:t>Stradă de categorie tehnică IV, de deservire locală</w:t>
            </w:r>
          </w:p>
        </w:tc>
        <w:tc>
          <w:tcPr>
            <w:tcW w:w="1224"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Orientului/Poliţie</w:t>
            </w:r>
          </w:p>
        </w:tc>
        <w:tc>
          <w:tcPr>
            <w:tcW w:w="59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58,34</w:t>
            </w:r>
          </w:p>
        </w:tc>
        <w:tc>
          <w:tcPr>
            <w:tcW w:w="675" w:type="pct"/>
            <w:tcBorders>
              <w:top w:val="single" w:sz="12" w:space="0" w:color="auto"/>
              <w:left w:val="single" w:sz="12" w:space="0" w:color="auto"/>
              <w:bottom w:val="single" w:sz="8"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0</w:t>
            </w:r>
          </w:p>
        </w:tc>
        <w:tc>
          <w:tcPr>
            <w:tcW w:w="748" w:type="pct"/>
            <w:vMerge w:val="restar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60</w:t>
            </w:r>
          </w:p>
        </w:tc>
      </w:tr>
      <w:tr w:rsidR="00B95695" w:rsidRPr="00315335" w:rsidTr="00631723">
        <w:trPr>
          <w:trHeight w:val="2"/>
          <w:jc w:val="center"/>
        </w:trPr>
        <w:tc>
          <w:tcPr>
            <w:tcW w:w="1005"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both"/>
              <w:rPr>
                <w:rFonts w:ascii="Arial" w:eastAsia="Calibri" w:hAnsi="Arial" w:cs="Arial"/>
                <w:b/>
                <w:sz w:val="20"/>
                <w:szCs w:val="20"/>
              </w:rPr>
            </w:pPr>
          </w:p>
        </w:tc>
        <w:tc>
          <w:tcPr>
            <w:tcW w:w="1224"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both"/>
              <w:rPr>
                <w:rFonts w:ascii="Arial" w:eastAsia="Calibri" w:hAnsi="Arial" w:cs="Arial"/>
                <w:sz w:val="20"/>
                <w:szCs w:val="20"/>
              </w:rPr>
            </w:pPr>
            <w:r w:rsidRPr="00315335">
              <w:rPr>
                <w:rFonts w:ascii="Arial" w:eastAsia="Calibri" w:hAnsi="Arial" w:cs="Arial"/>
                <w:sz w:val="20"/>
                <w:szCs w:val="20"/>
              </w:rPr>
              <w:t>Rubinelor/Univ. Brâncoveanu</w:t>
            </w:r>
          </w:p>
        </w:tc>
        <w:tc>
          <w:tcPr>
            <w:tcW w:w="59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240" w:lineRule="auto"/>
              <w:jc w:val="center"/>
              <w:rPr>
                <w:rFonts w:ascii="Arial" w:eastAsia="Calibri" w:hAnsi="Arial" w:cs="Arial"/>
                <w:sz w:val="20"/>
                <w:szCs w:val="20"/>
              </w:rPr>
            </w:pPr>
            <w:r w:rsidRPr="00315335">
              <w:rPr>
                <w:rFonts w:ascii="Arial" w:eastAsia="Calibri" w:hAnsi="Arial" w:cs="Arial"/>
                <w:sz w:val="20"/>
                <w:szCs w:val="20"/>
              </w:rPr>
              <w:t>5</w:t>
            </w:r>
          </w:p>
        </w:tc>
        <w:tc>
          <w:tcPr>
            <w:tcW w:w="749"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63,39</w:t>
            </w:r>
          </w:p>
        </w:tc>
        <w:tc>
          <w:tcPr>
            <w:tcW w:w="675" w:type="pct"/>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jc w:val="center"/>
              <w:rPr>
                <w:rFonts w:ascii="Arial" w:eastAsia="Calibri" w:hAnsi="Arial" w:cs="Arial"/>
                <w:sz w:val="20"/>
                <w:szCs w:val="20"/>
              </w:rPr>
            </w:pPr>
            <w:r w:rsidRPr="00315335">
              <w:rPr>
                <w:rFonts w:ascii="Arial" w:eastAsia="Calibri" w:hAnsi="Arial" w:cs="Arial"/>
                <w:sz w:val="20"/>
                <w:szCs w:val="20"/>
              </w:rPr>
              <w:t>2</w:t>
            </w:r>
          </w:p>
        </w:tc>
        <w:tc>
          <w:tcPr>
            <w:tcW w:w="748" w:type="pct"/>
            <w:vMerge/>
            <w:tcBorders>
              <w:top w:val="single" w:sz="8" w:space="0" w:color="auto"/>
              <w:left w:val="single" w:sz="12" w:space="0" w:color="auto"/>
              <w:bottom w:val="single" w:sz="12" w:space="0" w:color="auto"/>
              <w:right w:val="single" w:sz="12" w:space="0" w:color="auto"/>
            </w:tcBorders>
            <w:shd w:val="clear" w:color="auto" w:fill="F2DBDB" w:themeFill="accent2" w:themeFillTint="33"/>
            <w:vAlign w:val="center"/>
          </w:tcPr>
          <w:p w:rsidR="00B95695" w:rsidRPr="00315335" w:rsidRDefault="00B95695" w:rsidP="00631723">
            <w:pPr>
              <w:spacing w:after="0" w:line="480" w:lineRule="auto"/>
              <w:jc w:val="both"/>
              <w:rPr>
                <w:rFonts w:ascii="Arial" w:eastAsia="Calibri" w:hAnsi="Arial" w:cs="Arial"/>
                <w:sz w:val="20"/>
                <w:szCs w:val="20"/>
              </w:rPr>
            </w:pPr>
          </w:p>
        </w:tc>
      </w:tr>
    </w:tbl>
    <w:p w:rsidR="00B95695" w:rsidRPr="00315335" w:rsidRDefault="00B95695" w:rsidP="00B95695">
      <w:pPr>
        <w:tabs>
          <w:tab w:val="left" w:pos="3240"/>
          <w:tab w:val="center" w:pos="4536"/>
          <w:tab w:val="left" w:pos="6300"/>
          <w:tab w:val="right" w:pos="9072"/>
        </w:tabs>
        <w:spacing w:after="0" w:line="264" w:lineRule="auto"/>
        <w:jc w:val="both"/>
        <w:rPr>
          <w:rFonts w:ascii="Arial" w:eastAsia="Calibri" w:hAnsi="Arial" w:cs="Arial"/>
          <w:b/>
          <w:sz w:val="24"/>
          <w:szCs w:val="24"/>
        </w:rPr>
      </w:pPr>
    </w:p>
    <w:p w:rsidR="00B95695" w:rsidRPr="00315335" w:rsidRDefault="00B95695" w:rsidP="00B95695">
      <w:pPr>
        <w:tabs>
          <w:tab w:val="left" w:pos="3240"/>
          <w:tab w:val="center" w:pos="4536"/>
          <w:tab w:val="left" w:pos="6300"/>
          <w:tab w:val="right" w:pos="9072"/>
        </w:tabs>
        <w:spacing w:after="0" w:line="264" w:lineRule="auto"/>
        <w:jc w:val="both"/>
        <w:rPr>
          <w:rFonts w:ascii="Arial" w:eastAsia="Calibri" w:hAnsi="Arial" w:cs="Arial"/>
          <w:b/>
          <w:sz w:val="24"/>
          <w:szCs w:val="24"/>
        </w:rPr>
      </w:pPr>
    </w:p>
    <w:p w:rsidR="00B95695" w:rsidRPr="00315335" w:rsidRDefault="00B95695" w:rsidP="00B95695">
      <w:pPr>
        <w:tabs>
          <w:tab w:val="left" w:pos="3240"/>
          <w:tab w:val="center" w:pos="4536"/>
          <w:tab w:val="left" w:pos="6300"/>
          <w:tab w:val="right" w:pos="9072"/>
        </w:tabs>
        <w:spacing w:after="0" w:line="264" w:lineRule="auto"/>
        <w:jc w:val="both"/>
        <w:rPr>
          <w:rFonts w:ascii="Arial" w:eastAsia="Calibri" w:hAnsi="Arial" w:cs="Arial"/>
          <w:b/>
          <w:sz w:val="24"/>
          <w:szCs w:val="24"/>
        </w:rPr>
      </w:pPr>
    </w:p>
    <w:p w:rsidR="00B95695" w:rsidRPr="00315335" w:rsidRDefault="00B95695" w:rsidP="00B95695">
      <w:pPr>
        <w:tabs>
          <w:tab w:val="left" w:pos="3240"/>
          <w:tab w:val="center" w:pos="4536"/>
          <w:tab w:val="left" w:pos="6300"/>
          <w:tab w:val="right" w:pos="9072"/>
        </w:tabs>
        <w:spacing w:after="0" w:line="264" w:lineRule="auto"/>
        <w:jc w:val="both"/>
        <w:rPr>
          <w:rFonts w:ascii="Arial" w:eastAsia="Calibri" w:hAnsi="Arial" w:cs="Arial"/>
          <w:sz w:val="24"/>
          <w:szCs w:val="24"/>
        </w:rPr>
      </w:pPr>
      <w:r w:rsidRPr="00315335">
        <w:rPr>
          <w:rFonts w:ascii="Arial" w:eastAsia="Calibri" w:hAnsi="Arial" w:cs="Arial"/>
          <w:sz w:val="24"/>
          <w:szCs w:val="24"/>
        </w:rPr>
        <w:t xml:space="preserve">Tabelul </w:t>
      </w:r>
      <w:r w:rsidRPr="00315335">
        <w:rPr>
          <w:rFonts w:ascii="Arial" w:eastAsia="Calibri" w:hAnsi="Arial" w:cs="Arial"/>
          <w:bCs/>
          <w:sz w:val="24"/>
          <w:szCs w:val="24"/>
        </w:rPr>
        <w:t>VIII.1.2.1.2.</w:t>
      </w:r>
      <w:r w:rsidRPr="00315335">
        <w:rPr>
          <w:rFonts w:ascii="Arial" w:eastAsia="Calibri" w:hAnsi="Arial" w:cs="Arial"/>
          <w:spacing w:val="-10"/>
          <w:sz w:val="24"/>
          <w:szCs w:val="24"/>
        </w:rPr>
        <w:t>Centralizator pe tipurilor de măsurători de zgomot exterior, efectuate în anul 2018</w:t>
      </w:r>
    </w:p>
    <w:tbl>
      <w:tblPr>
        <w:tblW w:w="4652"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072"/>
        <w:gridCol w:w="1553"/>
        <w:gridCol w:w="1356"/>
        <w:gridCol w:w="1222"/>
        <w:gridCol w:w="1592"/>
        <w:gridCol w:w="1579"/>
        <w:gridCol w:w="1323"/>
      </w:tblGrid>
      <w:tr w:rsidR="00B95695" w:rsidRPr="00315335" w:rsidTr="00631723">
        <w:trPr>
          <w:trHeight w:val="814"/>
          <w:jc w:val="center"/>
        </w:trPr>
        <w:tc>
          <w:tcPr>
            <w:tcW w:w="552" w:type="pct"/>
            <w:shd w:val="clear" w:color="auto" w:fill="E6E6E6"/>
            <w:vAlign w:val="center"/>
          </w:tcPr>
          <w:p w:rsidR="00B95695" w:rsidRPr="00315335" w:rsidRDefault="00B95695" w:rsidP="00631723">
            <w:pPr>
              <w:spacing w:after="0" w:line="240" w:lineRule="auto"/>
              <w:jc w:val="center"/>
              <w:rPr>
                <w:rFonts w:ascii="Arial" w:eastAsia="Calibri" w:hAnsi="Arial" w:cs="Arial"/>
                <w:b/>
                <w:sz w:val="24"/>
                <w:szCs w:val="24"/>
              </w:rPr>
            </w:pPr>
            <w:r w:rsidRPr="00315335">
              <w:rPr>
                <w:rFonts w:ascii="Arial" w:eastAsia="Calibri" w:hAnsi="Arial" w:cs="Arial"/>
                <w:b/>
                <w:sz w:val="24"/>
                <w:szCs w:val="24"/>
              </w:rPr>
              <w:t>Judeţul</w:t>
            </w:r>
          </w:p>
        </w:tc>
        <w:tc>
          <w:tcPr>
            <w:tcW w:w="801" w:type="pct"/>
            <w:shd w:val="clear" w:color="auto" w:fill="E6E6E6"/>
            <w:vAlign w:val="center"/>
          </w:tcPr>
          <w:p w:rsidR="00B95695" w:rsidRPr="00315335" w:rsidRDefault="00B95695" w:rsidP="00631723">
            <w:pPr>
              <w:spacing w:after="0" w:line="240" w:lineRule="auto"/>
              <w:jc w:val="center"/>
              <w:rPr>
                <w:rFonts w:ascii="Arial" w:eastAsia="Calibri" w:hAnsi="Arial" w:cs="Arial"/>
                <w:b/>
                <w:sz w:val="24"/>
                <w:szCs w:val="24"/>
              </w:rPr>
            </w:pPr>
            <w:r w:rsidRPr="00315335">
              <w:rPr>
                <w:rFonts w:ascii="Arial" w:eastAsia="Calibri" w:hAnsi="Arial" w:cs="Arial"/>
                <w:b/>
                <w:sz w:val="24"/>
                <w:szCs w:val="24"/>
              </w:rPr>
              <w:t>Număr măsurători</w:t>
            </w:r>
          </w:p>
        </w:tc>
        <w:tc>
          <w:tcPr>
            <w:tcW w:w="699" w:type="pct"/>
            <w:shd w:val="clear" w:color="auto" w:fill="E6E6E6"/>
            <w:vAlign w:val="center"/>
          </w:tcPr>
          <w:p w:rsidR="00B95695" w:rsidRPr="00315335" w:rsidRDefault="00B95695" w:rsidP="00631723">
            <w:pPr>
              <w:spacing w:after="0" w:line="240" w:lineRule="auto"/>
              <w:jc w:val="center"/>
              <w:rPr>
                <w:rFonts w:ascii="Arial" w:eastAsia="Calibri" w:hAnsi="Arial" w:cs="Arial"/>
                <w:b/>
                <w:sz w:val="24"/>
                <w:szCs w:val="24"/>
              </w:rPr>
            </w:pPr>
            <w:r w:rsidRPr="00315335">
              <w:rPr>
                <w:rFonts w:ascii="Arial" w:eastAsia="Calibri" w:hAnsi="Arial" w:cs="Arial"/>
                <w:b/>
                <w:sz w:val="24"/>
                <w:szCs w:val="24"/>
              </w:rPr>
              <w:t>Maxima măsurată</w:t>
            </w:r>
          </w:p>
          <w:p w:rsidR="00B95695" w:rsidRPr="00315335" w:rsidRDefault="00B95695" w:rsidP="00631723">
            <w:pPr>
              <w:spacing w:after="0" w:line="240" w:lineRule="auto"/>
              <w:jc w:val="center"/>
              <w:rPr>
                <w:rFonts w:ascii="Arial" w:eastAsia="Calibri" w:hAnsi="Arial" w:cs="Arial"/>
                <w:b/>
                <w:sz w:val="24"/>
                <w:szCs w:val="24"/>
              </w:rPr>
            </w:pPr>
            <w:r w:rsidRPr="00315335">
              <w:rPr>
                <w:rFonts w:ascii="Arial" w:eastAsia="Calibri" w:hAnsi="Arial" w:cs="Arial"/>
                <w:b/>
                <w:sz w:val="24"/>
                <w:szCs w:val="24"/>
              </w:rPr>
              <w:t>(dB)</w:t>
            </w:r>
          </w:p>
        </w:tc>
        <w:tc>
          <w:tcPr>
            <w:tcW w:w="630" w:type="pct"/>
            <w:shd w:val="clear" w:color="auto" w:fill="E6E6E6"/>
            <w:vAlign w:val="center"/>
          </w:tcPr>
          <w:p w:rsidR="00B95695" w:rsidRPr="00315335" w:rsidRDefault="00B95695" w:rsidP="00631723">
            <w:pPr>
              <w:spacing w:after="0" w:line="240" w:lineRule="auto"/>
              <w:jc w:val="center"/>
              <w:rPr>
                <w:rFonts w:ascii="Arial" w:eastAsia="Calibri" w:hAnsi="Arial" w:cs="Arial"/>
                <w:b/>
                <w:sz w:val="24"/>
                <w:szCs w:val="24"/>
              </w:rPr>
            </w:pPr>
            <w:r w:rsidRPr="00315335">
              <w:rPr>
                <w:rFonts w:ascii="Arial" w:eastAsia="Calibri" w:hAnsi="Arial" w:cs="Arial"/>
                <w:b/>
                <w:sz w:val="24"/>
                <w:szCs w:val="24"/>
              </w:rPr>
              <w:t>Depăşiri</w:t>
            </w:r>
          </w:p>
          <w:p w:rsidR="00B95695" w:rsidRPr="00315335" w:rsidRDefault="00B95695" w:rsidP="00631723">
            <w:pPr>
              <w:spacing w:after="0" w:line="240" w:lineRule="auto"/>
              <w:jc w:val="center"/>
              <w:rPr>
                <w:rFonts w:ascii="Arial" w:eastAsia="Calibri" w:hAnsi="Arial" w:cs="Arial"/>
                <w:b/>
                <w:sz w:val="24"/>
                <w:szCs w:val="24"/>
              </w:rPr>
            </w:pPr>
            <w:r w:rsidRPr="00315335">
              <w:rPr>
                <w:rFonts w:ascii="Arial" w:eastAsia="Calibri" w:hAnsi="Arial" w:cs="Arial"/>
                <w:b/>
                <w:sz w:val="24"/>
                <w:szCs w:val="24"/>
              </w:rPr>
              <w:t>%</w:t>
            </w:r>
          </w:p>
        </w:tc>
        <w:tc>
          <w:tcPr>
            <w:tcW w:w="821" w:type="pct"/>
            <w:shd w:val="clear" w:color="auto" w:fill="E6E6E6"/>
            <w:vAlign w:val="center"/>
          </w:tcPr>
          <w:p w:rsidR="00B95695" w:rsidRPr="00315335" w:rsidRDefault="00B95695" w:rsidP="00631723">
            <w:pPr>
              <w:spacing w:after="0" w:line="240" w:lineRule="auto"/>
              <w:jc w:val="center"/>
              <w:rPr>
                <w:rFonts w:ascii="Arial" w:eastAsia="Calibri" w:hAnsi="Arial" w:cs="Arial"/>
                <w:b/>
                <w:sz w:val="24"/>
                <w:szCs w:val="24"/>
              </w:rPr>
            </w:pPr>
            <w:r w:rsidRPr="00315335">
              <w:rPr>
                <w:rFonts w:ascii="Arial" w:eastAsia="Calibri" w:hAnsi="Arial" w:cs="Arial"/>
                <w:b/>
                <w:sz w:val="24"/>
                <w:szCs w:val="24"/>
              </w:rPr>
              <w:t>Indicator utilizat</w:t>
            </w:r>
          </w:p>
        </w:tc>
        <w:tc>
          <w:tcPr>
            <w:tcW w:w="814" w:type="pct"/>
            <w:shd w:val="clear" w:color="auto" w:fill="E6E6E6"/>
            <w:vAlign w:val="center"/>
          </w:tcPr>
          <w:p w:rsidR="00B95695" w:rsidRPr="00315335" w:rsidRDefault="00B95695" w:rsidP="00631723">
            <w:pPr>
              <w:spacing w:after="0" w:line="240" w:lineRule="auto"/>
              <w:jc w:val="center"/>
              <w:rPr>
                <w:rFonts w:ascii="Arial" w:eastAsia="Calibri" w:hAnsi="Arial" w:cs="Arial"/>
                <w:b/>
                <w:sz w:val="24"/>
                <w:szCs w:val="24"/>
              </w:rPr>
            </w:pPr>
            <w:r w:rsidRPr="00315335">
              <w:rPr>
                <w:rFonts w:ascii="Arial" w:eastAsia="Calibri" w:hAnsi="Arial" w:cs="Arial"/>
                <w:b/>
                <w:sz w:val="24"/>
                <w:szCs w:val="24"/>
              </w:rPr>
              <w:t>Determinări în urma sesizărilor</w:t>
            </w:r>
          </w:p>
        </w:tc>
        <w:tc>
          <w:tcPr>
            <w:tcW w:w="682" w:type="pct"/>
            <w:shd w:val="clear" w:color="auto" w:fill="E6E6E6"/>
            <w:vAlign w:val="center"/>
          </w:tcPr>
          <w:p w:rsidR="00B95695" w:rsidRPr="00315335" w:rsidRDefault="00B95695" w:rsidP="00631723">
            <w:pPr>
              <w:spacing w:after="0" w:line="240" w:lineRule="auto"/>
              <w:jc w:val="center"/>
              <w:rPr>
                <w:rFonts w:ascii="Arial" w:eastAsia="Calibri" w:hAnsi="Arial" w:cs="Arial"/>
                <w:b/>
                <w:sz w:val="24"/>
                <w:szCs w:val="24"/>
              </w:rPr>
            </w:pPr>
            <w:r w:rsidRPr="00315335">
              <w:rPr>
                <w:rFonts w:ascii="Arial" w:eastAsia="Calibri" w:hAnsi="Arial" w:cs="Arial"/>
                <w:b/>
                <w:sz w:val="24"/>
                <w:szCs w:val="24"/>
              </w:rPr>
              <w:t>Sesizări rezolvate       %</w:t>
            </w:r>
          </w:p>
        </w:tc>
      </w:tr>
      <w:tr w:rsidR="00B95695" w:rsidRPr="00315335" w:rsidTr="00631723">
        <w:trPr>
          <w:trHeight w:val="258"/>
          <w:jc w:val="center"/>
        </w:trPr>
        <w:tc>
          <w:tcPr>
            <w:tcW w:w="552" w:type="pct"/>
            <w:shd w:val="clear" w:color="auto" w:fill="auto"/>
            <w:vAlign w:val="center"/>
          </w:tcPr>
          <w:p w:rsidR="00B95695" w:rsidRPr="00315335" w:rsidRDefault="00B95695" w:rsidP="00631723">
            <w:pPr>
              <w:spacing w:after="0" w:line="240" w:lineRule="auto"/>
              <w:jc w:val="both"/>
              <w:rPr>
                <w:rFonts w:ascii="Arial" w:eastAsia="Calibri" w:hAnsi="Arial" w:cs="Arial"/>
                <w:b/>
                <w:sz w:val="24"/>
                <w:szCs w:val="24"/>
              </w:rPr>
            </w:pPr>
            <w:r w:rsidRPr="00315335">
              <w:rPr>
                <w:rFonts w:ascii="Arial" w:eastAsia="Calibri" w:hAnsi="Arial" w:cs="Arial"/>
                <w:b/>
                <w:sz w:val="24"/>
                <w:szCs w:val="24"/>
              </w:rPr>
              <w:t>Brăila</w:t>
            </w:r>
          </w:p>
        </w:tc>
        <w:tc>
          <w:tcPr>
            <w:tcW w:w="801" w:type="pct"/>
            <w:shd w:val="clear" w:color="auto" w:fill="auto"/>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210</w:t>
            </w:r>
          </w:p>
        </w:tc>
        <w:tc>
          <w:tcPr>
            <w:tcW w:w="699" w:type="pct"/>
            <w:shd w:val="clear" w:color="auto" w:fill="auto"/>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77,46</w:t>
            </w:r>
          </w:p>
        </w:tc>
        <w:tc>
          <w:tcPr>
            <w:tcW w:w="630" w:type="pct"/>
            <w:shd w:val="clear" w:color="auto" w:fill="auto"/>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10.66</w:t>
            </w:r>
          </w:p>
        </w:tc>
        <w:tc>
          <w:tcPr>
            <w:tcW w:w="821" w:type="pct"/>
            <w:shd w:val="clear" w:color="auto" w:fill="auto"/>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Nivelul de zgomot echivalent    Leq</w:t>
            </w:r>
          </w:p>
        </w:tc>
        <w:tc>
          <w:tcPr>
            <w:tcW w:w="814" w:type="pct"/>
            <w:shd w:val="clear" w:color="auto" w:fill="auto"/>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w:t>
            </w:r>
          </w:p>
        </w:tc>
        <w:tc>
          <w:tcPr>
            <w:tcW w:w="682" w:type="pct"/>
            <w:shd w:val="clear" w:color="auto" w:fill="auto"/>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w:t>
            </w:r>
          </w:p>
        </w:tc>
      </w:tr>
    </w:tbl>
    <w:p w:rsidR="00B95695" w:rsidRPr="00315335" w:rsidRDefault="00B95695" w:rsidP="00B95695">
      <w:pPr>
        <w:autoSpaceDE w:val="0"/>
        <w:autoSpaceDN w:val="0"/>
        <w:adjustRightInd w:val="0"/>
        <w:spacing w:after="0" w:line="240" w:lineRule="auto"/>
        <w:ind w:firstLine="708"/>
        <w:jc w:val="both"/>
        <w:rPr>
          <w:rFonts w:ascii="Arial" w:eastAsia="Calibri" w:hAnsi="Arial" w:cs="Arial"/>
          <w:sz w:val="24"/>
          <w:szCs w:val="24"/>
        </w:rPr>
      </w:pPr>
    </w:p>
    <w:p w:rsidR="00B95695" w:rsidRPr="00315335" w:rsidRDefault="00B95695" w:rsidP="00B95695">
      <w:pPr>
        <w:autoSpaceDE w:val="0"/>
        <w:autoSpaceDN w:val="0"/>
        <w:adjustRightInd w:val="0"/>
        <w:spacing w:after="0" w:line="240" w:lineRule="auto"/>
        <w:ind w:firstLine="708"/>
        <w:jc w:val="both"/>
        <w:rPr>
          <w:rFonts w:ascii="Arial" w:eastAsia="Calibri" w:hAnsi="Arial" w:cs="Arial"/>
          <w:sz w:val="24"/>
          <w:szCs w:val="24"/>
        </w:rPr>
      </w:pPr>
      <w:r w:rsidRPr="00315335">
        <w:rPr>
          <w:rFonts w:ascii="Arial" w:eastAsia="Calibri" w:hAnsi="Arial" w:cs="Arial"/>
          <w:sz w:val="24"/>
          <w:szCs w:val="24"/>
        </w:rPr>
        <w:t>Măsurările efectuate au surprins valori momentane ale zgomotului la ore  diferite ale zilei. Valorile măsurate au fost comparate cu valorile admisibile ale nivelului de zgomot exterior pe străzi, funcţie de categoria tehnică a străzilor şi la limita zonelor funcţionale din mediul urban specificate de STAS 10009 / martie 2017 Acustica urbană "Limitele admisibile ale nivelului de zgomot din mediul ambiant".</w:t>
      </w:r>
    </w:p>
    <w:p w:rsidR="00B95695" w:rsidRPr="00315335" w:rsidRDefault="00B95695" w:rsidP="00B95695">
      <w:pPr>
        <w:spacing w:after="0" w:line="240" w:lineRule="auto"/>
        <w:jc w:val="both"/>
        <w:rPr>
          <w:rFonts w:ascii="Arial" w:eastAsia="Calibri" w:hAnsi="Arial" w:cs="Arial"/>
          <w:sz w:val="24"/>
          <w:szCs w:val="24"/>
        </w:rPr>
      </w:pPr>
      <w:r w:rsidRPr="00315335">
        <w:rPr>
          <w:rFonts w:ascii="Arial" w:eastAsia="Calibri" w:hAnsi="Arial" w:cs="Arial"/>
          <w:sz w:val="24"/>
          <w:szCs w:val="24"/>
        </w:rPr>
        <w:tab/>
        <w:t xml:space="preserve">În tabelul următor sunt prezentate mediile determinărilor nivelului de zgomot echivalent, depăşirile şi valoarea maximă, din perioada 2014 – 2018. </w:t>
      </w:r>
    </w:p>
    <w:p w:rsidR="00B95695" w:rsidRPr="00315335" w:rsidRDefault="00B95695" w:rsidP="00B95695">
      <w:pPr>
        <w:spacing w:after="0" w:line="240" w:lineRule="auto"/>
        <w:jc w:val="both"/>
        <w:rPr>
          <w:rFonts w:ascii="Arial" w:eastAsia="Calibri" w:hAnsi="Arial" w:cs="Arial"/>
          <w:sz w:val="24"/>
          <w:szCs w:val="24"/>
        </w:rPr>
      </w:pPr>
    </w:p>
    <w:p w:rsidR="00B95695" w:rsidRPr="00315335" w:rsidRDefault="00B95695" w:rsidP="00B95695">
      <w:pPr>
        <w:spacing w:after="0" w:line="240" w:lineRule="auto"/>
        <w:jc w:val="both"/>
        <w:rPr>
          <w:rFonts w:ascii="Arial" w:eastAsia="Calibri" w:hAnsi="Arial" w:cs="Arial"/>
          <w:b/>
          <w:sz w:val="24"/>
          <w:szCs w:val="24"/>
        </w:rPr>
      </w:pPr>
      <w:r w:rsidRPr="00315335">
        <w:rPr>
          <w:rFonts w:ascii="Arial" w:eastAsia="Calibri" w:hAnsi="Arial" w:cs="Arial"/>
          <w:b/>
          <w:sz w:val="24"/>
          <w:szCs w:val="24"/>
        </w:rPr>
        <w:t>Tabelul VII</w:t>
      </w:r>
      <w:r w:rsidRPr="00315335">
        <w:rPr>
          <w:rFonts w:ascii="Arial" w:eastAsia="Calibri" w:hAnsi="Arial" w:cs="Arial"/>
          <w:b/>
          <w:bCs/>
          <w:sz w:val="24"/>
          <w:szCs w:val="24"/>
        </w:rPr>
        <w:t>I.1.2.1.3.</w:t>
      </w:r>
      <w:r w:rsidRPr="00315335">
        <w:rPr>
          <w:rFonts w:ascii="Arial" w:eastAsia="Calibri" w:hAnsi="Arial" w:cs="Arial"/>
          <w:b/>
          <w:sz w:val="24"/>
          <w:szCs w:val="24"/>
        </w:rPr>
        <w:t>Medii anuale ale nivelului de zgomot echivalent pentru anii 2014-2018</w:t>
      </w:r>
    </w:p>
    <w:p w:rsidR="00B95695" w:rsidRPr="00315335" w:rsidRDefault="00B95695" w:rsidP="00B95695">
      <w:pPr>
        <w:spacing w:after="0" w:line="240" w:lineRule="auto"/>
        <w:jc w:val="both"/>
        <w:rPr>
          <w:rFonts w:ascii="Arial" w:eastAsia="Calibri" w:hAnsi="Arial" w:cs="Arial"/>
          <w:b/>
          <w:sz w:val="24"/>
          <w:szCs w:val="24"/>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7"/>
        <w:gridCol w:w="850"/>
        <w:gridCol w:w="851"/>
        <w:gridCol w:w="992"/>
        <w:gridCol w:w="1134"/>
        <w:gridCol w:w="1134"/>
        <w:gridCol w:w="1134"/>
      </w:tblGrid>
      <w:tr w:rsidR="00B95695" w:rsidRPr="00315335" w:rsidTr="00631723">
        <w:trPr>
          <w:jc w:val="center"/>
        </w:trPr>
        <w:tc>
          <w:tcPr>
            <w:tcW w:w="3167" w:type="dxa"/>
            <w:shd w:val="clear" w:color="auto" w:fill="E0E0E0"/>
            <w:vAlign w:val="center"/>
          </w:tcPr>
          <w:p w:rsidR="00B95695" w:rsidRPr="00315335" w:rsidRDefault="00B95695" w:rsidP="00631723">
            <w:pPr>
              <w:tabs>
                <w:tab w:val="center" w:pos="4536"/>
                <w:tab w:val="right" w:pos="9072"/>
              </w:tabs>
              <w:spacing w:after="0" w:line="240" w:lineRule="auto"/>
              <w:jc w:val="both"/>
              <w:rPr>
                <w:rFonts w:ascii="Arial" w:eastAsia="Calibri" w:hAnsi="Arial" w:cs="Arial"/>
                <w:b/>
                <w:sz w:val="24"/>
                <w:szCs w:val="24"/>
              </w:rPr>
            </w:pPr>
            <w:r w:rsidRPr="00315335">
              <w:rPr>
                <w:rFonts w:ascii="Arial" w:eastAsia="Calibri" w:hAnsi="Arial" w:cs="Arial"/>
                <w:b/>
                <w:sz w:val="24"/>
                <w:szCs w:val="24"/>
              </w:rPr>
              <w:t>Tip măsurătoare</w:t>
            </w:r>
          </w:p>
        </w:tc>
        <w:tc>
          <w:tcPr>
            <w:tcW w:w="850" w:type="dxa"/>
            <w:shd w:val="clear" w:color="auto" w:fill="E0E0E0"/>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Med.</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2014</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(dB)</w:t>
            </w:r>
          </w:p>
        </w:tc>
        <w:tc>
          <w:tcPr>
            <w:tcW w:w="851" w:type="dxa"/>
            <w:shd w:val="clear" w:color="auto" w:fill="E0E0E0"/>
          </w:tcPr>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Med.</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2015</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(dB)</w:t>
            </w:r>
          </w:p>
        </w:tc>
        <w:tc>
          <w:tcPr>
            <w:tcW w:w="992" w:type="dxa"/>
            <w:shd w:val="clear" w:color="auto" w:fill="E0E0E0"/>
          </w:tcPr>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Med.</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2016</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(dB)</w:t>
            </w:r>
          </w:p>
        </w:tc>
        <w:tc>
          <w:tcPr>
            <w:tcW w:w="1134" w:type="dxa"/>
            <w:shd w:val="clear" w:color="auto" w:fill="E0E0E0"/>
          </w:tcPr>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Med.</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2017</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(dB)</w:t>
            </w:r>
          </w:p>
        </w:tc>
        <w:tc>
          <w:tcPr>
            <w:tcW w:w="1134" w:type="dxa"/>
            <w:shd w:val="clear" w:color="auto" w:fill="E0E0E0"/>
          </w:tcPr>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Med.</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2018</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(dB)</w:t>
            </w:r>
          </w:p>
        </w:tc>
        <w:tc>
          <w:tcPr>
            <w:tcW w:w="1134" w:type="dxa"/>
            <w:shd w:val="clear" w:color="auto" w:fill="E0E0E0"/>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Limita admisă</w:t>
            </w:r>
          </w:p>
          <w:p w:rsidR="00B95695" w:rsidRPr="00315335" w:rsidRDefault="00B95695" w:rsidP="00631723">
            <w:pPr>
              <w:tabs>
                <w:tab w:val="center" w:pos="4536"/>
                <w:tab w:val="right" w:pos="9072"/>
              </w:tabs>
              <w:spacing w:after="0" w:line="240" w:lineRule="auto"/>
              <w:jc w:val="center"/>
              <w:rPr>
                <w:rFonts w:ascii="Arial" w:eastAsia="Calibri" w:hAnsi="Arial" w:cs="Arial"/>
                <w:b/>
                <w:sz w:val="24"/>
                <w:szCs w:val="24"/>
              </w:rPr>
            </w:pPr>
            <w:r w:rsidRPr="00315335">
              <w:rPr>
                <w:rFonts w:ascii="Arial" w:eastAsia="Calibri" w:hAnsi="Arial" w:cs="Arial"/>
                <w:b/>
                <w:sz w:val="24"/>
                <w:szCs w:val="24"/>
              </w:rPr>
              <w:t>(dB)</w:t>
            </w:r>
          </w:p>
        </w:tc>
      </w:tr>
      <w:tr w:rsidR="00B95695" w:rsidRPr="00315335" w:rsidTr="00631723">
        <w:trPr>
          <w:jc w:val="center"/>
        </w:trPr>
        <w:tc>
          <w:tcPr>
            <w:tcW w:w="3167" w:type="dxa"/>
          </w:tcPr>
          <w:p w:rsidR="00B95695" w:rsidRPr="00315335" w:rsidRDefault="00B95695" w:rsidP="00631723">
            <w:pPr>
              <w:spacing w:after="0" w:line="240" w:lineRule="auto"/>
              <w:jc w:val="both"/>
              <w:rPr>
                <w:rFonts w:ascii="Arial" w:eastAsia="Calibri" w:hAnsi="Arial" w:cs="Arial"/>
                <w:sz w:val="24"/>
                <w:szCs w:val="24"/>
              </w:rPr>
            </w:pPr>
            <w:r w:rsidRPr="00315335">
              <w:rPr>
                <w:rFonts w:ascii="Arial" w:eastAsia="Calibri" w:hAnsi="Arial" w:cs="Arial"/>
                <w:sz w:val="24"/>
                <w:szCs w:val="24"/>
              </w:rPr>
              <w:t xml:space="preserve">Pieţe, spaţii comerciale, restaurante în aer liber </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64,2</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62,3</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60,9</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55,2</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56,6</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65</w:t>
            </w:r>
          </w:p>
        </w:tc>
      </w:tr>
      <w:tr w:rsidR="00B95695" w:rsidRPr="00315335" w:rsidTr="00631723">
        <w:trPr>
          <w:jc w:val="center"/>
        </w:trPr>
        <w:tc>
          <w:tcPr>
            <w:tcW w:w="3167" w:type="dxa"/>
          </w:tcPr>
          <w:p w:rsidR="00B95695" w:rsidRPr="00315335" w:rsidRDefault="00B95695" w:rsidP="00631723">
            <w:pPr>
              <w:spacing w:after="0" w:line="240" w:lineRule="auto"/>
              <w:jc w:val="both"/>
              <w:rPr>
                <w:rFonts w:ascii="Arial" w:eastAsia="Calibri" w:hAnsi="Arial" w:cs="Arial"/>
                <w:sz w:val="24"/>
                <w:szCs w:val="24"/>
              </w:rPr>
            </w:pPr>
            <w:r w:rsidRPr="00315335">
              <w:rPr>
                <w:rFonts w:ascii="Arial" w:eastAsia="Calibri" w:hAnsi="Arial" w:cs="Arial"/>
                <w:sz w:val="24"/>
                <w:szCs w:val="24"/>
              </w:rPr>
              <w:t>Incinte de şcoli, spaţii de joacă pentru copii</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63,7</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61,4</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60,8</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59,0</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58,3</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75</w:t>
            </w:r>
          </w:p>
        </w:tc>
      </w:tr>
      <w:tr w:rsidR="00B95695" w:rsidRPr="00315335" w:rsidTr="00631723">
        <w:trPr>
          <w:jc w:val="center"/>
        </w:trPr>
        <w:tc>
          <w:tcPr>
            <w:tcW w:w="3167" w:type="dxa"/>
          </w:tcPr>
          <w:p w:rsidR="00B95695" w:rsidRPr="00315335" w:rsidRDefault="00B95695" w:rsidP="00631723">
            <w:pPr>
              <w:spacing w:after="0" w:line="240" w:lineRule="auto"/>
              <w:jc w:val="both"/>
              <w:rPr>
                <w:rFonts w:ascii="Arial" w:eastAsia="Calibri" w:hAnsi="Arial" w:cs="Arial"/>
                <w:sz w:val="24"/>
                <w:szCs w:val="24"/>
              </w:rPr>
            </w:pPr>
            <w:r w:rsidRPr="00315335">
              <w:rPr>
                <w:rFonts w:ascii="Arial" w:eastAsia="Calibri" w:hAnsi="Arial" w:cs="Arial"/>
                <w:sz w:val="24"/>
                <w:szCs w:val="24"/>
              </w:rPr>
              <w:t xml:space="preserve">Parcuri, zone de recreere şi odihnă </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54,7</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55,3</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54,4</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53,8</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52,9</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45</w:t>
            </w:r>
          </w:p>
        </w:tc>
      </w:tr>
      <w:tr w:rsidR="00B95695" w:rsidRPr="00315335" w:rsidTr="00631723">
        <w:trPr>
          <w:jc w:val="center"/>
        </w:trPr>
        <w:tc>
          <w:tcPr>
            <w:tcW w:w="3167" w:type="dxa"/>
          </w:tcPr>
          <w:p w:rsidR="00B95695" w:rsidRPr="00315335" w:rsidRDefault="00B95695" w:rsidP="00631723">
            <w:pPr>
              <w:spacing w:after="0" w:line="240" w:lineRule="auto"/>
              <w:jc w:val="both"/>
              <w:rPr>
                <w:rFonts w:ascii="Arial" w:eastAsia="Calibri" w:hAnsi="Arial" w:cs="Arial"/>
                <w:sz w:val="24"/>
                <w:szCs w:val="24"/>
              </w:rPr>
            </w:pPr>
            <w:r w:rsidRPr="00315335">
              <w:rPr>
                <w:rFonts w:ascii="Arial" w:eastAsia="Calibri" w:hAnsi="Arial" w:cs="Arial"/>
                <w:sz w:val="24"/>
                <w:szCs w:val="24"/>
              </w:rPr>
              <w:t>Incinta industrială</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59,7</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58,5</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55,2</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56,2</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57,3</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65</w:t>
            </w:r>
          </w:p>
        </w:tc>
      </w:tr>
      <w:tr w:rsidR="00B95695" w:rsidRPr="00315335" w:rsidTr="00631723">
        <w:trPr>
          <w:jc w:val="center"/>
        </w:trPr>
        <w:tc>
          <w:tcPr>
            <w:tcW w:w="3167" w:type="dxa"/>
          </w:tcPr>
          <w:p w:rsidR="00B95695" w:rsidRPr="00315335" w:rsidRDefault="00B95695" w:rsidP="00631723">
            <w:pPr>
              <w:spacing w:after="0" w:line="240" w:lineRule="auto"/>
              <w:jc w:val="both"/>
              <w:rPr>
                <w:rFonts w:ascii="Arial" w:eastAsia="Calibri" w:hAnsi="Arial" w:cs="Arial"/>
                <w:sz w:val="24"/>
                <w:szCs w:val="24"/>
              </w:rPr>
            </w:pPr>
            <w:r w:rsidRPr="00315335">
              <w:rPr>
                <w:rFonts w:ascii="Arial" w:eastAsia="Calibri" w:hAnsi="Arial" w:cs="Arial"/>
                <w:sz w:val="24"/>
                <w:szCs w:val="24"/>
              </w:rPr>
              <w:t>Parcaje auto</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60,1</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61,8</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58,9</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57,7</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58,1</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70</w:t>
            </w:r>
          </w:p>
        </w:tc>
      </w:tr>
      <w:tr w:rsidR="00B95695" w:rsidRPr="00315335" w:rsidTr="00631723">
        <w:trPr>
          <w:jc w:val="center"/>
        </w:trPr>
        <w:tc>
          <w:tcPr>
            <w:tcW w:w="3167" w:type="dxa"/>
          </w:tcPr>
          <w:p w:rsidR="00B95695" w:rsidRPr="00315335" w:rsidRDefault="00B95695" w:rsidP="00631723">
            <w:pPr>
              <w:spacing w:after="0" w:line="240" w:lineRule="auto"/>
              <w:jc w:val="both"/>
              <w:rPr>
                <w:rFonts w:ascii="Arial" w:eastAsia="Calibri" w:hAnsi="Arial" w:cs="Arial"/>
                <w:sz w:val="24"/>
                <w:szCs w:val="24"/>
              </w:rPr>
            </w:pPr>
            <w:r w:rsidRPr="00315335">
              <w:rPr>
                <w:rFonts w:ascii="Arial" w:eastAsia="Calibri" w:hAnsi="Arial" w:cs="Arial"/>
                <w:sz w:val="24"/>
                <w:szCs w:val="24"/>
              </w:rPr>
              <w:t>Stradă de categorie tehnică I</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67,6</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68,8</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69,6</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69,0</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67,8</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80</w:t>
            </w:r>
          </w:p>
        </w:tc>
      </w:tr>
      <w:tr w:rsidR="00B95695" w:rsidRPr="00315335" w:rsidTr="00631723">
        <w:trPr>
          <w:jc w:val="center"/>
        </w:trPr>
        <w:tc>
          <w:tcPr>
            <w:tcW w:w="3167" w:type="dxa"/>
          </w:tcPr>
          <w:p w:rsidR="00B95695" w:rsidRPr="00315335" w:rsidRDefault="00B95695" w:rsidP="00631723">
            <w:pPr>
              <w:spacing w:after="0" w:line="240" w:lineRule="auto"/>
              <w:jc w:val="both"/>
              <w:rPr>
                <w:rFonts w:ascii="Arial" w:eastAsia="Calibri" w:hAnsi="Arial" w:cs="Arial"/>
                <w:sz w:val="24"/>
                <w:szCs w:val="24"/>
              </w:rPr>
            </w:pPr>
            <w:r w:rsidRPr="00315335">
              <w:rPr>
                <w:rFonts w:ascii="Arial" w:eastAsia="Calibri" w:hAnsi="Arial" w:cs="Arial"/>
                <w:sz w:val="24"/>
                <w:szCs w:val="24"/>
              </w:rPr>
              <w:t>Stradă de categorie tehnică II</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69,7</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69,6</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67,7</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67,9</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67,3</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70</w:t>
            </w:r>
          </w:p>
        </w:tc>
      </w:tr>
      <w:tr w:rsidR="00B95695" w:rsidRPr="00315335" w:rsidTr="00631723">
        <w:trPr>
          <w:jc w:val="center"/>
        </w:trPr>
        <w:tc>
          <w:tcPr>
            <w:tcW w:w="3167" w:type="dxa"/>
          </w:tcPr>
          <w:p w:rsidR="00B95695" w:rsidRPr="00315335" w:rsidRDefault="00B95695" w:rsidP="00631723">
            <w:pPr>
              <w:spacing w:after="0" w:line="240" w:lineRule="auto"/>
              <w:jc w:val="both"/>
              <w:rPr>
                <w:rFonts w:ascii="Arial" w:eastAsia="Calibri" w:hAnsi="Arial" w:cs="Arial"/>
                <w:sz w:val="24"/>
                <w:szCs w:val="24"/>
              </w:rPr>
            </w:pPr>
            <w:r w:rsidRPr="00315335">
              <w:rPr>
                <w:rFonts w:ascii="Arial" w:eastAsia="Calibri" w:hAnsi="Arial" w:cs="Arial"/>
                <w:sz w:val="24"/>
                <w:szCs w:val="24"/>
              </w:rPr>
              <w:t>Stradă de categorie tehnică III</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64,9</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67,0</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64,3</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61,4</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58,7</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65</w:t>
            </w:r>
          </w:p>
        </w:tc>
      </w:tr>
      <w:tr w:rsidR="00B95695" w:rsidRPr="00315335" w:rsidTr="00631723">
        <w:trPr>
          <w:jc w:val="center"/>
        </w:trPr>
        <w:tc>
          <w:tcPr>
            <w:tcW w:w="3167" w:type="dxa"/>
          </w:tcPr>
          <w:p w:rsidR="00B95695" w:rsidRPr="00315335" w:rsidRDefault="00B95695" w:rsidP="00631723">
            <w:pPr>
              <w:spacing w:after="0" w:line="240" w:lineRule="auto"/>
              <w:jc w:val="both"/>
              <w:rPr>
                <w:rFonts w:ascii="Arial" w:eastAsia="Calibri" w:hAnsi="Arial" w:cs="Arial"/>
                <w:sz w:val="24"/>
                <w:szCs w:val="24"/>
              </w:rPr>
            </w:pPr>
            <w:r w:rsidRPr="00315335">
              <w:rPr>
                <w:rFonts w:ascii="Arial" w:eastAsia="Calibri" w:hAnsi="Arial" w:cs="Arial"/>
                <w:sz w:val="24"/>
                <w:szCs w:val="24"/>
              </w:rPr>
              <w:t>Stradă de categorie tehnică IV</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59,4</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57,2</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56,2</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55,92</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58,2</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60</w:t>
            </w:r>
          </w:p>
        </w:tc>
      </w:tr>
      <w:tr w:rsidR="00B95695" w:rsidRPr="00315335" w:rsidTr="00631723">
        <w:trPr>
          <w:jc w:val="center"/>
        </w:trPr>
        <w:tc>
          <w:tcPr>
            <w:tcW w:w="3167" w:type="dxa"/>
          </w:tcPr>
          <w:p w:rsidR="00B95695" w:rsidRPr="00315335" w:rsidRDefault="00B95695" w:rsidP="00631723">
            <w:pPr>
              <w:tabs>
                <w:tab w:val="center" w:pos="4536"/>
                <w:tab w:val="right" w:pos="9072"/>
              </w:tabs>
              <w:spacing w:after="0" w:line="240" w:lineRule="auto"/>
              <w:jc w:val="both"/>
              <w:rPr>
                <w:rFonts w:ascii="Arial" w:eastAsia="Calibri" w:hAnsi="Arial" w:cs="Arial"/>
                <w:sz w:val="24"/>
                <w:szCs w:val="24"/>
              </w:rPr>
            </w:pPr>
            <w:r w:rsidRPr="00315335">
              <w:rPr>
                <w:rFonts w:ascii="Arial" w:eastAsia="Calibri" w:hAnsi="Arial" w:cs="Arial"/>
                <w:sz w:val="24"/>
                <w:szCs w:val="24"/>
              </w:rPr>
              <w:t>Altele-zone locuibile – zone rezidențiale</w:t>
            </w:r>
          </w:p>
        </w:tc>
        <w:tc>
          <w:tcPr>
            <w:tcW w:w="850"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57,0</w:t>
            </w:r>
          </w:p>
        </w:tc>
        <w:tc>
          <w:tcPr>
            <w:tcW w:w="851"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58,0</w:t>
            </w:r>
          </w:p>
        </w:tc>
        <w:tc>
          <w:tcPr>
            <w:tcW w:w="992" w:type="dxa"/>
            <w:shd w:val="clear" w:color="auto" w:fill="auto"/>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55,7</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54,21</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53,2</w:t>
            </w:r>
          </w:p>
        </w:tc>
        <w:tc>
          <w:tcPr>
            <w:tcW w:w="1134" w:type="dxa"/>
            <w:vAlign w:val="center"/>
          </w:tcPr>
          <w:p w:rsidR="00B95695" w:rsidRPr="00315335" w:rsidRDefault="00B95695" w:rsidP="00631723">
            <w:pPr>
              <w:tabs>
                <w:tab w:val="center" w:pos="4536"/>
                <w:tab w:val="right" w:pos="9072"/>
              </w:tabs>
              <w:spacing w:after="0" w:line="240" w:lineRule="auto"/>
              <w:jc w:val="center"/>
              <w:rPr>
                <w:rFonts w:ascii="Arial" w:eastAsia="Calibri" w:hAnsi="Arial" w:cs="Arial"/>
                <w:sz w:val="24"/>
                <w:szCs w:val="24"/>
              </w:rPr>
            </w:pPr>
            <w:r w:rsidRPr="00315335">
              <w:rPr>
                <w:rFonts w:ascii="Arial" w:eastAsia="Calibri" w:hAnsi="Arial" w:cs="Arial"/>
                <w:sz w:val="24"/>
                <w:szCs w:val="24"/>
              </w:rPr>
              <w:t>50</w:t>
            </w:r>
          </w:p>
        </w:tc>
      </w:tr>
    </w:tbl>
    <w:p w:rsidR="00B95695" w:rsidRPr="00315335" w:rsidRDefault="00B95695" w:rsidP="00B95695">
      <w:pPr>
        <w:spacing w:after="0" w:line="240" w:lineRule="auto"/>
        <w:jc w:val="both"/>
        <w:rPr>
          <w:rFonts w:ascii="Arial" w:eastAsia="Calibri" w:hAnsi="Arial" w:cs="Arial"/>
          <w:sz w:val="24"/>
          <w:szCs w:val="24"/>
        </w:rPr>
      </w:pPr>
    </w:p>
    <w:p w:rsidR="00B95695" w:rsidRPr="00315335" w:rsidRDefault="00B95695" w:rsidP="00B95695">
      <w:pPr>
        <w:spacing w:after="0" w:line="240" w:lineRule="auto"/>
        <w:jc w:val="both"/>
        <w:rPr>
          <w:rFonts w:ascii="Arial" w:eastAsia="Calibri" w:hAnsi="Arial" w:cs="Arial"/>
          <w:sz w:val="24"/>
          <w:szCs w:val="24"/>
        </w:rPr>
      </w:pPr>
      <w:r w:rsidRPr="00315335">
        <w:rPr>
          <w:rFonts w:ascii="Arial" w:eastAsia="Calibri" w:hAnsi="Arial" w:cs="Arial"/>
          <w:sz w:val="24"/>
          <w:szCs w:val="24"/>
        </w:rPr>
        <w:t xml:space="preserve">Analizând datele prezentate în tabelul </w:t>
      </w:r>
      <w:r w:rsidRPr="00315335">
        <w:rPr>
          <w:rFonts w:ascii="Arial" w:eastAsia="Calibri" w:hAnsi="Arial" w:cs="Arial"/>
          <w:bCs/>
          <w:sz w:val="24"/>
          <w:szCs w:val="24"/>
        </w:rPr>
        <w:t>VIII.1.2.1.3.</w:t>
      </w:r>
      <w:r w:rsidRPr="00315335">
        <w:rPr>
          <w:rFonts w:ascii="Arial" w:eastAsia="Calibri" w:hAnsi="Arial" w:cs="Arial"/>
          <w:sz w:val="24"/>
          <w:szCs w:val="24"/>
        </w:rPr>
        <w:t>de mai sus se constată următoarele:</w:t>
      </w:r>
    </w:p>
    <w:p w:rsidR="00B95695" w:rsidRPr="00315335" w:rsidRDefault="00B95695" w:rsidP="00B95695">
      <w:pPr>
        <w:numPr>
          <w:ilvl w:val="0"/>
          <w:numId w:val="23"/>
        </w:numPr>
        <w:spacing w:after="0" w:line="240" w:lineRule="auto"/>
        <w:jc w:val="both"/>
        <w:rPr>
          <w:rFonts w:ascii="Arial" w:eastAsia="Calibri" w:hAnsi="Arial" w:cs="Arial"/>
          <w:sz w:val="24"/>
          <w:szCs w:val="24"/>
        </w:rPr>
      </w:pPr>
      <w:r w:rsidRPr="00315335">
        <w:rPr>
          <w:rFonts w:ascii="Arial" w:eastAsia="Calibri" w:hAnsi="Arial" w:cs="Arial"/>
          <w:sz w:val="24"/>
          <w:szCs w:val="24"/>
        </w:rPr>
        <w:t>La limita exterioară a pieţelor, spaţiilor comerciale şi restaurantelor în aer liber se constată o ușoară creștere a nivelului de zgomot în anul 2014, fără a fi depăşită maxima admisă în toată perioada de raportare;</w:t>
      </w:r>
    </w:p>
    <w:p w:rsidR="00B95695" w:rsidRPr="00315335" w:rsidRDefault="00B95695" w:rsidP="00B95695">
      <w:pPr>
        <w:numPr>
          <w:ilvl w:val="0"/>
          <w:numId w:val="23"/>
        </w:numPr>
        <w:spacing w:after="0" w:line="240" w:lineRule="auto"/>
        <w:jc w:val="both"/>
        <w:rPr>
          <w:rFonts w:ascii="Arial" w:eastAsia="Calibri" w:hAnsi="Arial" w:cs="Arial"/>
          <w:sz w:val="24"/>
          <w:szCs w:val="24"/>
        </w:rPr>
      </w:pPr>
      <w:r w:rsidRPr="00315335">
        <w:rPr>
          <w:rFonts w:ascii="Arial" w:eastAsia="Calibri" w:hAnsi="Arial" w:cs="Arial"/>
          <w:sz w:val="24"/>
          <w:szCs w:val="24"/>
        </w:rPr>
        <w:t>La limita exterioară a incintelor de şcoli, valoarea medie a anului 2018 este în scădere față de anii anteriori, în 2018 fiind înregistrată cea mai mică valoare medie din perioada 2014-2018;</w:t>
      </w:r>
    </w:p>
    <w:p w:rsidR="00B95695" w:rsidRPr="00315335" w:rsidRDefault="00B95695" w:rsidP="00B95695">
      <w:pPr>
        <w:numPr>
          <w:ilvl w:val="0"/>
          <w:numId w:val="23"/>
        </w:numPr>
        <w:spacing w:after="0" w:line="240" w:lineRule="auto"/>
        <w:jc w:val="both"/>
        <w:rPr>
          <w:rFonts w:ascii="Arial" w:eastAsia="Calibri" w:hAnsi="Arial" w:cs="Arial"/>
          <w:sz w:val="24"/>
          <w:szCs w:val="24"/>
        </w:rPr>
      </w:pPr>
      <w:r w:rsidRPr="00315335">
        <w:rPr>
          <w:rFonts w:ascii="Arial" w:eastAsia="Calibri" w:hAnsi="Arial" w:cs="Arial"/>
          <w:sz w:val="24"/>
          <w:szCs w:val="24"/>
        </w:rPr>
        <w:t>Măsurările efectuate la limita exterioară a parcurilor, zonelor de recreere şi tratament medical, arată că nivelul mediu anual al zgomotului se plasează în jurul valorii de 53-54 dB, limita admisibilă a nivelului de zgomot fiind depăşită în toată perioada 2014 - 2018;</w:t>
      </w:r>
    </w:p>
    <w:p w:rsidR="00B95695" w:rsidRPr="00315335" w:rsidRDefault="00B95695" w:rsidP="00B95695">
      <w:pPr>
        <w:numPr>
          <w:ilvl w:val="0"/>
          <w:numId w:val="23"/>
        </w:numPr>
        <w:spacing w:after="0" w:line="240" w:lineRule="auto"/>
        <w:jc w:val="both"/>
        <w:rPr>
          <w:rFonts w:ascii="Arial" w:eastAsia="Calibri" w:hAnsi="Arial" w:cs="Arial"/>
          <w:sz w:val="24"/>
          <w:szCs w:val="24"/>
        </w:rPr>
      </w:pPr>
      <w:r w:rsidRPr="00315335">
        <w:rPr>
          <w:rFonts w:ascii="Arial" w:eastAsia="Calibri" w:hAnsi="Arial" w:cs="Arial"/>
          <w:sz w:val="24"/>
          <w:szCs w:val="24"/>
        </w:rPr>
        <w:t>La exteriorul incintelor industriale, media anuală nu depăşeşte limita admisă, în toată perioada 2014 - 2018;</w:t>
      </w:r>
    </w:p>
    <w:p w:rsidR="00B95695" w:rsidRPr="00315335" w:rsidRDefault="00B95695" w:rsidP="00B95695">
      <w:pPr>
        <w:numPr>
          <w:ilvl w:val="0"/>
          <w:numId w:val="23"/>
        </w:numPr>
        <w:spacing w:after="0" w:line="240" w:lineRule="auto"/>
        <w:jc w:val="both"/>
        <w:rPr>
          <w:rFonts w:ascii="Arial" w:eastAsia="Calibri" w:hAnsi="Arial" w:cs="Arial"/>
          <w:sz w:val="24"/>
          <w:szCs w:val="24"/>
        </w:rPr>
      </w:pPr>
      <w:r w:rsidRPr="00315335">
        <w:rPr>
          <w:rFonts w:ascii="Arial" w:eastAsia="Calibri" w:hAnsi="Arial" w:cs="Arial"/>
          <w:sz w:val="24"/>
          <w:szCs w:val="24"/>
        </w:rPr>
        <w:lastRenderedPageBreak/>
        <w:t>La parcajele auto, media anuală nu depăşeşte limita admisă, în toată perioada 2014 - 2018;</w:t>
      </w:r>
    </w:p>
    <w:p w:rsidR="00B95695" w:rsidRPr="00315335" w:rsidRDefault="00B95695" w:rsidP="00B95695">
      <w:pPr>
        <w:numPr>
          <w:ilvl w:val="0"/>
          <w:numId w:val="23"/>
        </w:numPr>
        <w:spacing w:after="0" w:line="240" w:lineRule="auto"/>
        <w:jc w:val="both"/>
        <w:rPr>
          <w:rFonts w:ascii="Arial" w:eastAsia="Calibri" w:hAnsi="Arial" w:cs="Arial"/>
          <w:sz w:val="24"/>
          <w:szCs w:val="24"/>
        </w:rPr>
      </w:pPr>
      <w:r w:rsidRPr="00315335">
        <w:rPr>
          <w:rFonts w:ascii="Arial" w:eastAsia="Calibri" w:hAnsi="Arial" w:cs="Arial"/>
          <w:sz w:val="24"/>
          <w:szCs w:val="24"/>
        </w:rPr>
        <w:t>În cazul străzilor de categorie tehnică I valorile medii anuale se menţin sub limita maximă admisă, iar media anului 2018 este în scădere față de anul 2017;</w:t>
      </w:r>
    </w:p>
    <w:p w:rsidR="00B95695" w:rsidRPr="00315335" w:rsidRDefault="00B95695" w:rsidP="00B95695">
      <w:pPr>
        <w:numPr>
          <w:ilvl w:val="0"/>
          <w:numId w:val="23"/>
        </w:numPr>
        <w:spacing w:after="0" w:line="240" w:lineRule="auto"/>
        <w:jc w:val="both"/>
        <w:rPr>
          <w:rFonts w:ascii="Arial" w:eastAsia="Calibri" w:hAnsi="Arial" w:cs="Arial"/>
          <w:sz w:val="24"/>
          <w:szCs w:val="24"/>
        </w:rPr>
      </w:pPr>
      <w:r w:rsidRPr="00315335">
        <w:rPr>
          <w:rFonts w:ascii="Arial" w:eastAsia="Calibri" w:hAnsi="Arial" w:cs="Arial"/>
          <w:sz w:val="24"/>
          <w:szCs w:val="24"/>
        </w:rPr>
        <w:t>La limita străzilor de categorie tehnică II, se înregistrează în anul 2018, o relativă menţinere a nivelului de zgomot la nivelul anului 2017;</w:t>
      </w:r>
    </w:p>
    <w:p w:rsidR="00B95695" w:rsidRPr="00315335" w:rsidRDefault="00B95695" w:rsidP="00B95695">
      <w:pPr>
        <w:numPr>
          <w:ilvl w:val="0"/>
          <w:numId w:val="23"/>
        </w:numPr>
        <w:spacing w:after="0" w:line="240" w:lineRule="auto"/>
        <w:jc w:val="both"/>
        <w:rPr>
          <w:rFonts w:ascii="Arial" w:eastAsia="Calibri" w:hAnsi="Arial" w:cs="Arial"/>
          <w:sz w:val="24"/>
          <w:szCs w:val="24"/>
        </w:rPr>
      </w:pPr>
      <w:r w:rsidRPr="00315335">
        <w:rPr>
          <w:rFonts w:ascii="Arial" w:eastAsia="Calibri" w:hAnsi="Arial" w:cs="Arial"/>
          <w:sz w:val="24"/>
          <w:szCs w:val="24"/>
        </w:rPr>
        <w:t>Pe străzile de categorie tehnică III, nivelul de zgomot scade în anul 2018 când se înregistrează cea mai mică valoare medie din perioada 2014 - 2018;</w:t>
      </w:r>
    </w:p>
    <w:p w:rsidR="00B95695" w:rsidRPr="00315335" w:rsidRDefault="00B95695" w:rsidP="00B95695">
      <w:pPr>
        <w:numPr>
          <w:ilvl w:val="0"/>
          <w:numId w:val="23"/>
        </w:numPr>
        <w:spacing w:after="0" w:line="240" w:lineRule="auto"/>
        <w:jc w:val="both"/>
        <w:rPr>
          <w:rFonts w:ascii="Arial" w:eastAsia="Calibri" w:hAnsi="Arial" w:cs="Arial"/>
          <w:sz w:val="24"/>
          <w:szCs w:val="24"/>
        </w:rPr>
      </w:pPr>
      <w:r w:rsidRPr="00315335">
        <w:rPr>
          <w:rFonts w:ascii="Arial" w:eastAsia="Calibri" w:hAnsi="Arial" w:cs="Arial"/>
          <w:sz w:val="24"/>
          <w:szCs w:val="24"/>
        </w:rPr>
        <w:t>Pe străzile de categorie tehnică IV, valorile nivelului de zgomot echivalent prezintă creștere în anul 2018 fără a fi depăşită limita admisă de 60 dB;</w:t>
      </w:r>
    </w:p>
    <w:p w:rsidR="00B95695" w:rsidRPr="00315335" w:rsidRDefault="00B95695" w:rsidP="00B95695">
      <w:pPr>
        <w:numPr>
          <w:ilvl w:val="0"/>
          <w:numId w:val="23"/>
        </w:numPr>
        <w:spacing w:after="0" w:line="240" w:lineRule="auto"/>
        <w:ind w:left="709" w:hanging="283"/>
        <w:jc w:val="both"/>
        <w:rPr>
          <w:rFonts w:ascii="Arial" w:eastAsia="Calibri" w:hAnsi="Arial" w:cs="Arial"/>
          <w:b/>
          <w:bCs/>
          <w:sz w:val="24"/>
          <w:szCs w:val="24"/>
        </w:rPr>
      </w:pPr>
      <w:r w:rsidRPr="00315335">
        <w:rPr>
          <w:rFonts w:ascii="Arial" w:eastAsia="Calibri" w:hAnsi="Arial" w:cs="Arial"/>
          <w:sz w:val="24"/>
          <w:szCs w:val="24"/>
        </w:rPr>
        <w:t>În zonele rezidenţiale expertizate, se constată o scădere a valorilor nivelului de zgomot exterior în anul 2018 față de anii anteriori, cu precizarea că în toată perioada 2014 - 2018 valorile medii anuale depăşesc limita admisibilă de 50 dB.</w:t>
      </w:r>
    </w:p>
    <w:p w:rsidR="00B95695" w:rsidRPr="00315335" w:rsidRDefault="00B95695" w:rsidP="00B95695">
      <w:pPr>
        <w:spacing w:after="0" w:line="240" w:lineRule="auto"/>
        <w:ind w:firstLine="425"/>
        <w:jc w:val="both"/>
        <w:rPr>
          <w:rFonts w:ascii="Arial" w:eastAsia="Calibri" w:hAnsi="Arial" w:cs="Arial"/>
          <w:sz w:val="24"/>
          <w:szCs w:val="24"/>
        </w:rPr>
      </w:pPr>
    </w:p>
    <w:p w:rsidR="00B95695" w:rsidRPr="00315335" w:rsidRDefault="00B95695" w:rsidP="00B95695">
      <w:pPr>
        <w:spacing w:after="0" w:line="240" w:lineRule="auto"/>
        <w:ind w:firstLine="425"/>
        <w:jc w:val="both"/>
        <w:rPr>
          <w:rFonts w:ascii="Arial" w:eastAsia="Calibri" w:hAnsi="Arial" w:cs="Arial"/>
          <w:bCs/>
          <w:sz w:val="24"/>
          <w:szCs w:val="24"/>
        </w:rPr>
      </w:pPr>
      <w:r w:rsidRPr="00315335">
        <w:rPr>
          <w:rFonts w:ascii="Arial" w:eastAsia="Calibri" w:hAnsi="Arial" w:cs="Arial"/>
          <w:sz w:val="24"/>
          <w:szCs w:val="24"/>
        </w:rPr>
        <w:t xml:space="preserve">În figura </w:t>
      </w:r>
      <w:r w:rsidRPr="00315335">
        <w:rPr>
          <w:rFonts w:ascii="Arial" w:eastAsia="Calibri" w:hAnsi="Arial" w:cs="Arial"/>
          <w:bCs/>
          <w:sz w:val="24"/>
          <w:szCs w:val="24"/>
        </w:rPr>
        <w:t>VIII.1.2.1.1 este prezentată la nivelul județului Brăila, evoluția nivelului de zgomot echivalent în ultimii 5 ani, pentru „Parcuri, zone de recreere şi de odihnă”.</w:t>
      </w:r>
    </w:p>
    <w:p w:rsidR="00B95695" w:rsidRPr="00315335" w:rsidRDefault="00B95695" w:rsidP="00B95695">
      <w:pPr>
        <w:spacing w:after="0" w:line="240" w:lineRule="auto"/>
        <w:ind w:firstLine="425"/>
        <w:jc w:val="both"/>
        <w:rPr>
          <w:rFonts w:ascii="Arial" w:eastAsia="Calibri" w:hAnsi="Arial" w:cs="Arial"/>
          <w:bCs/>
          <w:sz w:val="24"/>
          <w:szCs w:val="24"/>
        </w:rPr>
      </w:pPr>
    </w:p>
    <w:p w:rsidR="00B95695" w:rsidRPr="00315335" w:rsidRDefault="00B95695" w:rsidP="00B95695">
      <w:pPr>
        <w:tabs>
          <w:tab w:val="left" w:pos="945"/>
        </w:tabs>
        <w:spacing w:after="0" w:line="240" w:lineRule="auto"/>
        <w:jc w:val="center"/>
        <w:rPr>
          <w:rFonts w:ascii="Arial" w:eastAsia="Calibri" w:hAnsi="Arial" w:cs="Arial"/>
          <w:sz w:val="24"/>
          <w:szCs w:val="24"/>
        </w:rPr>
      </w:pPr>
      <w:r w:rsidRPr="00315335">
        <w:rPr>
          <w:rFonts w:ascii="Arial" w:eastAsia="Calibri" w:hAnsi="Arial" w:cs="Arial"/>
          <w:noProof/>
          <w:sz w:val="24"/>
          <w:szCs w:val="24"/>
        </w:rPr>
        <w:drawing>
          <wp:inline distT="0" distB="0" distL="0" distR="0" wp14:anchorId="4A4BDFAC" wp14:editId="5BD09D8D">
            <wp:extent cx="4800600" cy="2133600"/>
            <wp:effectExtent l="19050" t="0" r="19050" b="0"/>
            <wp:docPr id="8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B95695" w:rsidRPr="00315335" w:rsidRDefault="00B95695" w:rsidP="00B95695">
      <w:pPr>
        <w:spacing w:after="0" w:line="240" w:lineRule="auto"/>
        <w:ind w:left="2832" w:firstLine="708"/>
        <w:jc w:val="both"/>
        <w:rPr>
          <w:rFonts w:ascii="Arial" w:eastAsia="Calibri" w:hAnsi="Arial" w:cs="Arial"/>
          <w:bCs/>
          <w:sz w:val="24"/>
          <w:szCs w:val="24"/>
        </w:rPr>
      </w:pPr>
      <w:r w:rsidRPr="00315335">
        <w:rPr>
          <w:rFonts w:ascii="Arial" w:eastAsia="Calibri" w:hAnsi="Arial" w:cs="Arial"/>
          <w:sz w:val="24"/>
          <w:szCs w:val="24"/>
        </w:rPr>
        <w:t xml:space="preserve">Figura </w:t>
      </w:r>
      <w:r w:rsidRPr="00315335">
        <w:rPr>
          <w:rFonts w:ascii="Arial" w:eastAsia="Calibri" w:hAnsi="Arial" w:cs="Arial"/>
          <w:bCs/>
          <w:sz w:val="24"/>
          <w:szCs w:val="24"/>
        </w:rPr>
        <w:t xml:space="preserve">VIII.1.2.1.1. </w:t>
      </w:r>
    </w:p>
    <w:p w:rsidR="00B95695" w:rsidRPr="00315335" w:rsidRDefault="00B95695" w:rsidP="00B95695">
      <w:pPr>
        <w:spacing w:after="0" w:line="240" w:lineRule="auto"/>
        <w:ind w:left="2832" w:firstLine="708"/>
        <w:jc w:val="both"/>
        <w:rPr>
          <w:rFonts w:ascii="Arial" w:eastAsia="Calibri" w:hAnsi="Arial" w:cs="Arial"/>
          <w:bCs/>
          <w:sz w:val="24"/>
          <w:szCs w:val="24"/>
        </w:rPr>
      </w:pPr>
    </w:p>
    <w:p w:rsidR="00B95695" w:rsidRPr="00315335" w:rsidRDefault="00B95695" w:rsidP="00B95695">
      <w:pPr>
        <w:jc w:val="both"/>
        <w:rPr>
          <w:rFonts w:ascii="Arial" w:eastAsia="Calibri" w:hAnsi="Arial" w:cs="Arial"/>
          <w:sz w:val="24"/>
          <w:szCs w:val="24"/>
        </w:rPr>
      </w:pPr>
      <w:r w:rsidRPr="00315335">
        <w:rPr>
          <w:rFonts w:ascii="Arial" w:eastAsia="Calibri" w:hAnsi="Arial" w:cs="Arial"/>
          <w:sz w:val="24"/>
          <w:szCs w:val="24"/>
        </w:rPr>
        <w:t xml:space="preserve">Aceste zone sunt mărginite de căi rutiere intens circulate, motiv pentru care valoarea nivelului sonor este ridicată şi sunt înregistrate depăşiri pe întreaga perioadă de referinţă. Se constată totuşi că poluarea sonoră înregistrează scăderi de la an la an. Această evoluţie este consecinţa îmbunătăţirii calităţii căilor de rulare precum şi o consecinţă a creşterii calităţii parcului auto.       </w:t>
      </w:r>
    </w:p>
    <w:p w:rsidR="00B95695" w:rsidRPr="00315335" w:rsidRDefault="00B95695" w:rsidP="00B95695">
      <w:pPr>
        <w:jc w:val="both"/>
        <w:rPr>
          <w:rFonts w:ascii="Arial" w:eastAsia="Calibri" w:hAnsi="Arial" w:cs="Arial"/>
          <w:bCs/>
          <w:sz w:val="24"/>
          <w:szCs w:val="24"/>
        </w:rPr>
      </w:pPr>
      <w:r w:rsidRPr="00315335">
        <w:rPr>
          <w:rFonts w:ascii="Arial" w:eastAsia="Calibri" w:hAnsi="Arial" w:cs="Arial"/>
          <w:sz w:val="24"/>
          <w:szCs w:val="24"/>
        </w:rPr>
        <w:t xml:space="preserve">În figura </w:t>
      </w:r>
      <w:r w:rsidRPr="00315335">
        <w:rPr>
          <w:rFonts w:ascii="Arial" w:eastAsia="Calibri" w:hAnsi="Arial" w:cs="Arial"/>
          <w:bCs/>
          <w:sz w:val="24"/>
          <w:szCs w:val="24"/>
        </w:rPr>
        <w:t xml:space="preserve">VIII.1.2.1.2 este prezentată la nivelul județului Brăila evoluția nivelului de zgomot echivalent </w:t>
      </w:r>
      <w:r w:rsidRPr="00315335">
        <w:rPr>
          <w:rFonts w:ascii="Arial" w:eastAsia="Calibri" w:hAnsi="Arial" w:cs="Arial"/>
          <w:sz w:val="24"/>
          <w:szCs w:val="24"/>
        </w:rPr>
        <w:t xml:space="preserve">măsurat pe străzile magistrale, </w:t>
      </w:r>
      <w:r w:rsidRPr="00315335">
        <w:rPr>
          <w:rFonts w:ascii="Arial" w:eastAsia="Calibri" w:hAnsi="Arial" w:cs="Arial"/>
          <w:bCs/>
          <w:sz w:val="24"/>
          <w:szCs w:val="24"/>
        </w:rPr>
        <w:t>pentru ultimii 5 ani.</w:t>
      </w:r>
    </w:p>
    <w:p w:rsidR="00B95695" w:rsidRPr="00315335" w:rsidRDefault="00B95695" w:rsidP="00B95695">
      <w:pPr>
        <w:spacing w:after="0" w:line="240" w:lineRule="auto"/>
        <w:ind w:firstLine="709"/>
        <w:jc w:val="center"/>
        <w:rPr>
          <w:rFonts w:ascii="Arial" w:eastAsia="Calibri" w:hAnsi="Arial" w:cs="Arial"/>
          <w:sz w:val="24"/>
          <w:szCs w:val="24"/>
        </w:rPr>
      </w:pPr>
      <w:r w:rsidRPr="00315335">
        <w:rPr>
          <w:rFonts w:ascii="Arial" w:eastAsia="Calibri" w:hAnsi="Arial" w:cs="Arial"/>
          <w:noProof/>
          <w:sz w:val="24"/>
          <w:szCs w:val="24"/>
        </w:rPr>
        <w:drawing>
          <wp:inline distT="0" distB="0" distL="0" distR="0" wp14:anchorId="6D3922C8" wp14:editId="43F83676">
            <wp:extent cx="4791075" cy="2133600"/>
            <wp:effectExtent l="0" t="0" r="9525" b="0"/>
            <wp:docPr id="81"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B95695" w:rsidRPr="00315335" w:rsidRDefault="00B95695" w:rsidP="00B95695">
      <w:pPr>
        <w:tabs>
          <w:tab w:val="left" w:pos="1185"/>
        </w:tabs>
        <w:spacing w:after="0" w:line="240" w:lineRule="auto"/>
        <w:jc w:val="both"/>
        <w:rPr>
          <w:rFonts w:ascii="Arial" w:eastAsia="Calibri" w:hAnsi="Arial" w:cs="Arial"/>
          <w:bCs/>
          <w:sz w:val="24"/>
          <w:szCs w:val="24"/>
        </w:rPr>
      </w:pPr>
      <w:r w:rsidRPr="00315335">
        <w:rPr>
          <w:rFonts w:ascii="Arial" w:eastAsia="Calibri" w:hAnsi="Arial" w:cs="Arial"/>
          <w:sz w:val="24"/>
          <w:szCs w:val="24"/>
        </w:rPr>
        <w:t xml:space="preserve">                                                                     Figura</w:t>
      </w:r>
      <w:r w:rsidRPr="00315335">
        <w:rPr>
          <w:rFonts w:ascii="Arial" w:eastAsia="Calibri" w:hAnsi="Arial" w:cs="Arial"/>
          <w:bCs/>
          <w:sz w:val="24"/>
          <w:szCs w:val="24"/>
        </w:rPr>
        <w:t xml:space="preserve"> VIII.1.2.1.2.</w:t>
      </w:r>
    </w:p>
    <w:p w:rsidR="00B95695" w:rsidRPr="00315335" w:rsidRDefault="00B95695" w:rsidP="00B95695">
      <w:pPr>
        <w:spacing w:after="0" w:line="240" w:lineRule="auto"/>
        <w:ind w:firstLine="709"/>
        <w:jc w:val="both"/>
        <w:rPr>
          <w:rFonts w:ascii="Arial" w:eastAsia="Calibri" w:hAnsi="Arial" w:cs="Arial"/>
          <w:sz w:val="24"/>
          <w:szCs w:val="24"/>
        </w:rPr>
      </w:pPr>
    </w:p>
    <w:p w:rsidR="00B95695" w:rsidRPr="00315335" w:rsidRDefault="00B95695" w:rsidP="00B95695">
      <w:pPr>
        <w:spacing w:after="0" w:line="240" w:lineRule="auto"/>
        <w:ind w:firstLine="709"/>
        <w:jc w:val="both"/>
        <w:rPr>
          <w:rFonts w:ascii="Arial" w:eastAsia="Calibri" w:hAnsi="Arial" w:cs="Arial"/>
          <w:bCs/>
          <w:sz w:val="24"/>
          <w:szCs w:val="24"/>
        </w:rPr>
      </w:pPr>
      <w:r w:rsidRPr="00315335">
        <w:rPr>
          <w:rFonts w:ascii="Arial" w:eastAsia="Calibri" w:hAnsi="Arial" w:cs="Arial"/>
          <w:sz w:val="24"/>
          <w:szCs w:val="24"/>
        </w:rPr>
        <w:t xml:space="preserve">Din graficul </w:t>
      </w:r>
      <w:r w:rsidRPr="00315335">
        <w:rPr>
          <w:rFonts w:ascii="Arial" w:eastAsia="Calibri" w:hAnsi="Arial" w:cs="Arial"/>
          <w:bCs/>
          <w:sz w:val="24"/>
          <w:szCs w:val="24"/>
        </w:rPr>
        <w:t xml:space="preserve">VIII.1.2.1.2. referitor la zgomotul echivalent înregistrat pe străzile magistrale, limita admisă nu este depășită. </w:t>
      </w:r>
    </w:p>
    <w:p w:rsidR="00B95695" w:rsidRPr="00315335" w:rsidRDefault="00B95695" w:rsidP="00B95695">
      <w:pPr>
        <w:spacing w:after="0" w:line="240" w:lineRule="auto"/>
        <w:ind w:firstLine="709"/>
        <w:jc w:val="both"/>
        <w:rPr>
          <w:rFonts w:ascii="Arial" w:eastAsia="Calibri" w:hAnsi="Arial" w:cs="Arial"/>
          <w:b/>
          <w:bCs/>
          <w:sz w:val="24"/>
          <w:szCs w:val="24"/>
        </w:rPr>
      </w:pPr>
    </w:p>
    <w:p w:rsidR="00B95695" w:rsidRPr="00315335" w:rsidRDefault="00B95695" w:rsidP="00B95695">
      <w:pPr>
        <w:spacing w:after="0" w:line="240" w:lineRule="auto"/>
        <w:ind w:firstLine="709"/>
        <w:jc w:val="both"/>
        <w:rPr>
          <w:rFonts w:ascii="Arial" w:eastAsia="Calibri" w:hAnsi="Arial" w:cs="Arial"/>
          <w:bCs/>
          <w:sz w:val="24"/>
          <w:szCs w:val="24"/>
        </w:rPr>
      </w:pPr>
      <w:r w:rsidRPr="00315335">
        <w:rPr>
          <w:rFonts w:ascii="Arial" w:eastAsia="Calibri" w:hAnsi="Arial" w:cs="Arial"/>
          <w:sz w:val="24"/>
          <w:szCs w:val="24"/>
        </w:rPr>
        <w:lastRenderedPageBreak/>
        <w:t xml:space="preserve">În figura </w:t>
      </w:r>
      <w:r w:rsidRPr="00315335">
        <w:rPr>
          <w:rFonts w:ascii="Arial" w:eastAsia="Calibri" w:hAnsi="Arial" w:cs="Arial"/>
          <w:bCs/>
          <w:sz w:val="24"/>
          <w:szCs w:val="24"/>
        </w:rPr>
        <w:t xml:space="preserve">VIII.1.2.1.3 este prezentată evoluția nivelului de zgomot echivalent </w:t>
      </w:r>
      <w:r w:rsidRPr="00315335">
        <w:rPr>
          <w:rFonts w:ascii="Arial" w:eastAsia="Calibri" w:hAnsi="Arial" w:cs="Arial"/>
          <w:sz w:val="24"/>
          <w:szCs w:val="24"/>
        </w:rPr>
        <w:t xml:space="preserve">măsurat pentru Piețe, spații comerciale, restaurante în aer liber, </w:t>
      </w:r>
      <w:r w:rsidRPr="00315335">
        <w:rPr>
          <w:rFonts w:ascii="Arial" w:eastAsia="Calibri" w:hAnsi="Arial" w:cs="Arial"/>
          <w:bCs/>
          <w:sz w:val="24"/>
          <w:szCs w:val="24"/>
        </w:rPr>
        <w:t>pentru ultimii 5 ani.</w:t>
      </w:r>
    </w:p>
    <w:p w:rsidR="00B95695" w:rsidRPr="00315335" w:rsidRDefault="00B95695" w:rsidP="00B95695">
      <w:pPr>
        <w:spacing w:after="0" w:line="240" w:lineRule="auto"/>
        <w:ind w:firstLine="709"/>
        <w:jc w:val="both"/>
        <w:rPr>
          <w:rFonts w:ascii="Arial" w:eastAsia="Calibri" w:hAnsi="Arial" w:cs="Arial"/>
          <w:bCs/>
          <w:sz w:val="24"/>
          <w:szCs w:val="24"/>
        </w:rPr>
      </w:pPr>
    </w:p>
    <w:p w:rsidR="00B95695" w:rsidRPr="00315335" w:rsidRDefault="00B95695" w:rsidP="00B95695">
      <w:pPr>
        <w:spacing w:after="0" w:line="240" w:lineRule="auto"/>
        <w:ind w:firstLine="709"/>
        <w:jc w:val="center"/>
        <w:rPr>
          <w:rFonts w:ascii="Arial" w:eastAsia="Calibri" w:hAnsi="Arial" w:cs="Arial"/>
          <w:b/>
          <w:bCs/>
          <w:sz w:val="24"/>
          <w:szCs w:val="24"/>
        </w:rPr>
      </w:pPr>
      <w:r w:rsidRPr="00315335">
        <w:rPr>
          <w:rFonts w:ascii="Arial" w:eastAsia="Calibri" w:hAnsi="Arial" w:cs="Arial"/>
          <w:b/>
          <w:noProof/>
          <w:sz w:val="24"/>
          <w:szCs w:val="24"/>
        </w:rPr>
        <w:drawing>
          <wp:inline distT="0" distB="0" distL="0" distR="0" wp14:anchorId="244E249C" wp14:editId="64DF430C">
            <wp:extent cx="4848225" cy="2733675"/>
            <wp:effectExtent l="0" t="0" r="0" b="0"/>
            <wp:docPr id="82"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B95695" w:rsidRPr="00315335" w:rsidRDefault="00B95695" w:rsidP="00B95695">
      <w:pPr>
        <w:tabs>
          <w:tab w:val="left" w:pos="1185"/>
        </w:tabs>
        <w:spacing w:after="0" w:line="240" w:lineRule="auto"/>
        <w:jc w:val="both"/>
        <w:rPr>
          <w:rFonts w:ascii="Arial" w:eastAsia="Calibri" w:hAnsi="Arial" w:cs="Arial"/>
          <w:bCs/>
          <w:sz w:val="24"/>
          <w:szCs w:val="24"/>
        </w:rPr>
      </w:pPr>
      <w:r w:rsidRPr="00315335">
        <w:rPr>
          <w:rFonts w:ascii="Arial" w:eastAsia="Calibri" w:hAnsi="Arial" w:cs="Arial"/>
          <w:b/>
          <w:sz w:val="24"/>
          <w:szCs w:val="24"/>
        </w:rPr>
        <w:t xml:space="preserve">                                                                    </w:t>
      </w:r>
      <w:r w:rsidRPr="00315335">
        <w:rPr>
          <w:rFonts w:ascii="Arial" w:eastAsia="Calibri" w:hAnsi="Arial" w:cs="Arial"/>
          <w:sz w:val="24"/>
          <w:szCs w:val="24"/>
        </w:rPr>
        <w:t>Figura VII</w:t>
      </w:r>
      <w:r w:rsidRPr="00315335">
        <w:rPr>
          <w:rFonts w:ascii="Arial" w:eastAsia="Calibri" w:hAnsi="Arial" w:cs="Arial"/>
          <w:bCs/>
          <w:sz w:val="24"/>
          <w:szCs w:val="24"/>
        </w:rPr>
        <w:t>I.1.2.1.3.</w:t>
      </w:r>
    </w:p>
    <w:p w:rsidR="00B95695" w:rsidRPr="00315335" w:rsidRDefault="00B95695" w:rsidP="00B95695">
      <w:pPr>
        <w:spacing w:after="0" w:line="240" w:lineRule="auto"/>
        <w:jc w:val="both"/>
        <w:rPr>
          <w:rFonts w:ascii="Arial" w:eastAsia="Calibri" w:hAnsi="Arial" w:cs="Arial"/>
          <w:sz w:val="24"/>
          <w:szCs w:val="24"/>
        </w:rPr>
      </w:pPr>
      <w:r w:rsidRPr="00315335">
        <w:rPr>
          <w:rFonts w:ascii="Arial" w:eastAsia="Calibri" w:hAnsi="Arial" w:cs="Arial"/>
          <w:sz w:val="24"/>
          <w:szCs w:val="24"/>
        </w:rPr>
        <w:tab/>
      </w:r>
    </w:p>
    <w:p w:rsidR="00B95695" w:rsidRPr="00315335" w:rsidRDefault="00B95695" w:rsidP="00B95695">
      <w:pPr>
        <w:spacing w:after="0" w:line="240" w:lineRule="auto"/>
        <w:ind w:firstLine="720"/>
        <w:jc w:val="both"/>
        <w:rPr>
          <w:rFonts w:ascii="Arial" w:eastAsia="Calibri" w:hAnsi="Arial" w:cs="Arial"/>
          <w:bCs/>
          <w:sz w:val="24"/>
          <w:szCs w:val="24"/>
        </w:rPr>
      </w:pPr>
      <w:r w:rsidRPr="00315335">
        <w:rPr>
          <w:rFonts w:ascii="Arial" w:eastAsia="Calibri" w:hAnsi="Arial" w:cs="Arial"/>
          <w:sz w:val="24"/>
          <w:szCs w:val="24"/>
        </w:rPr>
        <w:t xml:space="preserve">Din graficul </w:t>
      </w:r>
      <w:r w:rsidRPr="00315335">
        <w:rPr>
          <w:rFonts w:ascii="Arial" w:eastAsia="Calibri" w:hAnsi="Arial" w:cs="Arial"/>
          <w:bCs/>
          <w:sz w:val="24"/>
          <w:szCs w:val="24"/>
        </w:rPr>
        <w:t xml:space="preserve">VIII.1.2.1.3.,referitor la zgomotul echivalent înregistrat </w:t>
      </w:r>
      <w:r w:rsidRPr="00315335">
        <w:rPr>
          <w:rFonts w:ascii="Arial" w:eastAsia="Calibri" w:hAnsi="Arial" w:cs="Arial"/>
          <w:sz w:val="24"/>
          <w:szCs w:val="24"/>
        </w:rPr>
        <w:t>pentru piețe, spații comerciale, restaurante în aer liber</w:t>
      </w:r>
      <w:r w:rsidRPr="00315335">
        <w:rPr>
          <w:rFonts w:ascii="Arial" w:eastAsia="Calibri" w:hAnsi="Arial" w:cs="Arial"/>
          <w:bCs/>
          <w:sz w:val="24"/>
          <w:szCs w:val="24"/>
        </w:rPr>
        <w:t xml:space="preserve">, rezultă faptul că limita admisă nu este depășită. </w:t>
      </w:r>
    </w:p>
    <w:p w:rsidR="00B95695" w:rsidRPr="00315335" w:rsidRDefault="00B95695" w:rsidP="00B95695">
      <w:pPr>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În general se poate concluziona, că în mediul urban acţionează în mod concomitent mai multe categorii de zgomote, şi anime: domestic, industrial, zgomot provenit de la activităţile de construcţie, de la mijloacele de transport, etc. dar cea mai importantă sursă de zgomot o constituie totuşi circulaţia autovehiculelor.</w:t>
      </w:r>
    </w:p>
    <w:p w:rsidR="00B95695" w:rsidRPr="00315335" w:rsidRDefault="00B95695" w:rsidP="00B95695">
      <w:pPr>
        <w:spacing w:after="0" w:line="240" w:lineRule="auto"/>
        <w:jc w:val="both"/>
        <w:rPr>
          <w:rFonts w:ascii="Arial" w:eastAsia="Calibri" w:hAnsi="Arial" w:cs="Arial"/>
          <w:sz w:val="24"/>
          <w:szCs w:val="24"/>
        </w:rPr>
      </w:pPr>
      <w:r w:rsidRPr="00315335">
        <w:rPr>
          <w:rFonts w:ascii="Arial" w:eastAsia="Calibri" w:hAnsi="Arial" w:cs="Arial"/>
          <w:sz w:val="24"/>
          <w:szCs w:val="24"/>
        </w:rPr>
        <w:tab/>
        <w:t xml:space="preserve">Sesizând creşterea poluării fonice şi a efectelor datorate ei, ţările europene s-au aliat pentru a găsi modalităţi de identificare, prevenire şi combatere a zgomotului. Astfel, Uniunea Europeană a emis în acest sens Directiva 2002/49/EC transpusă în legislația românească prin HG nr. 321/2005*** republicată, cu completările ulterioare - privind evaluarea şi gestionarea zgomotului ambiant, pentru care au fost realizate hărți strategice de zgomot și planuri de acțiune, care pot conduce la o planificarea acustică. În acest sens termenul "strategic" este foarte important, deoarece gestionarea zgomotului ambiental trebuie să se facă pe termen lung. </w:t>
      </w:r>
    </w:p>
    <w:p w:rsidR="00B95695" w:rsidRPr="00315335" w:rsidRDefault="00B95695" w:rsidP="00B95695">
      <w:pPr>
        <w:spacing w:after="0" w:line="240" w:lineRule="auto"/>
        <w:jc w:val="both"/>
        <w:rPr>
          <w:rFonts w:ascii="Arial" w:eastAsia="Calibri" w:hAnsi="Arial" w:cs="Arial"/>
          <w:sz w:val="24"/>
          <w:szCs w:val="24"/>
        </w:rPr>
      </w:pPr>
      <w:r w:rsidRPr="00315335">
        <w:rPr>
          <w:rFonts w:ascii="Arial" w:eastAsia="Calibri" w:hAnsi="Arial" w:cs="Arial"/>
          <w:sz w:val="24"/>
          <w:szCs w:val="24"/>
        </w:rPr>
        <w:tab/>
        <w:t>Harta de zgomot este o reprezentare grafică a distribuirii nivelului sunetului într-o regiune anume, pentru o perioadă de timp bine definită. Realizarea hărților de zgomot este una din metodele moderne de evaluare a poluării acustice urbane. Hărțile de zgomot au ca scop evidențierea zonelor locuite unde nivelul de zgomot se ridică peste anumite limite impuse de legislație și astfel folosește la elaborarea de planuri de acțiune de protecție a locuitorilor împotriva expunerii și reducere a nivelurilor de zgomot.</w:t>
      </w:r>
    </w:p>
    <w:p w:rsidR="00B95695" w:rsidRPr="00315335" w:rsidRDefault="00B95695" w:rsidP="00B95695">
      <w:pPr>
        <w:autoSpaceDE w:val="0"/>
        <w:autoSpaceDN w:val="0"/>
        <w:adjustRightInd w:val="0"/>
        <w:spacing w:after="0" w:line="240" w:lineRule="auto"/>
        <w:jc w:val="both"/>
        <w:rPr>
          <w:rFonts w:ascii="Arial" w:eastAsia="Calibri" w:hAnsi="Arial" w:cs="Arial"/>
          <w:sz w:val="24"/>
          <w:szCs w:val="24"/>
        </w:rPr>
      </w:pPr>
      <w:r w:rsidRPr="00315335">
        <w:rPr>
          <w:rFonts w:ascii="Arial" w:eastAsia="Calibri" w:hAnsi="Arial" w:cs="Arial"/>
          <w:sz w:val="24"/>
          <w:szCs w:val="24"/>
        </w:rPr>
        <w:tab/>
        <w:t>O hartă de zgomot este :</w:t>
      </w:r>
    </w:p>
    <w:p w:rsidR="00B95695" w:rsidRPr="00315335" w:rsidRDefault="00B95695" w:rsidP="00B95695">
      <w:pPr>
        <w:numPr>
          <w:ilvl w:val="0"/>
          <w:numId w:val="32"/>
        </w:numPr>
        <w:autoSpaceDE w:val="0"/>
        <w:autoSpaceDN w:val="0"/>
        <w:adjustRightInd w:val="0"/>
        <w:spacing w:after="0" w:line="240" w:lineRule="auto"/>
        <w:contextualSpacing/>
        <w:jc w:val="both"/>
        <w:rPr>
          <w:rFonts w:ascii="Arial" w:eastAsia="Times New Roman" w:hAnsi="Arial" w:cs="Arial"/>
          <w:sz w:val="24"/>
          <w:szCs w:val="24"/>
        </w:rPr>
      </w:pPr>
      <w:r w:rsidRPr="00315335">
        <w:rPr>
          <w:rFonts w:ascii="Arial" w:eastAsia="Times New Roman" w:hAnsi="Arial" w:cs="Arial"/>
          <w:sz w:val="24"/>
          <w:szCs w:val="24"/>
        </w:rPr>
        <w:t>situație de indicație a zgomotului existentă, trecută sau viitoare în termenii unui indicator de zgomot;</w:t>
      </w:r>
    </w:p>
    <w:p w:rsidR="00B95695" w:rsidRPr="00315335" w:rsidRDefault="00B95695" w:rsidP="00B95695">
      <w:pPr>
        <w:numPr>
          <w:ilvl w:val="0"/>
          <w:numId w:val="32"/>
        </w:numPr>
        <w:autoSpaceDE w:val="0"/>
        <w:autoSpaceDN w:val="0"/>
        <w:adjustRightInd w:val="0"/>
        <w:spacing w:after="0" w:line="240" w:lineRule="auto"/>
        <w:contextualSpacing/>
        <w:jc w:val="both"/>
        <w:rPr>
          <w:rFonts w:ascii="Arial" w:eastAsia="Times New Roman" w:hAnsi="Arial" w:cs="Arial"/>
          <w:sz w:val="24"/>
          <w:szCs w:val="24"/>
        </w:rPr>
      </w:pPr>
      <w:r w:rsidRPr="00315335">
        <w:rPr>
          <w:rFonts w:ascii="Arial" w:eastAsia="Times New Roman" w:hAnsi="Arial" w:cs="Arial"/>
          <w:sz w:val="24"/>
          <w:szCs w:val="24"/>
        </w:rPr>
        <w:t>depășirea unei valori limită;</w:t>
      </w:r>
    </w:p>
    <w:p w:rsidR="00B95695" w:rsidRPr="00315335" w:rsidRDefault="00B95695" w:rsidP="00B95695">
      <w:pPr>
        <w:numPr>
          <w:ilvl w:val="0"/>
          <w:numId w:val="32"/>
        </w:numPr>
        <w:autoSpaceDE w:val="0"/>
        <w:autoSpaceDN w:val="0"/>
        <w:adjustRightInd w:val="0"/>
        <w:spacing w:after="0" w:line="240" w:lineRule="auto"/>
        <w:contextualSpacing/>
        <w:jc w:val="both"/>
        <w:rPr>
          <w:rFonts w:ascii="Arial" w:eastAsia="Times New Roman" w:hAnsi="Arial" w:cs="Arial"/>
          <w:sz w:val="24"/>
          <w:szCs w:val="24"/>
        </w:rPr>
      </w:pPr>
      <w:r w:rsidRPr="00315335">
        <w:rPr>
          <w:rFonts w:ascii="Arial" w:eastAsia="Times New Roman" w:hAnsi="Arial" w:cs="Arial"/>
          <w:sz w:val="24"/>
          <w:szCs w:val="24"/>
        </w:rPr>
        <w:t>numărul de locuințe dintr-o anumită zonă care sunt expuse la anumite valori ale indicatorului de zgomot;</w:t>
      </w:r>
    </w:p>
    <w:p w:rsidR="00B95695" w:rsidRPr="00315335" w:rsidRDefault="00B95695" w:rsidP="00B95695">
      <w:pPr>
        <w:numPr>
          <w:ilvl w:val="0"/>
          <w:numId w:val="32"/>
        </w:numPr>
        <w:autoSpaceDE w:val="0"/>
        <w:autoSpaceDN w:val="0"/>
        <w:adjustRightInd w:val="0"/>
        <w:spacing w:after="0" w:line="240" w:lineRule="auto"/>
        <w:contextualSpacing/>
        <w:jc w:val="both"/>
        <w:rPr>
          <w:rFonts w:ascii="Arial" w:eastAsia="Times New Roman" w:hAnsi="Arial" w:cs="Arial"/>
          <w:sz w:val="24"/>
          <w:szCs w:val="24"/>
        </w:rPr>
      </w:pPr>
      <w:r w:rsidRPr="00315335">
        <w:rPr>
          <w:rFonts w:ascii="Arial" w:eastAsia="Times New Roman" w:hAnsi="Arial" w:cs="Arial"/>
          <w:sz w:val="24"/>
          <w:szCs w:val="24"/>
        </w:rPr>
        <w:t>numărul de persoane ce este afectat (disconfort, deranj somn,etc) într-o anumită zonă.</w:t>
      </w:r>
    </w:p>
    <w:p w:rsidR="00B95695" w:rsidRPr="00315335" w:rsidRDefault="00B95695" w:rsidP="00B95695">
      <w:pPr>
        <w:autoSpaceDE w:val="0"/>
        <w:autoSpaceDN w:val="0"/>
        <w:adjustRightInd w:val="0"/>
        <w:spacing w:after="0" w:line="240" w:lineRule="auto"/>
        <w:jc w:val="both"/>
        <w:rPr>
          <w:rFonts w:ascii="Arial" w:eastAsia="Calibri" w:hAnsi="Arial" w:cs="Arial"/>
          <w:sz w:val="24"/>
          <w:szCs w:val="24"/>
        </w:rPr>
      </w:pPr>
    </w:p>
    <w:p w:rsidR="00B95695" w:rsidRPr="00315335" w:rsidRDefault="00B95695" w:rsidP="00B95695">
      <w:pPr>
        <w:autoSpaceDE w:val="0"/>
        <w:autoSpaceDN w:val="0"/>
        <w:adjustRightInd w:val="0"/>
        <w:spacing w:after="0" w:line="240" w:lineRule="auto"/>
        <w:jc w:val="both"/>
        <w:rPr>
          <w:rFonts w:ascii="Arial" w:eastAsia="Calibri" w:hAnsi="Arial" w:cs="Arial"/>
          <w:sz w:val="24"/>
          <w:szCs w:val="24"/>
        </w:rPr>
      </w:pPr>
      <w:r w:rsidRPr="00315335">
        <w:rPr>
          <w:rFonts w:ascii="Arial" w:eastAsia="Calibri" w:hAnsi="Arial" w:cs="Arial"/>
          <w:sz w:val="24"/>
          <w:szCs w:val="24"/>
        </w:rPr>
        <w:tab/>
      </w:r>
      <w:r w:rsidRPr="00315335">
        <w:rPr>
          <w:rFonts w:ascii="Arial" w:eastAsia="Calibri" w:hAnsi="Arial" w:cs="Arial"/>
          <w:b/>
          <w:sz w:val="24"/>
          <w:szCs w:val="24"/>
        </w:rPr>
        <w:t>Hărțile de zgomot</w:t>
      </w:r>
      <w:r w:rsidRPr="00315335">
        <w:rPr>
          <w:rFonts w:ascii="Arial" w:eastAsia="Calibri" w:hAnsi="Arial" w:cs="Arial"/>
          <w:sz w:val="24"/>
          <w:szCs w:val="24"/>
        </w:rPr>
        <w:t xml:space="preserve"> trebuie să servească următoarelor cauze: oferă o bază pentru datele ce trebuie trimise Comisiei Europene; reprezintă o sursă de informare pentru cetățeni; oferă o bază pentru planuri de acțiune. Fiecare dintre aceste cauze necesită diferite tipuri de hărți acustice.</w:t>
      </w:r>
    </w:p>
    <w:p w:rsidR="00B95695" w:rsidRPr="00315335" w:rsidRDefault="00B95695" w:rsidP="00B95695">
      <w:pPr>
        <w:autoSpaceDE w:val="0"/>
        <w:autoSpaceDN w:val="0"/>
        <w:adjustRightInd w:val="0"/>
        <w:spacing w:after="0" w:line="240" w:lineRule="auto"/>
        <w:jc w:val="both"/>
        <w:rPr>
          <w:rFonts w:ascii="Arial" w:eastAsia="Calibri" w:hAnsi="Arial" w:cs="Arial"/>
          <w:b/>
          <w:bCs/>
          <w:sz w:val="24"/>
          <w:szCs w:val="24"/>
          <w:highlight w:val="green"/>
        </w:rPr>
      </w:pPr>
      <w:r w:rsidRPr="00315335">
        <w:rPr>
          <w:rFonts w:ascii="Arial" w:eastAsia="Calibri" w:hAnsi="Arial" w:cs="Arial"/>
          <w:b/>
          <w:bCs/>
          <w:sz w:val="24"/>
          <w:szCs w:val="24"/>
        </w:rPr>
        <w:tab/>
        <w:t xml:space="preserve">Planurile de acţiune </w:t>
      </w:r>
      <w:r w:rsidRPr="00315335">
        <w:rPr>
          <w:rFonts w:ascii="Arial" w:eastAsia="Calibri" w:hAnsi="Arial" w:cs="Arial"/>
          <w:sz w:val="24"/>
          <w:szCs w:val="24"/>
        </w:rPr>
        <w:t>sunt destinate gestionării problemelor şi efectelor cauzate de zgomot, incluzând măsuri de diminuare, dacă este necesar. Planul de acţiune este o continuare naturală a procesului de cartare strategică a zgomotului.</w:t>
      </w:r>
    </w:p>
    <w:p w:rsidR="00B95695" w:rsidRPr="00315335" w:rsidRDefault="00B95695" w:rsidP="00B95695">
      <w:pPr>
        <w:tabs>
          <w:tab w:val="left" w:pos="720"/>
        </w:tabs>
        <w:spacing w:after="0" w:line="240" w:lineRule="auto"/>
        <w:jc w:val="both"/>
        <w:rPr>
          <w:rFonts w:ascii="Arial" w:eastAsia="Calibri" w:hAnsi="Arial" w:cs="Arial"/>
          <w:bCs/>
          <w:sz w:val="24"/>
          <w:szCs w:val="24"/>
        </w:rPr>
      </w:pPr>
      <w:r w:rsidRPr="00315335">
        <w:rPr>
          <w:rFonts w:ascii="Arial" w:eastAsia="Calibri" w:hAnsi="Arial" w:cs="Arial"/>
          <w:sz w:val="24"/>
          <w:szCs w:val="24"/>
        </w:rPr>
        <w:tab/>
        <w:t>Primăria Brăila</w:t>
      </w:r>
      <w:r w:rsidRPr="00315335">
        <w:rPr>
          <w:rFonts w:ascii="Arial" w:eastAsia="Calibri" w:hAnsi="Arial" w:cs="Arial"/>
          <w:b/>
          <w:sz w:val="24"/>
          <w:szCs w:val="24"/>
        </w:rPr>
        <w:t xml:space="preserve"> </w:t>
      </w:r>
      <w:r w:rsidRPr="00315335">
        <w:rPr>
          <w:rFonts w:ascii="Arial" w:eastAsia="Calibri" w:hAnsi="Arial" w:cs="Arial"/>
          <w:sz w:val="24"/>
          <w:szCs w:val="24"/>
        </w:rPr>
        <w:t xml:space="preserve"> a realizat </w:t>
      </w:r>
      <w:r w:rsidRPr="00315335">
        <w:rPr>
          <w:rFonts w:ascii="Arial" w:eastAsia="Calibri" w:hAnsi="Arial" w:cs="Arial"/>
          <w:bCs/>
          <w:sz w:val="24"/>
          <w:szCs w:val="24"/>
        </w:rPr>
        <w:t>Hărţile strategice de zgomot</w:t>
      </w:r>
      <w:r w:rsidRPr="00315335">
        <w:rPr>
          <w:rFonts w:ascii="Arial" w:eastAsia="Calibri" w:hAnsi="Arial" w:cs="Arial"/>
          <w:b/>
          <w:bCs/>
          <w:sz w:val="24"/>
          <w:szCs w:val="24"/>
        </w:rPr>
        <w:t xml:space="preserve">, </w:t>
      </w:r>
      <w:r w:rsidRPr="00315335">
        <w:rPr>
          <w:rFonts w:ascii="Arial" w:eastAsia="Calibri" w:hAnsi="Arial" w:cs="Arial"/>
          <w:bCs/>
          <w:sz w:val="24"/>
          <w:szCs w:val="24"/>
        </w:rPr>
        <w:t>acestea fiind</w:t>
      </w:r>
      <w:r w:rsidRPr="00315335">
        <w:rPr>
          <w:rFonts w:ascii="Arial" w:eastAsia="Calibri" w:hAnsi="Arial" w:cs="Arial"/>
          <w:b/>
          <w:bCs/>
          <w:sz w:val="24"/>
          <w:szCs w:val="24"/>
        </w:rPr>
        <w:t xml:space="preserve"> </w:t>
      </w:r>
      <w:r w:rsidRPr="00315335">
        <w:rPr>
          <w:rFonts w:ascii="Arial" w:eastAsia="Calibri" w:hAnsi="Arial" w:cs="Arial"/>
          <w:bCs/>
          <w:sz w:val="24"/>
          <w:szCs w:val="24"/>
        </w:rPr>
        <w:t xml:space="preserve">analizate şi aprobate </w:t>
      </w:r>
      <w:r w:rsidRPr="00315335">
        <w:rPr>
          <w:rFonts w:ascii="Arial" w:eastAsia="Calibri" w:hAnsi="Arial" w:cs="Arial"/>
          <w:bCs/>
        </w:rPr>
        <w:t xml:space="preserve">de APM Brăila </w:t>
      </w:r>
      <w:r w:rsidRPr="00315335">
        <w:rPr>
          <w:rFonts w:ascii="Arial" w:eastAsia="Calibri" w:hAnsi="Arial" w:cs="Arial"/>
          <w:bCs/>
          <w:sz w:val="24"/>
          <w:szCs w:val="24"/>
        </w:rPr>
        <w:t xml:space="preserve">la data de 23.07.2018, ulterior fiind transmise către Agenţia Naţională </w:t>
      </w:r>
      <w:r w:rsidRPr="00315335">
        <w:rPr>
          <w:rFonts w:ascii="Arial" w:eastAsia="Calibri" w:hAnsi="Arial" w:cs="Arial"/>
          <w:bCs/>
          <w:sz w:val="24"/>
          <w:szCs w:val="24"/>
        </w:rPr>
        <w:lastRenderedPageBreak/>
        <w:t>pentru Protecţia Mediului și Ministerul Mediului. Termenul de realizare a Planurilor de acțiune destinate reducerii nivelului de zgomot pentru aglomerarea Brăila a fost data de 18.07.2018. Până în prezent</w:t>
      </w:r>
      <w:r w:rsidRPr="00315335">
        <w:rPr>
          <w:rFonts w:ascii="Arial" w:eastAsia="Calibri" w:hAnsi="Arial" w:cs="Arial"/>
          <w:sz w:val="24"/>
          <w:szCs w:val="24"/>
        </w:rPr>
        <w:t xml:space="preserve"> Primăria Brăila</w:t>
      </w:r>
      <w:r w:rsidRPr="00315335">
        <w:rPr>
          <w:rFonts w:ascii="Arial" w:eastAsia="Calibri" w:hAnsi="Arial" w:cs="Arial"/>
          <w:bCs/>
          <w:sz w:val="24"/>
          <w:szCs w:val="24"/>
        </w:rPr>
        <w:t xml:space="preserve"> nu a depus aceste planuri de  acțiune la APM Brăila.  </w:t>
      </w:r>
    </w:p>
    <w:p w:rsidR="00B95695" w:rsidRPr="00315335" w:rsidRDefault="00B95695" w:rsidP="00B95695">
      <w:pPr>
        <w:tabs>
          <w:tab w:val="left" w:pos="720"/>
        </w:tabs>
        <w:spacing w:after="0" w:line="240" w:lineRule="auto"/>
        <w:jc w:val="both"/>
        <w:rPr>
          <w:rFonts w:ascii="Arial" w:eastAsia="Calibri" w:hAnsi="Arial" w:cs="Arial"/>
          <w:bCs/>
          <w:sz w:val="24"/>
          <w:szCs w:val="24"/>
        </w:rPr>
      </w:pPr>
      <w:r w:rsidRPr="00315335">
        <w:rPr>
          <w:rFonts w:ascii="Arial" w:eastAsia="Calibri" w:hAnsi="Arial" w:cs="Arial"/>
          <w:bCs/>
          <w:sz w:val="24"/>
          <w:szCs w:val="24"/>
        </w:rPr>
        <w:tab/>
        <w:t>Planurile de acțiune pentru Portul Brăila (Hârșova, Turcoaia, Măcin, Gura Arman) au fost depuse la APM Brăila. Acestea au fost analizate/evaluate de către Comisia tehnică înființată la nivelul APM Brăila. Aceste planuri de acțiune au fost aprobate ulterior prin ordinul ministrului transporturilor nr.1537/2018.</w:t>
      </w:r>
    </w:p>
    <w:p w:rsidR="00B95695" w:rsidRPr="00315335" w:rsidRDefault="00B95695" w:rsidP="00B95695">
      <w:pPr>
        <w:tabs>
          <w:tab w:val="left" w:pos="720"/>
        </w:tabs>
        <w:spacing w:after="0" w:line="240" w:lineRule="auto"/>
        <w:jc w:val="both"/>
        <w:rPr>
          <w:rFonts w:ascii="Arial" w:eastAsia="Times New Roman" w:hAnsi="Arial" w:cs="Arial"/>
          <w:sz w:val="24"/>
          <w:szCs w:val="24"/>
          <w:highlight w:val="green"/>
        </w:rPr>
      </w:pPr>
      <w:r w:rsidRPr="00315335">
        <w:rPr>
          <w:rFonts w:ascii="Arial" w:eastAsia="Calibri" w:hAnsi="Arial" w:cs="Arial"/>
          <w:bCs/>
          <w:sz w:val="24"/>
          <w:szCs w:val="24"/>
        </w:rPr>
        <w:tab/>
        <w:t>Au fost analizate și avizate de către Comisia Tehnică constituită la nivelul APM Brăila, hărțile strategice de zgomot și rapoartele aferente căilor ferate existente în aglomerarea - municipiul Brăila. Acestea urmează a fi aprobate de către Ministerul Mediului și Ministerul Transporturilor.</w:t>
      </w:r>
    </w:p>
    <w:p w:rsidR="00B95695" w:rsidRPr="00315335" w:rsidRDefault="00B95695" w:rsidP="00B95695">
      <w:pPr>
        <w:jc w:val="center"/>
        <w:rPr>
          <w:rFonts w:ascii="Arial" w:hAnsi="Arial" w:cs="Arial"/>
          <w:b/>
          <w:sz w:val="24"/>
          <w:szCs w:val="24"/>
        </w:rPr>
      </w:pPr>
    </w:p>
    <w:p w:rsidR="00B95695" w:rsidRPr="00315335" w:rsidRDefault="00B95695" w:rsidP="00B95695">
      <w:pPr>
        <w:jc w:val="both"/>
        <w:rPr>
          <w:rFonts w:ascii="Arial" w:hAnsi="Arial" w:cs="Arial"/>
          <w:b/>
          <w:sz w:val="24"/>
          <w:szCs w:val="24"/>
          <w:highlight w:val="yellow"/>
          <w:lang w:val="en-US"/>
        </w:rPr>
      </w:pPr>
      <w:r w:rsidRPr="00315335">
        <w:rPr>
          <w:rFonts w:ascii="Arial" w:hAnsi="Arial" w:cs="Arial"/>
          <w:b/>
          <w:sz w:val="24"/>
          <w:szCs w:val="24"/>
          <w:lang w:val="en-US"/>
        </w:rPr>
        <w:t xml:space="preserve">VIII.1.3. </w:t>
      </w:r>
      <w:r w:rsidRPr="00315335">
        <w:rPr>
          <w:rFonts w:ascii="Arial" w:hAnsi="Arial" w:cs="Arial"/>
          <w:b/>
          <w:i/>
          <w:sz w:val="24"/>
          <w:szCs w:val="24"/>
          <w:lang w:val="en-US"/>
        </w:rPr>
        <w:t xml:space="preserve">Calitatea apei potabile şi efectele asupra sǎnǎtǎţii </w:t>
      </w:r>
    </w:p>
    <w:p w:rsidR="00B95695" w:rsidRPr="00315335" w:rsidRDefault="00B95695" w:rsidP="00B95695">
      <w:pPr>
        <w:jc w:val="both"/>
        <w:rPr>
          <w:b/>
          <w:sz w:val="24"/>
          <w:szCs w:val="24"/>
        </w:rPr>
      </w:pPr>
      <w:r w:rsidRPr="00315335">
        <w:rPr>
          <w:rFonts w:ascii="Arial" w:hAnsi="Arial" w:cs="Arial"/>
          <w:b/>
          <w:sz w:val="24"/>
          <w:szCs w:val="24"/>
          <w:lang w:val="en-US"/>
        </w:rPr>
        <w:t xml:space="preserve">Influenţa calităţii apei potabile asupra sănătăţii umane </w:t>
      </w:r>
    </w:p>
    <w:p w:rsidR="00B95695" w:rsidRPr="00315335" w:rsidRDefault="00B95695" w:rsidP="00B95695">
      <w:pPr>
        <w:spacing w:after="0" w:line="240" w:lineRule="auto"/>
        <w:jc w:val="both"/>
        <w:rPr>
          <w:rFonts w:ascii="Arial" w:hAnsi="Arial" w:cs="Arial"/>
          <w:sz w:val="24"/>
          <w:szCs w:val="24"/>
        </w:rPr>
      </w:pPr>
      <w:r w:rsidRPr="00315335">
        <w:rPr>
          <w:rFonts w:ascii="Arial" w:hAnsi="Arial" w:cs="Arial"/>
          <w:sz w:val="24"/>
          <w:szCs w:val="24"/>
        </w:rPr>
        <w:t>În județul Brăila au funcționat următoarele stații de tratare și distribuție a apei potabile:</w:t>
      </w:r>
    </w:p>
    <w:p w:rsidR="00B95695" w:rsidRPr="00315335" w:rsidRDefault="00B95695" w:rsidP="00B95695">
      <w:pPr>
        <w:spacing w:after="0" w:line="240" w:lineRule="auto"/>
        <w:jc w:val="both"/>
        <w:rPr>
          <w:rFonts w:ascii="Arial" w:hAnsi="Arial" w:cs="Arial"/>
          <w:sz w:val="24"/>
          <w:szCs w:val="24"/>
        </w:rPr>
      </w:pPr>
    </w:p>
    <w:p w:rsidR="00B95695" w:rsidRPr="00315335" w:rsidRDefault="00B95695" w:rsidP="00B95695">
      <w:pPr>
        <w:spacing w:after="0" w:line="240" w:lineRule="auto"/>
        <w:ind w:firstLine="708"/>
        <w:jc w:val="both"/>
        <w:rPr>
          <w:rFonts w:ascii="Arial" w:hAnsi="Arial" w:cs="Arial"/>
          <w:sz w:val="24"/>
          <w:szCs w:val="24"/>
        </w:rPr>
      </w:pPr>
      <w:r w:rsidRPr="00315335">
        <w:rPr>
          <w:rFonts w:ascii="Arial" w:hAnsi="Arial" w:cs="Arial"/>
          <w:sz w:val="24"/>
          <w:szCs w:val="24"/>
          <w:u w:val="single"/>
        </w:rPr>
        <w:t>I.Statia de tratare  apă potabilă Chiscani</w:t>
      </w:r>
      <w:r w:rsidRPr="00315335">
        <w:rPr>
          <w:rFonts w:ascii="Arial" w:hAnsi="Arial" w:cs="Arial"/>
          <w:sz w:val="24"/>
          <w:szCs w:val="24"/>
        </w:rPr>
        <w:t>, autorizată sanitar,  cu urmatoarea zonă de distributie:   - municipiul Brăila si localitățile Chiscani, Lacu Sărat, Vărsătura, Albina,  Baldovinești, Pietroiu, Cazasu, Comăneasca, T. Vladimirescu, Scorțaru Vechi, Siliștea, Mărtăcești , Muchea (apa provine din Dunăre).</w:t>
      </w:r>
    </w:p>
    <w:p w:rsidR="00B95695" w:rsidRPr="00315335" w:rsidRDefault="00B95695" w:rsidP="00B95695">
      <w:pPr>
        <w:spacing w:after="0" w:line="240" w:lineRule="auto"/>
        <w:ind w:firstLine="708"/>
        <w:jc w:val="both"/>
        <w:rPr>
          <w:rFonts w:ascii="Arial" w:hAnsi="Arial" w:cs="Arial"/>
          <w:sz w:val="24"/>
          <w:szCs w:val="24"/>
        </w:rPr>
      </w:pPr>
      <w:r w:rsidRPr="00315335">
        <w:rPr>
          <w:rFonts w:ascii="Arial" w:hAnsi="Arial" w:cs="Arial"/>
          <w:sz w:val="24"/>
          <w:szCs w:val="24"/>
          <w:u w:val="single"/>
        </w:rPr>
        <w:t>II.Stația de tratare apă potabilă Gropeni,</w:t>
      </w:r>
      <w:r w:rsidRPr="00315335">
        <w:rPr>
          <w:rFonts w:ascii="Arial" w:hAnsi="Arial" w:cs="Arial"/>
          <w:sz w:val="24"/>
          <w:szCs w:val="24"/>
        </w:rPr>
        <w:t xml:space="preserve"> autorizată sanitar, cu zona de distribuție reprezentată de localitățile Gropeni, Tufești, Tichilești, Unirea, Valea Cânepii, Lanurile, Viziru, Ianca, Plopu, Perișoru, Oprișenești, Târlele Filiu, Berlești, Șuțești, Mihail Kogălniceanu, Gradiștea, Ibrianu, Maraloiu, Bordei Verde, Lișcoteanca,  Constantin  Gabrielescu, Făurei, Mircea Vodă, Dedulești, Surdila Greci, Horia, Făurei Sat, Brateșu Vechi, Surdila Găiseanca, Filipești, Jirlău, Vișani, Movila Miresii, Țepes Vodă, Esna, Traian, Urleasca, Căldărușa, Silistraru, Racovița, Custura, Corbeni, Gemnenele, Gavani, Ramnicelu, Boarca, Constantinesti, Scortaru Nou, Gurguieți, Pitulați, Sihleanu  (apa provine din Dunăre). </w:t>
      </w:r>
    </w:p>
    <w:p w:rsidR="00B95695" w:rsidRPr="00315335" w:rsidRDefault="00B95695" w:rsidP="00B95695">
      <w:pPr>
        <w:spacing w:after="0" w:line="240" w:lineRule="auto"/>
        <w:ind w:firstLine="708"/>
        <w:jc w:val="both"/>
        <w:rPr>
          <w:rFonts w:ascii="Arial" w:hAnsi="Arial" w:cs="Arial"/>
          <w:sz w:val="24"/>
          <w:szCs w:val="24"/>
        </w:rPr>
      </w:pPr>
      <w:r w:rsidRPr="00315335">
        <w:rPr>
          <w:rFonts w:ascii="Arial" w:hAnsi="Arial" w:cs="Arial"/>
          <w:sz w:val="24"/>
          <w:szCs w:val="24"/>
          <w:u w:val="single"/>
        </w:rPr>
        <w:t>II.Statia de tratare apă potabilă Victoria,</w:t>
      </w:r>
      <w:r w:rsidRPr="00315335">
        <w:rPr>
          <w:rFonts w:ascii="Arial" w:hAnsi="Arial" w:cs="Arial"/>
          <w:sz w:val="24"/>
          <w:szCs w:val="24"/>
        </w:rPr>
        <w:t xml:space="preserve"> autorizată sanitar, cu zona de distribuție reprezentată de localitățile Victoria, Mihai Bravu, Bărăganu (apă de profunzime).</w:t>
      </w:r>
    </w:p>
    <w:p w:rsidR="00B95695" w:rsidRPr="00315335" w:rsidRDefault="00B95695" w:rsidP="00B95695">
      <w:pPr>
        <w:spacing w:after="0" w:line="240" w:lineRule="auto"/>
        <w:ind w:firstLine="708"/>
        <w:jc w:val="both"/>
        <w:rPr>
          <w:rFonts w:ascii="Arial" w:hAnsi="Arial" w:cs="Arial"/>
          <w:sz w:val="24"/>
          <w:szCs w:val="24"/>
        </w:rPr>
      </w:pPr>
      <w:r w:rsidRPr="00315335">
        <w:rPr>
          <w:rFonts w:ascii="Arial" w:hAnsi="Arial" w:cs="Arial"/>
          <w:sz w:val="24"/>
          <w:szCs w:val="24"/>
          <w:u w:val="single"/>
        </w:rPr>
        <w:t>III.Stația de tratare apă potabilă Roșiori,</w:t>
      </w:r>
      <w:r w:rsidRPr="00315335">
        <w:rPr>
          <w:rFonts w:ascii="Arial" w:hAnsi="Arial" w:cs="Arial"/>
          <w:sz w:val="24"/>
          <w:szCs w:val="24"/>
        </w:rPr>
        <w:t xml:space="preserve"> autorizată sanitar, cu zona de distribuție reprezentată de localitățile Roșiori, Colțea , Florica ( apa fiind de profunzime).</w:t>
      </w:r>
    </w:p>
    <w:p w:rsidR="00B95695" w:rsidRPr="00315335" w:rsidRDefault="00B95695" w:rsidP="00B95695">
      <w:pPr>
        <w:spacing w:after="0" w:line="240" w:lineRule="auto"/>
        <w:jc w:val="both"/>
        <w:rPr>
          <w:rFonts w:ascii="Arial" w:hAnsi="Arial" w:cs="Arial"/>
          <w:sz w:val="24"/>
          <w:szCs w:val="24"/>
        </w:rPr>
      </w:pPr>
      <w:r w:rsidRPr="00315335">
        <w:rPr>
          <w:rFonts w:ascii="Arial" w:hAnsi="Arial" w:cs="Arial"/>
          <w:sz w:val="24"/>
          <w:szCs w:val="24"/>
        </w:rPr>
        <w:t xml:space="preserve">            În anul 2018 aceste sta</w:t>
      </w:r>
      <w:r w:rsidR="004D0136">
        <w:rPr>
          <w:rFonts w:ascii="Arial" w:hAnsi="Arial" w:cs="Arial"/>
          <w:sz w:val="24"/>
          <w:szCs w:val="24"/>
        </w:rPr>
        <w:t>ț</w:t>
      </w:r>
      <w:r w:rsidRPr="00315335">
        <w:rPr>
          <w:rFonts w:ascii="Arial" w:hAnsi="Arial" w:cs="Arial"/>
          <w:sz w:val="24"/>
          <w:szCs w:val="24"/>
        </w:rPr>
        <w:t>ii au func</w:t>
      </w:r>
      <w:r w:rsidR="004D0136">
        <w:rPr>
          <w:rFonts w:ascii="Arial" w:hAnsi="Arial" w:cs="Arial"/>
          <w:sz w:val="24"/>
          <w:szCs w:val="24"/>
        </w:rPr>
        <w:t>ț</w:t>
      </w:r>
      <w:r w:rsidRPr="00315335">
        <w:rPr>
          <w:rFonts w:ascii="Arial" w:hAnsi="Arial" w:cs="Arial"/>
          <w:sz w:val="24"/>
          <w:szCs w:val="24"/>
        </w:rPr>
        <w:t>ionat corespunz</w:t>
      </w:r>
      <w:r w:rsidR="004D0136">
        <w:rPr>
          <w:rFonts w:ascii="Arial" w:hAnsi="Arial" w:cs="Arial"/>
          <w:sz w:val="24"/>
          <w:szCs w:val="24"/>
        </w:rPr>
        <w:t>ă</w:t>
      </w:r>
      <w:r w:rsidRPr="00315335">
        <w:rPr>
          <w:rFonts w:ascii="Arial" w:hAnsi="Arial" w:cs="Arial"/>
          <w:sz w:val="24"/>
          <w:szCs w:val="24"/>
        </w:rPr>
        <w:t>tor .</w:t>
      </w:r>
    </w:p>
    <w:p w:rsidR="00B95695" w:rsidRPr="00315335" w:rsidRDefault="00B95695" w:rsidP="00B95695">
      <w:pPr>
        <w:spacing w:after="0" w:line="240" w:lineRule="auto"/>
        <w:jc w:val="both"/>
        <w:rPr>
          <w:rFonts w:ascii="Arial" w:hAnsi="Arial" w:cs="Arial"/>
          <w:sz w:val="24"/>
          <w:szCs w:val="24"/>
        </w:rPr>
      </w:pPr>
    </w:p>
    <w:p w:rsidR="00B95695" w:rsidRPr="00315335" w:rsidRDefault="00B95695" w:rsidP="00B95695">
      <w:pPr>
        <w:jc w:val="both"/>
        <w:rPr>
          <w:rFonts w:ascii="Arial" w:hAnsi="Arial" w:cs="Arial"/>
          <w:sz w:val="24"/>
          <w:szCs w:val="24"/>
        </w:rPr>
      </w:pPr>
      <w:r w:rsidRPr="00315335">
        <w:rPr>
          <w:rFonts w:ascii="Arial" w:hAnsi="Arial" w:cs="Arial"/>
          <w:sz w:val="24"/>
          <w:szCs w:val="24"/>
        </w:rPr>
        <w:t xml:space="preserve">    Alte UAT-uri  ce folosesc apa din surse de profunzime (puțuri de medie/mare  adâncime) sunt:   -  Însurăței, Berteștii de Jos, Ciocile,Galbenu, Dudești, Măxineni,Romanu, Salcia Tudor, Vișani,  Vădeni, Stăncuța, Ulmu, Zăvoaia,Frecăței, fără a deține autorizații sanitare de funcționare. </w:t>
      </w:r>
    </w:p>
    <w:p w:rsidR="00B95695" w:rsidRPr="00315335" w:rsidRDefault="00B95695" w:rsidP="00B95695">
      <w:pPr>
        <w:pStyle w:val="Listparagraf"/>
        <w:numPr>
          <w:ilvl w:val="0"/>
          <w:numId w:val="53"/>
        </w:numPr>
        <w:jc w:val="both"/>
        <w:rPr>
          <w:rFonts w:ascii="Arial" w:hAnsi="Arial" w:cs="Arial"/>
        </w:rPr>
      </w:pPr>
      <w:r w:rsidRPr="00315335">
        <w:rPr>
          <w:rFonts w:ascii="Arial" w:hAnsi="Arial" w:cs="Arial"/>
        </w:rPr>
        <w:t xml:space="preserve">Unele  dispun de  instalații care captează, înmagazinează și distribuie apa,  de echipamente  de tratare sau sau doar de dezinfecție  a apei . Date privind calitatea neconformă a apei au constituit subiectul informărilor periodice către producătorul județean de apă, către UAT- uri și către autoritățile județene .  </w:t>
      </w:r>
    </w:p>
    <w:p w:rsidR="00B95695" w:rsidRPr="00315335" w:rsidRDefault="00B95695" w:rsidP="00B95695">
      <w:pPr>
        <w:pStyle w:val="Listparagraf"/>
        <w:numPr>
          <w:ilvl w:val="0"/>
          <w:numId w:val="53"/>
        </w:numPr>
        <w:jc w:val="both"/>
        <w:rPr>
          <w:rFonts w:ascii="Arial" w:hAnsi="Arial" w:cs="Arial"/>
        </w:rPr>
      </w:pPr>
      <w:r w:rsidRPr="00315335">
        <w:rPr>
          <w:rFonts w:ascii="Arial" w:hAnsi="Arial" w:cs="Arial"/>
        </w:rPr>
        <w:t xml:space="preserve">O ultima categorie este reprezentată de localități  rurale care folosesc apa de </w:t>
      </w:r>
      <w:hyperlink r:id="rId150" w:history="1"/>
      <w:r w:rsidRPr="00315335">
        <w:rPr>
          <w:rFonts w:ascii="Arial" w:hAnsi="Arial" w:cs="Arial"/>
        </w:rPr>
        <w:t>fântână ce nu este de bună calitate, conform istoricului privind monitorizarea calitătii acestor ape . Astfel de localități sunt : Ciocile, Cireșu, Mărasu, Ulmu, Măxineni, Salcia Tudor, Siliștea, Stăncuța, Frecăței .</w:t>
      </w:r>
    </w:p>
    <w:p w:rsidR="00B95695" w:rsidRPr="00315335" w:rsidRDefault="00B95695" w:rsidP="00B95695">
      <w:pPr>
        <w:pStyle w:val="Corptext2"/>
        <w:spacing w:after="0" w:line="240" w:lineRule="auto"/>
        <w:jc w:val="both"/>
        <w:rPr>
          <w:rFonts w:ascii="Arial" w:hAnsi="Arial" w:cs="Arial"/>
          <w:lang w:val="en-US"/>
        </w:rPr>
      </w:pPr>
    </w:p>
    <w:p w:rsidR="00B95695" w:rsidRPr="00315335" w:rsidRDefault="00B95695" w:rsidP="00B95695">
      <w:pPr>
        <w:pStyle w:val="Corptext2"/>
        <w:spacing w:after="0" w:line="240" w:lineRule="auto"/>
        <w:ind w:firstLine="708"/>
        <w:jc w:val="both"/>
        <w:rPr>
          <w:rFonts w:ascii="Arial" w:hAnsi="Arial" w:cs="Arial"/>
          <w:lang w:val="en-US"/>
        </w:rPr>
      </w:pPr>
      <w:r w:rsidRPr="00315335">
        <w:rPr>
          <w:rFonts w:ascii="Arial" w:hAnsi="Arial" w:cs="Arial"/>
          <w:lang w:val="en-US"/>
        </w:rPr>
        <w:t xml:space="preserve">Verificarea calitatii apei  potabile pentru consum uman s-a concretizat în recoltarea de probe din toate zonele de aprovizionare  autorizate din județ, în cadrul monitorizărilor, rezultatele fiind urmatoarele : </w:t>
      </w:r>
    </w:p>
    <w:p w:rsidR="00B95695" w:rsidRPr="00315335" w:rsidRDefault="00B95695" w:rsidP="00B95695">
      <w:pPr>
        <w:pStyle w:val="Corptext2"/>
        <w:spacing w:after="0" w:line="240" w:lineRule="auto"/>
        <w:jc w:val="both"/>
        <w:rPr>
          <w:rFonts w:ascii="Arial" w:hAnsi="Arial" w:cs="Arial"/>
          <w:lang w:val="en-US"/>
        </w:rPr>
      </w:pPr>
      <w:r w:rsidRPr="00315335">
        <w:rPr>
          <w:rFonts w:ascii="Arial" w:hAnsi="Arial" w:cs="Arial"/>
          <w:lang w:val="en-US"/>
        </w:rPr>
        <w:t xml:space="preserve">   - 2435 parametri analizați, din care 9 parametri fizico-chimici  neconformi (clor, aluminiu) </w:t>
      </w:r>
    </w:p>
    <w:p w:rsidR="00B95695" w:rsidRPr="00315335" w:rsidRDefault="00B95695" w:rsidP="00B95695">
      <w:pPr>
        <w:tabs>
          <w:tab w:val="num" w:pos="2145"/>
        </w:tabs>
        <w:spacing w:after="0" w:line="240" w:lineRule="auto"/>
        <w:jc w:val="both"/>
        <w:rPr>
          <w:rFonts w:ascii="Arial" w:hAnsi="Arial" w:cs="Arial"/>
          <w:sz w:val="24"/>
          <w:szCs w:val="24"/>
        </w:rPr>
      </w:pPr>
      <w:r w:rsidRPr="00315335">
        <w:rPr>
          <w:rFonts w:ascii="Arial" w:hAnsi="Arial" w:cs="Arial"/>
          <w:sz w:val="24"/>
          <w:szCs w:val="24"/>
          <w:lang w:val="it-IT"/>
        </w:rPr>
        <w:t xml:space="preserve">   - N</w:t>
      </w:r>
      <w:r w:rsidRPr="00315335">
        <w:rPr>
          <w:rFonts w:ascii="Arial" w:hAnsi="Arial" w:cs="Arial"/>
          <w:sz w:val="24"/>
          <w:szCs w:val="24"/>
        </w:rPr>
        <w:t>u s-au înregistrat cazuri de epidemii hidrice .</w:t>
      </w:r>
    </w:p>
    <w:p w:rsidR="00B95695" w:rsidRPr="00315335" w:rsidRDefault="00B95695" w:rsidP="00B95695">
      <w:pPr>
        <w:tabs>
          <w:tab w:val="num" w:pos="2145"/>
        </w:tabs>
        <w:spacing w:after="0" w:line="240" w:lineRule="auto"/>
        <w:jc w:val="both"/>
        <w:rPr>
          <w:rFonts w:ascii="Arial" w:hAnsi="Arial" w:cs="Arial"/>
          <w:sz w:val="24"/>
          <w:szCs w:val="24"/>
        </w:rPr>
      </w:pPr>
      <w:r w:rsidRPr="00315335">
        <w:rPr>
          <w:rFonts w:ascii="Arial" w:hAnsi="Arial" w:cs="Arial"/>
          <w:sz w:val="24"/>
          <w:szCs w:val="24"/>
        </w:rPr>
        <w:lastRenderedPageBreak/>
        <w:t xml:space="preserve">   - Nu s-au semnalat cazuri de hepatită acută virală sau  boli diareice care sa fi avut etiologie hidrică .</w:t>
      </w:r>
    </w:p>
    <w:p w:rsidR="00B95695" w:rsidRPr="00315335" w:rsidRDefault="00B95695" w:rsidP="00B95695">
      <w:pPr>
        <w:spacing w:after="0" w:line="240" w:lineRule="auto"/>
        <w:ind w:firstLine="708"/>
        <w:jc w:val="both"/>
        <w:rPr>
          <w:rFonts w:ascii="Arial" w:hAnsi="Arial" w:cs="Arial"/>
          <w:sz w:val="24"/>
          <w:szCs w:val="24"/>
        </w:rPr>
      </w:pPr>
      <w:r w:rsidRPr="00315335">
        <w:rPr>
          <w:rFonts w:ascii="Arial" w:hAnsi="Arial" w:cs="Arial"/>
          <w:sz w:val="24"/>
          <w:szCs w:val="24"/>
        </w:rPr>
        <w:t>În evidența D.S.P. Brăila se mai găsesc alte 2 stații de tratare a apei care au funcționat corespunzător : SC MIMBU SRL, cu profil de industrie alimentară, ce folosește apa de profunzime și SC TEBU INVEST CONSULT SRL, cu profil zootehnic, care  folosește ap</w:t>
      </w:r>
      <w:r w:rsidR="004D0136">
        <w:rPr>
          <w:rFonts w:ascii="Arial" w:hAnsi="Arial" w:cs="Arial"/>
          <w:sz w:val="24"/>
          <w:szCs w:val="24"/>
        </w:rPr>
        <w:t xml:space="preserve">ă </w:t>
      </w:r>
      <w:r w:rsidRPr="00315335">
        <w:rPr>
          <w:rFonts w:ascii="Arial" w:hAnsi="Arial" w:cs="Arial"/>
          <w:sz w:val="24"/>
          <w:szCs w:val="24"/>
        </w:rPr>
        <w:t>provenită din Dunăre .</w:t>
      </w:r>
    </w:p>
    <w:p w:rsidR="00B95695" w:rsidRPr="00315335" w:rsidRDefault="00B95695" w:rsidP="00B95695">
      <w:pPr>
        <w:jc w:val="both"/>
        <w:rPr>
          <w:rFonts w:ascii="Arial" w:hAnsi="Arial" w:cs="Arial"/>
          <w:b/>
          <w:sz w:val="24"/>
          <w:szCs w:val="24"/>
          <w:lang w:val="en-US"/>
        </w:rPr>
      </w:pPr>
    </w:p>
    <w:p w:rsidR="00B95695" w:rsidRPr="00315335" w:rsidRDefault="00B95695" w:rsidP="00B95695">
      <w:pPr>
        <w:jc w:val="both"/>
        <w:rPr>
          <w:rFonts w:ascii="Arial" w:hAnsi="Arial" w:cs="Arial"/>
          <w:b/>
          <w:bCs/>
          <w:sz w:val="24"/>
          <w:szCs w:val="24"/>
        </w:rPr>
      </w:pPr>
      <w:r w:rsidRPr="00315335">
        <w:rPr>
          <w:rFonts w:ascii="Arial" w:hAnsi="Arial" w:cs="Arial"/>
          <w:b/>
          <w:sz w:val="24"/>
          <w:szCs w:val="24"/>
          <w:lang w:val="en-US"/>
        </w:rPr>
        <w:t xml:space="preserve">Tabel VIII.1.3. -2- </w:t>
      </w:r>
      <w:r w:rsidRPr="00315335">
        <w:rPr>
          <w:rFonts w:ascii="Arial" w:hAnsi="Arial" w:cs="Arial"/>
          <w:b/>
          <w:sz w:val="24"/>
          <w:szCs w:val="24"/>
        </w:rPr>
        <w:t xml:space="preserve">Evoluţia cazurilor de methemoglobinemie </w:t>
      </w:r>
      <w:r w:rsidRPr="00315335">
        <w:rPr>
          <w:rFonts w:ascii="Arial" w:hAnsi="Arial" w:cs="Arial"/>
          <w:b/>
          <w:bCs/>
          <w:sz w:val="24"/>
          <w:szCs w:val="24"/>
        </w:rPr>
        <w:t>în perioada 2014 –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832"/>
        <w:gridCol w:w="850"/>
        <w:gridCol w:w="851"/>
        <w:gridCol w:w="850"/>
        <w:gridCol w:w="851"/>
      </w:tblGrid>
      <w:tr w:rsidR="00B95695" w:rsidRPr="00315335" w:rsidTr="00631723">
        <w:trPr>
          <w:trHeight w:val="612"/>
          <w:jc w:val="center"/>
        </w:trPr>
        <w:tc>
          <w:tcPr>
            <w:tcW w:w="2102" w:type="dxa"/>
            <w:vMerge w:val="restart"/>
            <w:shd w:val="clear" w:color="auto" w:fill="FABF8F"/>
          </w:tcPr>
          <w:p w:rsidR="00B95695" w:rsidRPr="00315335" w:rsidRDefault="00B95695" w:rsidP="00631723">
            <w:pPr>
              <w:jc w:val="both"/>
              <w:rPr>
                <w:rFonts w:ascii="Arial" w:hAnsi="Arial" w:cs="Arial"/>
                <w:b/>
                <w:sz w:val="24"/>
                <w:szCs w:val="24"/>
              </w:rPr>
            </w:pPr>
          </w:p>
          <w:p w:rsidR="00B95695" w:rsidRPr="00315335" w:rsidRDefault="00B95695" w:rsidP="00631723">
            <w:pPr>
              <w:jc w:val="both"/>
              <w:rPr>
                <w:rFonts w:ascii="Arial" w:hAnsi="Arial" w:cs="Arial"/>
                <w:b/>
                <w:sz w:val="24"/>
                <w:szCs w:val="24"/>
              </w:rPr>
            </w:pPr>
            <w:r w:rsidRPr="00315335">
              <w:rPr>
                <w:rFonts w:ascii="Arial" w:hAnsi="Arial" w:cs="Arial"/>
                <w:b/>
                <w:sz w:val="24"/>
                <w:szCs w:val="24"/>
              </w:rPr>
              <w:t>Județul Brăila</w:t>
            </w:r>
          </w:p>
        </w:tc>
        <w:tc>
          <w:tcPr>
            <w:tcW w:w="4234" w:type="dxa"/>
            <w:gridSpan w:val="5"/>
            <w:shd w:val="clear" w:color="auto" w:fill="FABF8F"/>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Evoluţia cazurilor de methemoglobinemie (cazuri/an)</w:t>
            </w:r>
          </w:p>
        </w:tc>
      </w:tr>
      <w:tr w:rsidR="00B95695" w:rsidRPr="00315335" w:rsidTr="00631723">
        <w:trPr>
          <w:jc w:val="center"/>
        </w:trPr>
        <w:tc>
          <w:tcPr>
            <w:tcW w:w="2102" w:type="dxa"/>
            <w:vMerge/>
            <w:shd w:val="clear" w:color="auto" w:fill="FABF8F"/>
          </w:tcPr>
          <w:p w:rsidR="00B95695" w:rsidRPr="00315335" w:rsidRDefault="00B95695" w:rsidP="00631723">
            <w:pPr>
              <w:spacing w:after="0"/>
              <w:jc w:val="both"/>
              <w:rPr>
                <w:rFonts w:ascii="Arial" w:hAnsi="Arial" w:cs="Arial"/>
                <w:b/>
                <w:sz w:val="24"/>
                <w:szCs w:val="24"/>
              </w:rPr>
            </w:pPr>
          </w:p>
        </w:tc>
        <w:tc>
          <w:tcPr>
            <w:tcW w:w="832" w:type="dxa"/>
            <w:shd w:val="clear" w:color="auto" w:fill="FABF8F"/>
          </w:tcPr>
          <w:p w:rsidR="00B95695" w:rsidRPr="00315335" w:rsidRDefault="00B95695" w:rsidP="00631723">
            <w:pPr>
              <w:spacing w:after="0"/>
              <w:jc w:val="both"/>
              <w:rPr>
                <w:rFonts w:ascii="Arial" w:hAnsi="Arial" w:cs="Arial"/>
                <w:b/>
                <w:sz w:val="24"/>
                <w:szCs w:val="24"/>
              </w:rPr>
            </w:pPr>
            <w:r w:rsidRPr="00315335">
              <w:rPr>
                <w:rFonts w:ascii="Arial" w:hAnsi="Arial" w:cs="Arial"/>
                <w:b/>
                <w:sz w:val="24"/>
                <w:szCs w:val="24"/>
              </w:rPr>
              <w:t>2014</w:t>
            </w:r>
          </w:p>
        </w:tc>
        <w:tc>
          <w:tcPr>
            <w:tcW w:w="850" w:type="dxa"/>
            <w:shd w:val="clear" w:color="auto" w:fill="FABF8F"/>
          </w:tcPr>
          <w:p w:rsidR="00B95695" w:rsidRPr="00315335" w:rsidRDefault="00B95695" w:rsidP="00631723">
            <w:pPr>
              <w:spacing w:after="0"/>
              <w:jc w:val="both"/>
              <w:rPr>
                <w:rFonts w:ascii="Arial" w:hAnsi="Arial" w:cs="Arial"/>
                <w:b/>
                <w:sz w:val="24"/>
                <w:szCs w:val="24"/>
              </w:rPr>
            </w:pPr>
            <w:r w:rsidRPr="00315335">
              <w:rPr>
                <w:rFonts w:ascii="Arial" w:hAnsi="Arial" w:cs="Arial"/>
                <w:b/>
                <w:sz w:val="24"/>
                <w:szCs w:val="24"/>
              </w:rPr>
              <w:t>2015</w:t>
            </w:r>
          </w:p>
        </w:tc>
        <w:tc>
          <w:tcPr>
            <w:tcW w:w="851" w:type="dxa"/>
            <w:shd w:val="clear" w:color="auto" w:fill="FABF8F"/>
          </w:tcPr>
          <w:p w:rsidR="00B95695" w:rsidRPr="00315335" w:rsidRDefault="00B95695" w:rsidP="00631723">
            <w:pPr>
              <w:spacing w:after="0"/>
              <w:jc w:val="both"/>
              <w:rPr>
                <w:rFonts w:ascii="Arial" w:hAnsi="Arial" w:cs="Arial"/>
                <w:b/>
                <w:sz w:val="24"/>
                <w:szCs w:val="24"/>
              </w:rPr>
            </w:pPr>
            <w:r w:rsidRPr="00315335">
              <w:rPr>
                <w:rFonts w:ascii="Arial" w:hAnsi="Arial" w:cs="Arial"/>
                <w:b/>
                <w:sz w:val="24"/>
                <w:szCs w:val="24"/>
              </w:rPr>
              <w:t>2016</w:t>
            </w:r>
          </w:p>
        </w:tc>
        <w:tc>
          <w:tcPr>
            <w:tcW w:w="850" w:type="dxa"/>
            <w:shd w:val="clear" w:color="auto" w:fill="FABF8F"/>
          </w:tcPr>
          <w:p w:rsidR="00B95695" w:rsidRPr="00315335" w:rsidRDefault="00B95695" w:rsidP="00631723">
            <w:pPr>
              <w:spacing w:after="0"/>
              <w:jc w:val="both"/>
              <w:rPr>
                <w:rFonts w:ascii="Arial" w:hAnsi="Arial" w:cs="Arial"/>
                <w:b/>
                <w:sz w:val="24"/>
                <w:szCs w:val="24"/>
              </w:rPr>
            </w:pPr>
            <w:r w:rsidRPr="00315335">
              <w:rPr>
                <w:rFonts w:ascii="Arial" w:hAnsi="Arial" w:cs="Arial"/>
                <w:b/>
                <w:sz w:val="24"/>
                <w:szCs w:val="24"/>
              </w:rPr>
              <w:t>2017</w:t>
            </w:r>
          </w:p>
        </w:tc>
        <w:tc>
          <w:tcPr>
            <w:tcW w:w="851" w:type="dxa"/>
            <w:shd w:val="clear" w:color="auto" w:fill="FABF8F"/>
          </w:tcPr>
          <w:p w:rsidR="00B95695" w:rsidRPr="00315335" w:rsidRDefault="00B95695" w:rsidP="00631723">
            <w:pPr>
              <w:spacing w:after="0"/>
              <w:jc w:val="both"/>
              <w:rPr>
                <w:rFonts w:ascii="Arial" w:hAnsi="Arial" w:cs="Arial"/>
                <w:b/>
                <w:sz w:val="24"/>
                <w:szCs w:val="24"/>
              </w:rPr>
            </w:pPr>
            <w:r w:rsidRPr="00315335">
              <w:rPr>
                <w:rFonts w:ascii="Arial" w:hAnsi="Arial" w:cs="Arial"/>
                <w:b/>
                <w:sz w:val="24"/>
                <w:szCs w:val="24"/>
              </w:rPr>
              <w:t>2018</w:t>
            </w:r>
          </w:p>
        </w:tc>
      </w:tr>
      <w:tr w:rsidR="00B95695" w:rsidRPr="00315335" w:rsidTr="00631723">
        <w:trPr>
          <w:jc w:val="center"/>
        </w:trPr>
        <w:tc>
          <w:tcPr>
            <w:tcW w:w="2102" w:type="dxa"/>
            <w:shd w:val="clear" w:color="auto" w:fill="FDE9D9"/>
          </w:tcPr>
          <w:p w:rsidR="00B95695" w:rsidRPr="00315335" w:rsidRDefault="00B95695" w:rsidP="00631723">
            <w:pPr>
              <w:spacing w:after="0" w:line="240" w:lineRule="auto"/>
              <w:jc w:val="both"/>
              <w:rPr>
                <w:rFonts w:ascii="Arial" w:hAnsi="Arial" w:cs="Arial"/>
                <w:sz w:val="24"/>
                <w:szCs w:val="24"/>
              </w:rPr>
            </w:pPr>
            <w:r w:rsidRPr="00315335">
              <w:rPr>
                <w:rFonts w:ascii="Arial" w:hAnsi="Arial" w:cs="Arial"/>
                <w:sz w:val="24"/>
                <w:szCs w:val="24"/>
              </w:rPr>
              <w:t>Număr cazuri/an</w:t>
            </w:r>
          </w:p>
        </w:tc>
        <w:tc>
          <w:tcPr>
            <w:tcW w:w="832"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0</w:t>
            </w:r>
          </w:p>
        </w:tc>
        <w:tc>
          <w:tcPr>
            <w:tcW w:w="850"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0</w:t>
            </w:r>
          </w:p>
        </w:tc>
        <w:tc>
          <w:tcPr>
            <w:tcW w:w="851"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0</w:t>
            </w:r>
          </w:p>
        </w:tc>
        <w:tc>
          <w:tcPr>
            <w:tcW w:w="850"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0</w:t>
            </w:r>
          </w:p>
        </w:tc>
        <w:tc>
          <w:tcPr>
            <w:tcW w:w="851" w:type="dxa"/>
            <w:shd w:val="clear" w:color="auto" w:fill="FDE9D9"/>
          </w:tcPr>
          <w:p w:rsidR="00B95695" w:rsidRPr="00315335" w:rsidRDefault="00B95695" w:rsidP="00631723">
            <w:pPr>
              <w:spacing w:line="240" w:lineRule="auto"/>
              <w:jc w:val="both"/>
              <w:rPr>
                <w:rFonts w:ascii="Arial" w:hAnsi="Arial" w:cs="Arial"/>
                <w:sz w:val="24"/>
                <w:szCs w:val="24"/>
              </w:rPr>
            </w:pPr>
          </w:p>
        </w:tc>
      </w:tr>
      <w:tr w:rsidR="00B95695" w:rsidRPr="00315335" w:rsidTr="00631723">
        <w:trPr>
          <w:jc w:val="center"/>
        </w:trPr>
        <w:tc>
          <w:tcPr>
            <w:tcW w:w="2102"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Număr cazuri de mortalitate infantilă generate de consumul apei de fântână</w:t>
            </w:r>
          </w:p>
        </w:tc>
        <w:tc>
          <w:tcPr>
            <w:tcW w:w="832"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0</w:t>
            </w:r>
          </w:p>
        </w:tc>
        <w:tc>
          <w:tcPr>
            <w:tcW w:w="850"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0</w:t>
            </w:r>
          </w:p>
        </w:tc>
        <w:tc>
          <w:tcPr>
            <w:tcW w:w="851"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0</w:t>
            </w:r>
          </w:p>
        </w:tc>
        <w:tc>
          <w:tcPr>
            <w:tcW w:w="850"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0</w:t>
            </w:r>
          </w:p>
        </w:tc>
        <w:tc>
          <w:tcPr>
            <w:tcW w:w="851" w:type="dxa"/>
            <w:shd w:val="clear" w:color="auto" w:fill="FDE9D9"/>
          </w:tcPr>
          <w:p w:rsidR="00B95695" w:rsidRPr="00315335" w:rsidRDefault="00B95695" w:rsidP="00631723">
            <w:pPr>
              <w:spacing w:line="240" w:lineRule="auto"/>
              <w:jc w:val="both"/>
              <w:rPr>
                <w:rFonts w:ascii="Arial" w:hAnsi="Arial" w:cs="Arial"/>
                <w:sz w:val="24"/>
                <w:szCs w:val="24"/>
              </w:rPr>
            </w:pPr>
            <w:r w:rsidRPr="00315335">
              <w:rPr>
                <w:rFonts w:ascii="Arial" w:hAnsi="Arial" w:cs="Arial"/>
                <w:sz w:val="24"/>
                <w:szCs w:val="24"/>
              </w:rPr>
              <w:t>0</w:t>
            </w:r>
          </w:p>
        </w:tc>
      </w:tr>
    </w:tbl>
    <w:p w:rsidR="00B95695" w:rsidRPr="00315335" w:rsidRDefault="00B95695" w:rsidP="00B95695">
      <w:pPr>
        <w:pStyle w:val="Default"/>
        <w:rPr>
          <w:rFonts w:ascii="Arial" w:hAnsi="Arial" w:cs="Arial"/>
          <w:b/>
          <w:i/>
          <w:color w:val="auto"/>
          <w:sz w:val="20"/>
          <w:szCs w:val="20"/>
        </w:rPr>
      </w:pPr>
      <w:r w:rsidRPr="00315335">
        <w:rPr>
          <w:rFonts w:ascii="Arial" w:hAnsi="Arial" w:cs="Arial"/>
          <w:color w:val="auto"/>
        </w:rPr>
        <w:t xml:space="preserve">    </w:t>
      </w:r>
      <w:r w:rsidRPr="00315335">
        <w:rPr>
          <w:rFonts w:ascii="Arial" w:hAnsi="Arial" w:cs="Arial"/>
          <w:b/>
          <w:i/>
          <w:color w:val="auto"/>
          <w:sz w:val="20"/>
          <w:szCs w:val="20"/>
        </w:rPr>
        <w:t>Notă: Informații furnizate de către Direcția de Sănătate Publică a județului Brăila</w:t>
      </w:r>
    </w:p>
    <w:p w:rsidR="00B95695" w:rsidRDefault="00B95695" w:rsidP="00B95695">
      <w:pPr>
        <w:pStyle w:val="Default"/>
        <w:rPr>
          <w:b/>
          <w:i/>
          <w:color w:val="auto"/>
        </w:rPr>
      </w:pPr>
      <w:r w:rsidRPr="00315335">
        <w:rPr>
          <w:rFonts w:ascii="Arial" w:hAnsi="Arial" w:cs="Arial"/>
          <w:b/>
          <w:i/>
          <w:color w:val="auto"/>
          <w:sz w:val="20"/>
          <w:szCs w:val="20"/>
        </w:rPr>
        <w:t>(</w:t>
      </w:r>
      <w:r w:rsidRPr="00315335">
        <w:rPr>
          <w:b/>
          <w:i/>
          <w:color w:val="auto"/>
        </w:rPr>
        <w:t xml:space="preserve">Pentru cazurile de methemoglobinemie se vor lua în considerare cazurile de boală cu diagnostic principal la externare de “Intoxicaţie acută cu nitraţi”). </w:t>
      </w:r>
    </w:p>
    <w:p w:rsidR="00D638AC" w:rsidRPr="00315335" w:rsidRDefault="00D638AC" w:rsidP="00B95695">
      <w:pPr>
        <w:pStyle w:val="Default"/>
        <w:rPr>
          <w:b/>
          <w:i/>
          <w:color w:val="auto"/>
        </w:rPr>
      </w:pPr>
    </w:p>
    <w:p w:rsidR="00B95695" w:rsidRPr="00315335" w:rsidRDefault="00B95695" w:rsidP="00B95695">
      <w:pPr>
        <w:spacing w:after="0" w:line="240" w:lineRule="auto"/>
        <w:ind w:firstLine="708"/>
        <w:rPr>
          <w:rFonts w:ascii="Arial" w:hAnsi="Arial" w:cs="Arial"/>
          <w:sz w:val="24"/>
          <w:szCs w:val="24"/>
        </w:rPr>
      </w:pPr>
      <w:r w:rsidRPr="00315335">
        <w:rPr>
          <w:rFonts w:ascii="Arial" w:hAnsi="Arial" w:cs="Arial"/>
          <w:b/>
          <w:sz w:val="24"/>
          <w:szCs w:val="24"/>
        </w:rPr>
        <w:t>Tabelul VIII. 1.3. – 3</w:t>
      </w:r>
      <w:r w:rsidRPr="00315335">
        <w:rPr>
          <w:rFonts w:ascii="Arial" w:hAnsi="Arial" w:cs="Arial"/>
          <w:sz w:val="24"/>
          <w:szCs w:val="24"/>
        </w:rPr>
        <w:t xml:space="preserve"> Îmbolnăviri asociate factorilor de risc din apa pentru consum la nivelul județului Brăila pentru anii 2017 - 2018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349"/>
        <w:gridCol w:w="2268"/>
      </w:tblGrid>
      <w:tr w:rsidR="00B95695" w:rsidRPr="00315335" w:rsidTr="00631723">
        <w:trPr>
          <w:jc w:val="center"/>
        </w:trPr>
        <w:tc>
          <w:tcPr>
            <w:tcW w:w="3033" w:type="dxa"/>
            <w:vMerge w:val="restart"/>
            <w:shd w:val="clear" w:color="auto" w:fill="FDE9D9"/>
          </w:tcPr>
          <w:p w:rsidR="00B95695" w:rsidRPr="00315335" w:rsidRDefault="00B95695" w:rsidP="00631723">
            <w:pPr>
              <w:spacing w:after="0" w:line="240" w:lineRule="auto"/>
              <w:rPr>
                <w:rFonts w:ascii="Arial" w:eastAsia="Calibri" w:hAnsi="Arial" w:cs="Arial"/>
                <w:sz w:val="24"/>
                <w:szCs w:val="24"/>
                <w:lang w:val="en-US"/>
              </w:rPr>
            </w:pPr>
          </w:p>
          <w:p w:rsidR="00B95695" w:rsidRPr="00315335" w:rsidRDefault="00B95695" w:rsidP="00631723">
            <w:pPr>
              <w:spacing w:after="0" w:line="240" w:lineRule="auto"/>
              <w:jc w:val="center"/>
              <w:rPr>
                <w:rFonts w:ascii="Arial" w:eastAsia="Calibri" w:hAnsi="Arial" w:cs="Arial"/>
                <w:sz w:val="24"/>
                <w:szCs w:val="24"/>
                <w:lang w:val="en-US"/>
              </w:rPr>
            </w:pPr>
            <w:r w:rsidRPr="00315335">
              <w:rPr>
                <w:rFonts w:ascii="Arial" w:eastAsia="Calibri" w:hAnsi="Arial" w:cs="Arial"/>
                <w:sz w:val="24"/>
                <w:szCs w:val="24"/>
                <w:lang w:val="en-US"/>
              </w:rPr>
              <w:t>Județul Brăila</w:t>
            </w:r>
          </w:p>
        </w:tc>
        <w:tc>
          <w:tcPr>
            <w:tcW w:w="4617" w:type="dxa"/>
            <w:gridSpan w:val="2"/>
            <w:shd w:val="clear" w:color="auto" w:fill="FDE9D9"/>
          </w:tcPr>
          <w:p w:rsidR="00B95695" w:rsidRPr="00315335" w:rsidRDefault="00B95695" w:rsidP="00631723">
            <w:pPr>
              <w:spacing w:after="0" w:line="240" w:lineRule="auto"/>
              <w:rPr>
                <w:rFonts w:ascii="Arial" w:eastAsia="Calibri" w:hAnsi="Arial" w:cs="Arial"/>
                <w:sz w:val="24"/>
                <w:szCs w:val="24"/>
                <w:lang w:val="en-US"/>
              </w:rPr>
            </w:pPr>
            <w:r w:rsidRPr="00315335">
              <w:rPr>
                <w:rFonts w:ascii="Arial" w:eastAsia="Calibri" w:hAnsi="Arial" w:cs="Arial"/>
                <w:sz w:val="24"/>
                <w:szCs w:val="24"/>
                <w:lang w:val="en-US"/>
              </w:rPr>
              <w:t>Îmbolnăviri asociate factorilor de risc din apa pentru consum</w:t>
            </w:r>
          </w:p>
        </w:tc>
      </w:tr>
      <w:tr w:rsidR="00B95695" w:rsidRPr="00315335" w:rsidTr="00631723">
        <w:trPr>
          <w:jc w:val="center"/>
        </w:trPr>
        <w:tc>
          <w:tcPr>
            <w:tcW w:w="3033" w:type="dxa"/>
            <w:vMerge/>
          </w:tcPr>
          <w:p w:rsidR="00B95695" w:rsidRPr="00315335" w:rsidRDefault="00B95695" w:rsidP="00631723">
            <w:pPr>
              <w:spacing w:after="0" w:line="240" w:lineRule="auto"/>
              <w:rPr>
                <w:rFonts w:ascii="Arial" w:eastAsia="Calibri" w:hAnsi="Arial" w:cs="Arial"/>
                <w:sz w:val="24"/>
                <w:szCs w:val="24"/>
                <w:lang w:val="en-US"/>
              </w:rPr>
            </w:pPr>
          </w:p>
        </w:tc>
        <w:tc>
          <w:tcPr>
            <w:tcW w:w="2349" w:type="dxa"/>
            <w:shd w:val="clear" w:color="auto" w:fill="FDE9D9"/>
          </w:tcPr>
          <w:p w:rsidR="00B95695" w:rsidRPr="00315335" w:rsidRDefault="00B95695" w:rsidP="00631723">
            <w:pPr>
              <w:spacing w:after="0" w:line="240" w:lineRule="auto"/>
              <w:jc w:val="center"/>
              <w:rPr>
                <w:rFonts w:ascii="Arial" w:eastAsia="Calibri" w:hAnsi="Arial" w:cs="Arial"/>
                <w:sz w:val="24"/>
                <w:szCs w:val="24"/>
                <w:lang w:val="en-US"/>
              </w:rPr>
            </w:pPr>
            <w:r w:rsidRPr="00315335">
              <w:rPr>
                <w:rFonts w:ascii="Arial" w:eastAsia="Calibri" w:hAnsi="Arial" w:cs="Arial"/>
                <w:sz w:val="24"/>
                <w:szCs w:val="24"/>
                <w:lang w:val="en-US"/>
              </w:rPr>
              <w:t xml:space="preserve">Anul </w:t>
            </w:r>
            <w:r w:rsidRPr="00315335">
              <w:rPr>
                <w:rFonts w:ascii="Arial" w:eastAsia="Calibri" w:hAnsi="Arial" w:cs="Arial"/>
                <w:b/>
                <w:sz w:val="24"/>
                <w:szCs w:val="24"/>
                <w:lang w:val="en-US"/>
              </w:rPr>
              <w:t>2017</w:t>
            </w:r>
          </w:p>
        </w:tc>
        <w:tc>
          <w:tcPr>
            <w:tcW w:w="2268" w:type="dxa"/>
            <w:shd w:val="clear" w:color="auto" w:fill="FDE9D9"/>
          </w:tcPr>
          <w:p w:rsidR="00B95695" w:rsidRPr="00315335" w:rsidRDefault="00B95695" w:rsidP="00631723">
            <w:pPr>
              <w:spacing w:after="0" w:line="240" w:lineRule="auto"/>
              <w:jc w:val="center"/>
              <w:rPr>
                <w:rFonts w:ascii="Arial" w:eastAsia="Calibri" w:hAnsi="Arial" w:cs="Arial"/>
                <w:sz w:val="24"/>
                <w:szCs w:val="24"/>
                <w:lang w:val="en-US"/>
              </w:rPr>
            </w:pPr>
            <w:r w:rsidRPr="00315335">
              <w:rPr>
                <w:rFonts w:ascii="Arial" w:eastAsia="Calibri" w:hAnsi="Arial" w:cs="Arial"/>
                <w:sz w:val="24"/>
                <w:szCs w:val="24"/>
                <w:lang w:val="en-US"/>
              </w:rPr>
              <w:t xml:space="preserve">Anul </w:t>
            </w:r>
            <w:r w:rsidRPr="00315335">
              <w:rPr>
                <w:rFonts w:ascii="Arial" w:eastAsia="Calibri" w:hAnsi="Arial" w:cs="Arial"/>
                <w:b/>
                <w:sz w:val="24"/>
                <w:szCs w:val="24"/>
                <w:lang w:val="en-US"/>
              </w:rPr>
              <w:t>2018</w:t>
            </w:r>
          </w:p>
        </w:tc>
      </w:tr>
      <w:tr w:rsidR="00B95695" w:rsidRPr="00315335" w:rsidTr="00631723">
        <w:trPr>
          <w:jc w:val="center"/>
        </w:trPr>
        <w:tc>
          <w:tcPr>
            <w:tcW w:w="3033" w:type="dxa"/>
            <w:shd w:val="clear" w:color="auto" w:fill="DAEEF3"/>
          </w:tcPr>
          <w:p w:rsidR="00B95695" w:rsidRPr="00315335" w:rsidRDefault="00B95695" w:rsidP="00631723">
            <w:pPr>
              <w:spacing w:after="0" w:line="240" w:lineRule="auto"/>
              <w:rPr>
                <w:rFonts w:ascii="Arial" w:eastAsia="Calibri" w:hAnsi="Arial" w:cs="Arial"/>
                <w:sz w:val="24"/>
                <w:szCs w:val="24"/>
                <w:lang w:val="en-US"/>
              </w:rPr>
            </w:pPr>
            <w:r w:rsidRPr="00315335">
              <w:rPr>
                <w:rFonts w:ascii="Arial" w:eastAsia="Calibri" w:hAnsi="Arial" w:cs="Arial"/>
                <w:sz w:val="24"/>
                <w:szCs w:val="24"/>
                <w:lang w:val="en-US"/>
              </w:rPr>
              <w:t>Număr cazuri la 1.000 de locuitori</w:t>
            </w:r>
          </w:p>
        </w:tc>
        <w:tc>
          <w:tcPr>
            <w:tcW w:w="2349" w:type="dxa"/>
            <w:shd w:val="clear" w:color="auto" w:fill="DAEEF3"/>
          </w:tcPr>
          <w:p w:rsidR="00B95695" w:rsidRPr="00315335" w:rsidRDefault="00B95695" w:rsidP="00631723">
            <w:pPr>
              <w:spacing w:after="0" w:line="240" w:lineRule="auto"/>
              <w:jc w:val="center"/>
              <w:rPr>
                <w:rFonts w:ascii="Arial" w:eastAsia="Calibri" w:hAnsi="Arial" w:cs="Arial"/>
                <w:sz w:val="24"/>
                <w:szCs w:val="24"/>
                <w:lang w:val="en-US"/>
              </w:rPr>
            </w:pPr>
            <w:r w:rsidRPr="00315335">
              <w:rPr>
                <w:rFonts w:ascii="Arial" w:eastAsia="Calibri" w:hAnsi="Arial" w:cs="Arial"/>
                <w:sz w:val="24"/>
                <w:szCs w:val="24"/>
                <w:lang w:val="en-US"/>
              </w:rPr>
              <w:t>0</w:t>
            </w:r>
          </w:p>
        </w:tc>
        <w:tc>
          <w:tcPr>
            <w:tcW w:w="2268" w:type="dxa"/>
            <w:shd w:val="clear" w:color="auto" w:fill="DAEEF3"/>
          </w:tcPr>
          <w:p w:rsidR="00B95695" w:rsidRPr="00315335" w:rsidRDefault="00B95695" w:rsidP="00631723">
            <w:pPr>
              <w:spacing w:after="0" w:line="240" w:lineRule="auto"/>
              <w:jc w:val="center"/>
              <w:rPr>
                <w:rFonts w:ascii="Arial" w:eastAsia="Calibri" w:hAnsi="Arial" w:cs="Arial"/>
                <w:sz w:val="24"/>
                <w:szCs w:val="24"/>
                <w:lang w:val="en-US"/>
              </w:rPr>
            </w:pPr>
            <w:r w:rsidRPr="00315335">
              <w:rPr>
                <w:rFonts w:ascii="Arial" w:eastAsia="Calibri" w:hAnsi="Arial" w:cs="Arial"/>
                <w:sz w:val="24"/>
                <w:szCs w:val="24"/>
                <w:lang w:val="en-US"/>
              </w:rPr>
              <w:t>0</w:t>
            </w:r>
          </w:p>
        </w:tc>
      </w:tr>
    </w:tbl>
    <w:p w:rsidR="00B95695" w:rsidRPr="00315335" w:rsidRDefault="00B95695" w:rsidP="00B95695">
      <w:pPr>
        <w:ind w:firstLine="708"/>
        <w:rPr>
          <w:rFonts w:ascii="Arial" w:hAnsi="Arial" w:cs="Arial"/>
          <w:b/>
          <w:i/>
          <w:sz w:val="20"/>
          <w:szCs w:val="20"/>
        </w:rPr>
      </w:pPr>
      <w:r w:rsidRPr="00315335">
        <w:rPr>
          <w:rFonts w:ascii="Arial" w:hAnsi="Arial" w:cs="Arial"/>
          <w:sz w:val="24"/>
          <w:szCs w:val="24"/>
          <w:lang w:val="en-US"/>
        </w:rPr>
        <w:t xml:space="preserve">* </w:t>
      </w:r>
      <w:r w:rsidRPr="00315335">
        <w:rPr>
          <w:rFonts w:ascii="Arial" w:hAnsi="Arial" w:cs="Arial"/>
          <w:b/>
          <w:i/>
          <w:sz w:val="20"/>
          <w:szCs w:val="20"/>
        </w:rPr>
        <w:t xml:space="preserve">Datele colectate se referă la cazuri spitalizate prin </w:t>
      </w:r>
      <w:r w:rsidRPr="00315335">
        <w:rPr>
          <w:rFonts w:ascii="Arial" w:hAnsi="Arial" w:cs="Arial"/>
          <w:b/>
          <w:i/>
          <w:iCs/>
          <w:sz w:val="20"/>
          <w:szCs w:val="20"/>
        </w:rPr>
        <w:t>boli hidrice infecţioase şi  neinfecţioase</w:t>
      </w:r>
      <w:r w:rsidRPr="00315335">
        <w:rPr>
          <w:rFonts w:ascii="Arial" w:hAnsi="Arial" w:cs="Arial"/>
          <w:b/>
          <w:i/>
          <w:sz w:val="20"/>
          <w:szCs w:val="20"/>
        </w:rPr>
        <w:t xml:space="preserve"> în toate unităţile spitaliceşti din judeţul Brăila</w:t>
      </w:r>
      <w:r w:rsidRPr="00315335">
        <w:rPr>
          <w:rFonts w:ascii="Times New Roman" w:hAnsi="Times New Roman"/>
          <w:b/>
        </w:rPr>
        <w:t>.</w:t>
      </w:r>
      <w:r w:rsidRPr="00315335">
        <w:rPr>
          <w:rFonts w:ascii="Arial" w:hAnsi="Arial" w:cs="Arial"/>
          <w:b/>
          <w:i/>
          <w:sz w:val="20"/>
          <w:szCs w:val="20"/>
        </w:rPr>
        <w:t>Notă: Informații furnizate de către Direcția de Sănătate Publică a județului Brăila</w:t>
      </w:r>
    </w:p>
    <w:p w:rsidR="00B95695" w:rsidRPr="00315335" w:rsidRDefault="00B95695" w:rsidP="00B95695">
      <w:pPr>
        <w:pStyle w:val="Default"/>
        <w:rPr>
          <w:rFonts w:ascii="Arial" w:hAnsi="Arial" w:cs="Arial"/>
          <w:b/>
          <w:color w:val="auto"/>
        </w:rPr>
      </w:pPr>
      <w:r w:rsidRPr="00315335">
        <w:rPr>
          <w:rFonts w:ascii="Arial" w:hAnsi="Arial" w:cs="Arial"/>
          <w:b/>
          <w:color w:val="auto"/>
        </w:rPr>
        <w:t>VIII.1.4. Spațiile verzi și efectele asupra sănătății și calității vieții - 2018</w:t>
      </w:r>
    </w:p>
    <w:p w:rsidR="00B95695" w:rsidRPr="00315335" w:rsidRDefault="00B95695" w:rsidP="00B95695">
      <w:pPr>
        <w:pStyle w:val="Default"/>
        <w:rPr>
          <w:color w:val="auto"/>
        </w:rPr>
      </w:pPr>
    </w:p>
    <w:p w:rsidR="00B95695" w:rsidRPr="00315335" w:rsidRDefault="00B95695" w:rsidP="00B95695">
      <w:pPr>
        <w:spacing w:after="0" w:line="240" w:lineRule="auto"/>
        <w:jc w:val="both"/>
        <w:rPr>
          <w:rStyle w:val="tli1"/>
          <w:rFonts w:ascii="Arial" w:hAnsi="Arial" w:cs="Arial"/>
          <w:sz w:val="24"/>
          <w:szCs w:val="24"/>
        </w:rPr>
      </w:pPr>
      <w:r w:rsidRPr="00315335">
        <w:rPr>
          <w:rStyle w:val="tli1"/>
          <w:rFonts w:ascii="Arial" w:hAnsi="Arial" w:cs="Arial"/>
          <w:sz w:val="24"/>
          <w:szCs w:val="24"/>
        </w:rPr>
        <w:t xml:space="preserve">      Pe lângă rolul estetic, spațiile verzi contribuie la îmbunătăţirea calităţii mediului prin reducerea poluării atmosferice şi reglarea climatului zonal (ameliorând temperaturile extreme şi îmbunătăţind regimul precipitaţiilor).</w:t>
      </w:r>
    </w:p>
    <w:p w:rsidR="00B95695" w:rsidRPr="00315335" w:rsidRDefault="00CA4E6F" w:rsidP="00B95695">
      <w:pPr>
        <w:spacing w:after="0" w:line="240" w:lineRule="auto"/>
        <w:jc w:val="both"/>
        <w:rPr>
          <w:rFonts w:ascii="Arial" w:hAnsi="Arial" w:cs="Arial"/>
          <w:sz w:val="24"/>
          <w:szCs w:val="24"/>
        </w:rPr>
      </w:pPr>
      <w:hyperlink w:anchor="#" w:history="1"/>
      <w:r w:rsidR="00B95695" w:rsidRPr="00315335">
        <w:rPr>
          <w:rFonts w:ascii="Arial" w:hAnsi="Arial" w:cs="Arial"/>
          <w:sz w:val="24"/>
          <w:szCs w:val="24"/>
        </w:rPr>
        <w:t>A</w:t>
      </w:r>
      <w:r w:rsidR="00B95695" w:rsidRPr="00315335">
        <w:rPr>
          <w:rStyle w:val="tpa1"/>
          <w:rFonts w:ascii="Arial" w:hAnsi="Arial" w:cs="Arial"/>
          <w:sz w:val="24"/>
          <w:szCs w:val="24"/>
        </w:rPr>
        <w:t>dministrarea spaţiilor verzi urmăreşte:</w:t>
      </w:r>
    </w:p>
    <w:p w:rsidR="00B95695" w:rsidRPr="00315335" w:rsidRDefault="00CA4E6F" w:rsidP="00B95695">
      <w:pPr>
        <w:pStyle w:val="Listparagraf"/>
        <w:numPr>
          <w:ilvl w:val="0"/>
          <w:numId w:val="38"/>
        </w:numPr>
        <w:jc w:val="both"/>
        <w:rPr>
          <w:rFonts w:ascii="Arial" w:hAnsi="Arial" w:cs="Arial"/>
        </w:rPr>
      </w:pPr>
      <w:hyperlink w:anchor="#" w:history="1"/>
      <w:r w:rsidR="00B95695" w:rsidRPr="00315335">
        <w:rPr>
          <w:rStyle w:val="tli1"/>
          <w:rFonts w:ascii="Arial" w:eastAsia="SimSun" w:hAnsi="Arial" w:cs="Arial"/>
        </w:rPr>
        <w:t xml:space="preserve">protecţia şi conservarea spaţiilor verzi pentru menţinerea biodiversităţii lor; </w:t>
      </w:r>
      <w:hyperlink w:anchor="#" w:history="1"/>
      <w:r w:rsidR="00B95695" w:rsidRPr="00315335">
        <w:rPr>
          <w:rStyle w:val="tli1"/>
          <w:rFonts w:ascii="Arial" w:eastAsia="SimSun" w:hAnsi="Arial" w:cs="Arial"/>
        </w:rPr>
        <w:t>menţinerea şi dezvoltarea funcţiilor de protecţie a spaţiilor verzi privind apele, solul, schimbările climatice, menţinerea peisajelor în scopul ocrotirii sănătăţii populaţiei, protecţiei mediului şi asigurării calităţii vieţii;</w:t>
      </w:r>
    </w:p>
    <w:p w:rsidR="00B95695" w:rsidRPr="00315335" w:rsidRDefault="00CA4E6F" w:rsidP="00B95695">
      <w:pPr>
        <w:pStyle w:val="Listparagraf"/>
        <w:numPr>
          <w:ilvl w:val="0"/>
          <w:numId w:val="38"/>
        </w:numPr>
        <w:jc w:val="both"/>
        <w:rPr>
          <w:rFonts w:ascii="Arial" w:hAnsi="Arial" w:cs="Arial"/>
        </w:rPr>
      </w:pPr>
      <w:hyperlink w:anchor="#" w:history="1"/>
      <w:r w:rsidR="00B95695" w:rsidRPr="00315335">
        <w:rPr>
          <w:rStyle w:val="tli1"/>
          <w:rFonts w:ascii="Arial" w:eastAsia="SimSun" w:hAnsi="Arial" w:cs="Arial"/>
        </w:rPr>
        <w:t>regenerarea, extinderea, ameliorarea compoziţiei şi a calităţii spaţiilor verzi;</w:t>
      </w:r>
    </w:p>
    <w:p w:rsidR="00B95695" w:rsidRPr="00315335" w:rsidRDefault="00CA4E6F" w:rsidP="00B95695">
      <w:pPr>
        <w:pStyle w:val="Listparagraf"/>
        <w:numPr>
          <w:ilvl w:val="0"/>
          <w:numId w:val="38"/>
        </w:numPr>
        <w:jc w:val="both"/>
        <w:rPr>
          <w:rFonts w:ascii="Arial" w:hAnsi="Arial" w:cs="Arial"/>
        </w:rPr>
      </w:pPr>
      <w:hyperlink w:anchor="#" w:history="1"/>
      <w:r w:rsidR="00B95695" w:rsidRPr="00315335">
        <w:rPr>
          <w:rStyle w:val="tli1"/>
          <w:rFonts w:ascii="Arial" w:eastAsia="SimSun" w:hAnsi="Arial" w:cs="Arial"/>
        </w:rPr>
        <w:t>elaborarea şi aplicarea unui complex de măsuri privind aducerea şi menţinerea spaţiilor verzi în starea corespunzătoare funcţiilor lor;</w:t>
      </w:r>
    </w:p>
    <w:p w:rsidR="00B95695" w:rsidRPr="00315335" w:rsidRDefault="00CA4E6F" w:rsidP="00B95695">
      <w:pPr>
        <w:pStyle w:val="Listparagraf"/>
        <w:numPr>
          <w:ilvl w:val="0"/>
          <w:numId w:val="38"/>
        </w:numPr>
        <w:jc w:val="both"/>
        <w:rPr>
          <w:rFonts w:ascii="Arial" w:hAnsi="Arial" w:cs="Arial"/>
        </w:rPr>
      </w:pPr>
      <w:hyperlink w:anchor="#" w:history="1"/>
      <w:r w:rsidR="00B95695" w:rsidRPr="00315335">
        <w:rPr>
          <w:rStyle w:val="tli1"/>
          <w:rFonts w:ascii="Arial" w:eastAsia="SimSun" w:hAnsi="Arial" w:cs="Arial"/>
        </w:rPr>
        <w:t>identificarea zonelor deficitare şi realizarea de lucrări pentru extinderea suprafeţelor acoperite cu vegetaţie;</w:t>
      </w:r>
    </w:p>
    <w:p w:rsidR="00B95695" w:rsidRPr="00315335" w:rsidRDefault="00CA4E6F" w:rsidP="00B95695">
      <w:pPr>
        <w:pStyle w:val="Default"/>
        <w:widowControl w:val="0"/>
        <w:numPr>
          <w:ilvl w:val="0"/>
          <w:numId w:val="38"/>
        </w:numPr>
        <w:jc w:val="both"/>
        <w:rPr>
          <w:rStyle w:val="tli1"/>
          <w:rFonts w:ascii="Arial" w:hAnsi="Arial" w:cs="Arial"/>
          <w:color w:val="auto"/>
        </w:rPr>
      </w:pPr>
      <w:hyperlink w:anchor="#" w:history="1"/>
      <w:r w:rsidR="00B95695" w:rsidRPr="00315335">
        <w:rPr>
          <w:rStyle w:val="tli1"/>
          <w:rFonts w:ascii="Arial" w:eastAsia="SimSun" w:hAnsi="Arial" w:cs="Arial"/>
          <w:color w:val="auto"/>
        </w:rPr>
        <w:t>extinderea suprafeţelor ocupate de spaţii verzi, prin includerea în categoria spaţiilor verzi publice a terenurilor cu potenţial ecologic.</w:t>
      </w:r>
    </w:p>
    <w:p w:rsidR="00B95695" w:rsidRPr="00315335" w:rsidRDefault="00B95695" w:rsidP="00B95695">
      <w:pPr>
        <w:pStyle w:val="Default"/>
        <w:widowControl w:val="0"/>
        <w:ind w:left="1440"/>
        <w:jc w:val="both"/>
        <w:rPr>
          <w:rFonts w:ascii="Arial" w:hAnsi="Arial" w:cs="Arial"/>
          <w:color w:val="auto"/>
        </w:rPr>
      </w:pPr>
    </w:p>
    <w:p w:rsidR="00B95695" w:rsidRPr="00315335" w:rsidRDefault="00B95695" w:rsidP="00B95695">
      <w:pPr>
        <w:pStyle w:val="Titlu4"/>
        <w:tabs>
          <w:tab w:val="num" w:pos="709"/>
          <w:tab w:val="left" w:pos="851"/>
        </w:tabs>
        <w:spacing w:before="0" w:after="0" w:line="276" w:lineRule="auto"/>
        <w:jc w:val="both"/>
        <w:rPr>
          <w:rFonts w:ascii="Arial" w:hAnsi="Arial" w:cs="Arial"/>
          <w:bCs w:val="0"/>
          <w:iCs/>
          <w:sz w:val="24"/>
          <w:szCs w:val="24"/>
        </w:rPr>
      </w:pPr>
      <w:r w:rsidRPr="00315335">
        <w:rPr>
          <w:rFonts w:ascii="Arial" w:hAnsi="Arial" w:cs="Arial"/>
          <w:bCs w:val="0"/>
          <w:iCs/>
          <w:sz w:val="24"/>
          <w:szCs w:val="24"/>
        </w:rPr>
        <w:lastRenderedPageBreak/>
        <w:t>VIII.1.4.1.Suprafaţa ocupată de spaţiile verzi în aglomerările urbane</w:t>
      </w:r>
    </w:p>
    <w:p w:rsidR="00B95695" w:rsidRPr="00315335" w:rsidRDefault="00B95695" w:rsidP="00B95695">
      <w:pPr>
        <w:spacing w:after="0" w:line="240" w:lineRule="auto"/>
        <w:ind w:firstLine="737"/>
        <w:jc w:val="both"/>
        <w:rPr>
          <w:rFonts w:ascii="Arial" w:hAnsi="Arial" w:cs="Arial"/>
          <w:sz w:val="24"/>
          <w:szCs w:val="24"/>
          <w:lang w:val="it-IT"/>
        </w:rPr>
      </w:pPr>
      <w:r w:rsidRPr="00315335">
        <w:rPr>
          <w:rFonts w:ascii="Arial" w:hAnsi="Arial" w:cs="Arial"/>
          <w:bCs/>
          <w:iCs/>
          <w:sz w:val="24"/>
          <w:szCs w:val="24"/>
        </w:rPr>
        <w:t xml:space="preserve">Suprafaţa totală ocupată de spaţiile verzi în aglomerările urbane </w:t>
      </w:r>
      <w:r w:rsidRPr="00315335">
        <w:rPr>
          <w:rFonts w:ascii="Arial" w:hAnsi="Arial" w:cs="Arial"/>
          <w:sz w:val="24"/>
          <w:szCs w:val="24"/>
        </w:rPr>
        <w:t xml:space="preserve">ale județului Brăila este de 531,51 ha, reprezentând spațiile verzi </w:t>
      </w:r>
      <w:r w:rsidRPr="00315335">
        <w:rPr>
          <w:rFonts w:ascii="Arial" w:hAnsi="Arial" w:cs="Arial"/>
          <w:sz w:val="24"/>
          <w:szCs w:val="24"/>
          <w:lang w:val="it-IT"/>
        </w:rPr>
        <w:t>aferente orașului reședință de județ Brăila, respectiv cele ale orașelor Ianca, Însurăței și Făurei.</w:t>
      </w:r>
    </w:p>
    <w:p w:rsidR="00B95695" w:rsidRPr="00315335" w:rsidRDefault="00B95695" w:rsidP="00B95695">
      <w:pPr>
        <w:spacing w:after="0" w:line="240" w:lineRule="auto"/>
        <w:ind w:firstLine="737"/>
        <w:jc w:val="both"/>
        <w:rPr>
          <w:rFonts w:ascii="Arial" w:hAnsi="Arial" w:cs="Arial"/>
          <w:b/>
          <w:sz w:val="24"/>
          <w:szCs w:val="24"/>
          <w:lang w:val="en-US"/>
        </w:rPr>
      </w:pPr>
      <w:r w:rsidRPr="00315335">
        <w:rPr>
          <w:rFonts w:ascii="Arial" w:hAnsi="Arial" w:cs="Arial"/>
          <w:sz w:val="24"/>
          <w:szCs w:val="24"/>
        </w:rPr>
        <w:t>Evoluţia suprafeţei spaţiilor verzi din totalul intravilan, pentru o perioadă de cinci ani (2014-2018) respectiv evoluţia suprafeţei spaţiilor verzi pe cap de locuitor din mediul urban, tendinţă în ultimii cinci ani (2014-2018), sunt sintetizate pentru fiecare oraș în parte, în  următoarele tabele respectiv grafice:</w:t>
      </w:r>
    </w:p>
    <w:p w:rsidR="00B95695" w:rsidRPr="00315335" w:rsidRDefault="00B95695" w:rsidP="00B95695">
      <w:pPr>
        <w:jc w:val="both"/>
        <w:rPr>
          <w:rFonts w:ascii="Arial" w:hAnsi="Arial" w:cs="Arial"/>
          <w:lang w:val="it-IT"/>
        </w:rPr>
      </w:pPr>
      <w:r w:rsidRPr="00315335">
        <w:rPr>
          <w:rFonts w:ascii="Arial" w:hAnsi="Arial" w:cs="Arial"/>
          <w:b/>
          <w:sz w:val="24"/>
          <w:szCs w:val="24"/>
          <w:lang w:val="en-US"/>
        </w:rPr>
        <w:t xml:space="preserve">Tabel nr. VIII.1.4.1. – 1 </w:t>
      </w:r>
      <w:r w:rsidRPr="00315335">
        <w:rPr>
          <w:rFonts w:ascii="Arial" w:hAnsi="Arial" w:cs="Arial"/>
          <w:sz w:val="24"/>
          <w:szCs w:val="24"/>
        </w:rPr>
        <w:t>Situația spațiilor verzi</w:t>
      </w:r>
      <w:r w:rsidRPr="00315335">
        <w:rPr>
          <w:rFonts w:ascii="Arial" w:hAnsi="Arial" w:cs="Arial"/>
          <w:sz w:val="24"/>
          <w:szCs w:val="24"/>
          <w:lang w:val="it-IT"/>
        </w:rPr>
        <w:t xml:space="preserve"> aferente orașului reședință de județ BRĂILA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7"/>
        <w:gridCol w:w="1273"/>
        <w:gridCol w:w="1134"/>
        <w:gridCol w:w="1274"/>
        <w:gridCol w:w="1134"/>
        <w:gridCol w:w="1126"/>
      </w:tblGrid>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B95695" w:rsidRPr="00315335" w:rsidRDefault="00B95695" w:rsidP="00631723">
            <w:pPr>
              <w:tabs>
                <w:tab w:val="center" w:pos="4680"/>
                <w:tab w:val="right" w:pos="9360"/>
              </w:tabs>
              <w:rPr>
                <w:rFonts w:ascii="Arial" w:hAnsi="Arial" w:cs="Arial"/>
                <w:b/>
                <w:lang w:val="en-US"/>
              </w:rPr>
            </w:pPr>
            <w:r w:rsidRPr="00315335">
              <w:rPr>
                <w:rFonts w:ascii="Arial" w:hAnsi="Arial" w:cs="Arial"/>
                <w:b/>
              </w:rPr>
              <w:t xml:space="preserve"> Mun. Brăila</w:t>
            </w:r>
          </w:p>
        </w:tc>
        <w:tc>
          <w:tcPr>
            <w:tcW w:w="12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2015</w:t>
            </w:r>
          </w:p>
        </w:tc>
        <w:tc>
          <w:tcPr>
            <w:tcW w:w="127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2016</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2017</w:t>
            </w:r>
          </w:p>
        </w:tc>
        <w:tc>
          <w:tcPr>
            <w:tcW w:w="1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2018</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Suprafaţa</w:t>
            </w:r>
            <w:r w:rsidRPr="00315335">
              <w:rPr>
                <w:rFonts w:ascii="Arial" w:hAnsi="Arial" w:cs="Arial"/>
              </w:rPr>
              <w:t xml:space="preserve"> totală</w:t>
            </w:r>
            <w:r w:rsidRPr="00315335">
              <w:rPr>
                <w:rFonts w:ascii="Arial" w:hAnsi="Arial" w:cs="Arial"/>
                <w:lang w:val="en-US"/>
              </w:rPr>
              <w:t xml:space="preserve"> spaţii verzi</w:t>
            </w:r>
            <w:r w:rsidRPr="00315335">
              <w:rPr>
                <w:rFonts w:ascii="Arial" w:hAnsi="Arial" w:cs="Arial"/>
                <w:b/>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471,46</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471,46</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471,46</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470,53</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470,53</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Suprafață intravilan/</w:t>
            </w:r>
            <w:r w:rsidRPr="00315335">
              <w:rPr>
                <w:rFonts w:ascii="Arial" w:hAnsi="Arial" w:cs="Arial"/>
                <w:b/>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4201,41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4201,41</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4201,41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4201,41</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3809,96</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B95695" w:rsidRPr="00315335" w:rsidRDefault="00B95695" w:rsidP="00631723">
            <w:pPr>
              <w:rPr>
                <w:rFonts w:ascii="Arial" w:hAnsi="Arial" w:cs="Arial"/>
                <w:lang w:val="en-US"/>
              </w:rPr>
            </w:pPr>
            <w:r w:rsidRPr="00315335">
              <w:rPr>
                <w:rFonts w:ascii="Arial" w:hAnsi="Arial" w:cs="Arial"/>
              </w:rPr>
              <w:t xml:space="preserve">Procentul </w:t>
            </w:r>
            <w:r w:rsidRPr="00315335">
              <w:rPr>
                <w:rFonts w:ascii="Arial" w:hAnsi="Arial" w:cs="Arial"/>
                <w:b/>
              </w:rPr>
              <w:t xml:space="preserve">(%) </w:t>
            </w:r>
            <w:r w:rsidRPr="00315335">
              <w:rPr>
                <w:rFonts w:ascii="Arial" w:hAnsi="Arial" w:cs="Arial"/>
              </w:rPr>
              <w:t xml:space="preserve">din suprafaţă intravilan reprezentat de </w:t>
            </w:r>
            <w:r w:rsidRPr="00315335">
              <w:rPr>
                <w:rFonts w:ascii="Arial" w:hAnsi="Arial" w:cs="Arial"/>
                <w:b/>
              </w:rPr>
              <w:t xml:space="preserve">suprafaţa totală de spaţii verzi  </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11,22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11,20</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12,35</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B95695" w:rsidRPr="00315335" w:rsidRDefault="00B95695" w:rsidP="00631723">
            <w:pPr>
              <w:rPr>
                <w:rFonts w:ascii="Arial" w:hAnsi="Arial" w:cs="Arial"/>
                <w:lang w:val="en-US"/>
              </w:rPr>
            </w:pPr>
            <w:r w:rsidRPr="00315335">
              <w:rPr>
                <w:rFonts w:ascii="Arial" w:hAnsi="Arial" w:cs="Arial"/>
                <w:b/>
              </w:rPr>
              <w:t xml:space="preserve">Indicatorul </w:t>
            </w:r>
            <w:r w:rsidRPr="00315335">
              <w:rPr>
                <w:rFonts w:ascii="Arial" w:hAnsi="Arial" w:cs="Arial"/>
              </w:rPr>
              <w:t xml:space="preserve">– suprafaţă de spaţiu verde </w:t>
            </w:r>
            <w:r w:rsidRPr="00315335">
              <w:rPr>
                <w:rFonts w:ascii="Arial" w:hAnsi="Arial" w:cs="Arial"/>
                <w:b/>
              </w:rPr>
              <w:t xml:space="preserve"> m.p./locuitor</w:t>
            </w:r>
            <w:r w:rsidRPr="00315335">
              <w:rPr>
                <w:rFonts w:ascii="Arial" w:hAnsi="Arial" w:cs="Arial"/>
              </w:rPr>
              <w:t>;</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26,14</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26,14</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26,14</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26,10</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26,10</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B95695" w:rsidRPr="00315335" w:rsidRDefault="00B95695" w:rsidP="00631723">
            <w:pPr>
              <w:rPr>
                <w:rFonts w:ascii="Arial" w:hAnsi="Arial" w:cs="Arial"/>
              </w:rPr>
            </w:pPr>
            <w:r w:rsidRPr="00315335">
              <w:rPr>
                <w:rFonts w:ascii="Arial" w:hAnsi="Arial" w:cs="Arial"/>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180302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180302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180302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180302</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180302</w:t>
            </w:r>
          </w:p>
        </w:tc>
      </w:tr>
    </w:tbl>
    <w:p w:rsidR="00B95695" w:rsidRPr="00315335" w:rsidRDefault="00B95695" w:rsidP="00B95695">
      <w:pPr>
        <w:spacing w:after="0" w:line="240" w:lineRule="auto"/>
        <w:ind w:firstLine="708"/>
        <w:jc w:val="both"/>
        <w:rPr>
          <w:rFonts w:ascii="Arial" w:hAnsi="Arial" w:cs="Arial"/>
          <w:sz w:val="24"/>
          <w:szCs w:val="24"/>
          <w:highlight w:val="yellow"/>
        </w:rPr>
      </w:pPr>
    </w:p>
    <w:p w:rsidR="00B95695" w:rsidRPr="00315335" w:rsidRDefault="00B95695" w:rsidP="00B95695">
      <w:pPr>
        <w:spacing w:after="0" w:line="240" w:lineRule="auto"/>
        <w:ind w:firstLine="708"/>
        <w:jc w:val="both"/>
        <w:rPr>
          <w:rFonts w:ascii="Arial" w:hAnsi="Arial" w:cs="Arial"/>
          <w:sz w:val="24"/>
          <w:szCs w:val="24"/>
        </w:rPr>
      </w:pPr>
      <w:r w:rsidRPr="00315335">
        <w:rPr>
          <w:rFonts w:ascii="Arial" w:hAnsi="Arial" w:cs="Arial"/>
          <w:sz w:val="24"/>
          <w:szCs w:val="24"/>
        </w:rPr>
        <w:t xml:space="preserve">Suprafaţa totală de spaţii verzi a municipiului Brăila este de </w:t>
      </w:r>
      <w:r w:rsidRPr="00315335">
        <w:rPr>
          <w:rFonts w:ascii="Arial" w:hAnsi="Arial" w:cs="Arial"/>
          <w:bCs/>
          <w:sz w:val="24"/>
          <w:szCs w:val="24"/>
        </w:rPr>
        <w:t>4.705.284,53 mp (470,53 ha)</w:t>
      </w:r>
      <w:r w:rsidRPr="00315335">
        <w:rPr>
          <w:rFonts w:ascii="Arial" w:hAnsi="Arial" w:cs="Arial"/>
          <w:sz w:val="24"/>
          <w:szCs w:val="24"/>
        </w:rPr>
        <w:t xml:space="preserve">, reprezentând </w:t>
      </w:r>
      <w:r w:rsidRPr="00315335">
        <w:rPr>
          <w:rFonts w:ascii="Arial" w:hAnsi="Arial" w:cs="Arial"/>
          <w:b/>
          <w:sz w:val="24"/>
          <w:szCs w:val="24"/>
        </w:rPr>
        <w:t>12,35 %</w:t>
      </w:r>
      <w:r w:rsidRPr="00315335">
        <w:rPr>
          <w:rFonts w:ascii="Arial" w:hAnsi="Arial" w:cs="Arial"/>
          <w:sz w:val="24"/>
          <w:szCs w:val="24"/>
        </w:rPr>
        <w:t xml:space="preserve"> din suprafaţa terenului intravilan al municipiului, suprafaţa de spaţiu verde pe </w:t>
      </w:r>
      <w:r w:rsidRPr="00315335">
        <w:rPr>
          <w:rFonts w:ascii="Arial" w:hAnsi="Arial" w:cs="Arial"/>
          <w:bCs/>
          <w:iCs/>
          <w:sz w:val="24"/>
          <w:szCs w:val="24"/>
        </w:rPr>
        <w:t>cap de locuitor</w:t>
      </w:r>
      <w:r w:rsidRPr="00315335">
        <w:rPr>
          <w:rFonts w:ascii="Arial" w:hAnsi="Arial" w:cs="Arial"/>
          <w:sz w:val="24"/>
          <w:szCs w:val="24"/>
        </w:rPr>
        <w:t xml:space="preserve"> fiind de </w:t>
      </w:r>
      <w:r w:rsidRPr="00315335">
        <w:rPr>
          <w:rFonts w:ascii="Arial" w:hAnsi="Arial" w:cs="Arial"/>
          <w:b/>
          <w:bCs/>
          <w:iCs/>
          <w:sz w:val="24"/>
          <w:szCs w:val="24"/>
        </w:rPr>
        <w:t>26,10 m.p.</w:t>
      </w:r>
      <w:r w:rsidRPr="00315335">
        <w:rPr>
          <w:rFonts w:ascii="Arial" w:hAnsi="Arial" w:cs="Arial"/>
          <w:sz w:val="24"/>
          <w:szCs w:val="24"/>
        </w:rPr>
        <w:t xml:space="preserve"> </w:t>
      </w:r>
    </w:p>
    <w:p w:rsidR="00B95695" w:rsidRPr="00315335" w:rsidRDefault="00B95695" w:rsidP="00B95695">
      <w:pPr>
        <w:jc w:val="center"/>
        <w:rPr>
          <w:rFonts w:ascii="Arial" w:hAnsi="Arial" w:cs="Arial"/>
          <w:b/>
          <w:noProof/>
        </w:rPr>
      </w:pPr>
    </w:p>
    <w:p w:rsidR="00B95695" w:rsidRPr="00315335" w:rsidRDefault="00B95695" w:rsidP="00B95695">
      <w:pPr>
        <w:jc w:val="center"/>
        <w:rPr>
          <w:rFonts w:ascii="Arial" w:hAnsi="Arial" w:cs="Arial"/>
          <w:b/>
        </w:rPr>
      </w:pPr>
      <w:r w:rsidRPr="00315335">
        <w:rPr>
          <w:rFonts w:ascii="Arial" w:hAnsi="Arial" w:cs="Arial"/>
          <w:b/>
          <w:noProof/>
        </w:rPr>
        <w:drawing>
          <wp:inline distT="0" distB="0" distL="0" distR="0" wp14:anchorId="641BFD0C" wp14:editId="20C79F76">
            <wp:extent cx="4714875" cy="2416810"/>
            <wp:effectExtent l="19050" t="0" r="9525" b="2540"/>
            <wp:docPr id="8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B95695" w:rsidRPr="00315335" w:rsidRDefault="00B95695" w:rsidP="00B95695">
      <w:pPr>
        <w:jc w:val="center"/>
        <w:rPr>
          <w:rFonts w:ascii="Arial" w:hAnsi="Arial" w:cs="Arial"/>
        </w:rPr>
      </w:pPr>
      <w:r w:rsidRPr="00315335">
        <w:rPr>
          <w:rFonts w:ascii="Arial" w:hAnsi="Arial" w:cs="Arial"/>
          <w:b/>
          <w:lang w:val="en-US"/>
        </w:rPr>
        <w:t xml:space="preserve">Figura nr.VIII.1.4.1.-1 </w:t>
      </w:r>
      <w:r w:rsidRPr="00315335">
        <w:rPr>
          <w:rFonts w:ascii="Arial" w:hAnsi="Arial" w:cs="Arial"/>
          <w:sz w:val="24"/>
          <w:szCs w:val="24"/>
        </w:rPr>
        <w:t>Suprafaţa spaţii verzi din total intravilan (2014-2018) – municipiul Brăila</w:t>
      </w:r>
    </w:p>
    <w:p w:rsidR="00B95695" w:rsidRPr="00315335" w:rsidRDefault="00B95695" w:rsidP="00B95695">
      <w:pPr>
        <w:jc w:val="center"/>
        <w:rPr>
          <w:rFonts w:ascii="Arial" w:hAnsi="Arial" w:cs="Arial"/>
          <w:b/>
        </w:rPr>
      </w:pPr>
    </w:p>
    <w:p w:rsidR="00B95695" w:rsidRPr="00315335" w:rsidRDefault="00B95695" w:rsidP="00B95695">
      <w:pPr>
        <w:jc w:val="center"/>
        <w:rPr>
          <w:rFonts w:ascii="Arial" w:hAnsi="Arial" w:cs="Arial"/>
          <w:b/>
        </w:rPr>
      </w:pPr>
      <w:r w:rsidRPr="00315335">
        <w:rPr>
          <w:rFonts w:ascii="Arial" w:hAnsi="Arial" w:cs="Arial"/>
          <w:b/>
          <w:noProof/>
        </w:rPr>
        <w:lastRenderedPageBreak/>
        <w:drawing>
          <wp:inline distT="0" distB="0" distL="0" distR="0" wp14:anchorId="253D2D23" wp14:editId="36F96531">
            <wp:extent cx="4953000" cy="2552700"/>
            <wp:effectExtent l="19050" t="0" r="19050" b="0"/>
            <wp:docPr id="12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B95695" w:rsidRPr="00315335" w:rsidRDefault="00B95695" w:rsidP="00B95695">
      <w:pPr>
        <w:jc w:val="center"/>
        <w:rPr>
          <w:rFonts w:ascii="Arial" w:hAnsi="Arial" w:cs="Arial"/>
        </w:rPr>
      </w:pPr>
      <w:r w:rsidRPr="00315335">
        <w:rPr>
          <w:rFonts w:ascii="Arial" w:hAnsi="Arial" w:cs="Arial"/>
          <w:b/>
          <w:lang w:val="en-US"/>
        </w:rPr>
        <w:t xml:space="preserve">Figura nr.VIII.1.4.1. - </w:t>
      </w:r>
      <w:r w:rsidRPr="00315335">
        <w:rPr>
          <w:rFonts w:ascii="Arial" w:hAnsi="Arial" w:cs="Arial"/>
          <w:b/>
          <w:sz w:val="24"/>
          <w:szCs w:val="24"/>
          <w:lang w:val="en-US"/>
        </w:rPr>
        <w:t xml:space="preserve">2 </w:t>
      </w:r>
      <w:r w:rsidRPr="00315335">
        <w:rPr>
          <w:rFonts w:ascii="Arial" w:hAnsi="Arial" w:cs="Arial"/>
          <w:sz w:val="24"/>
          <w:szCs w:val="24"/>
        </w:rPr>
        <w:t>Suprafața spațiu verde m.p./ cap de locuitor din mediul urban, tendința (2014-2018)– municipiul Brăila</w:t>
      </w:r>
    </w:p>
    <w:p w:rsidR="00B95695" w:rsidRPr="00315335" w:rsidRDefault="00B95695" w:rsidP="00B95695">
      <w:pPr>
        <w:jc w:val="both"/>
        <w:rPr>
          <w:rFonts w:ascii="Arial" w:hAnsi="Arial" w:cs="Arial"/>
          <w:lang w:val="it-IT"/>
        </w:rPr>
      </w:pPr>
      <w:r w:rsidRPr="00315335">
        <w:rPr>
          <w:rFonts w:ascii="Arial" w:hAnsi="Arial" w:cs="Arial"/>
          <w:b/>
          <w:lang w:val="en-US"/>
        </w:rPr>
        <w:t xml:space="preserve">Tabel nr. VIII.1.4.1. - 2 </w:t>
      </w:r>
      <w:r w:rsidRPr="00315335">
        <w:rPr>
          <w:rFonts w:ascii="Arial" w:hAnsi="Arial" w:cs="Arial"/>
          <w:sz w:val="24"/>
          <w:szCs w:val="24"/>
        </w:rPr>
        <w:t>Situația spațiilor verzi</w:t>
      </w:r>
      <w:r w:rsidRPr="00315335">
        <w:rPr>
          <w:rFonts w:ascii="Arial" w:hAnsi="Arial" w:cs="Arial"/>
          <w:sz w:val="24"/>
          <w:szCs w:val="24"/>
          <w:lang w:val="it-IT"/>
        </w:rPr>
        <w:t xml:space="preserve"> aferente orașului Ianca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2"/>
        <w:gridCol w:w="1084"/>
        <w:gridCol w:w="1084"/>
        <w:gridCol w:w="1224"/>
        <w:gridCol w:w="1285"/>
        <w:gridCol w:w="1084"/>
      </w:tblGrid>
      <w:tr w:rsidR="00B95695" w:rsidRPr="00315335" w:rsidTr="00631723">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B95695" w:rsidRPr="00315335" w:rsidRDefault="00B95695" w:rsidP="00631723">
            <w:pPr>
              <w:tabs>
                <w:tab w:val="center" w:pos="4680"/>
                <w:tab w:val="right" w:pos="9360"/>
              </w:tabs>
              <w:jc w:val="center"/>
              <w:rPr>
                <w:rFonts w:ascii="Arial" w:hAnsi="Arial" w:cs="Arial"/>
                <w:lang w:val="en-US"/>
              </w:rPr>
            </w:pP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2014</w:t>
            </w: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2015</w:t>
            </w:r>
          </w:p>
        </w:tc>
        <w:tc>
          <w:tcPr>
            <w:tcW w:w="12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2016</w:t>
            </w:r>
          </w:p>
        </w:tc>
        <w:tc>
          <w:tcPr>
            <w:tcW w:w="128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2017</w:t>
            </w: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2018</w:t>
            </w:r>
          </w:p>
        </w:tc>
      </w:tr>
      <w:tr w:rsidR="00B95695" w:rsidRPr="00315335" w:rsidTr="00631723">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Suprafaţa</w:t>
            </w:r>
            <w:r w:rsidRPr="00315335">
              <w:rPr>
                <w:rFonts w:ascii="Arial" w:hAnsi="Arial" w:cs="Arial"/>
              </w:rPr>
              <w:t xml:space="preserve"> totală</w:t>
            </w:r>
            <w:r w:rsidRPr="00315335">
              <w:rPr>
                <w:rFonts w:ascii="Arial" w:hAnsi="Arial" w:cs="Arial"/>
                <w:lang w:val="en-US"/>
              </w:rPr>
              <w:t xml:space="preserve"> spaţii verzi/ha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38,28</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38,28</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38,28</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38,28</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38,28</w:t>
            </w:r>
          </w:p>
        </w:tc>
      </w:tr>
      <w:tr w:rsidR="00B95695" w:rsidRPr="00315335" w:rsidTr="00631723">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Suprafață intravilan/ha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1092,00</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1092,00</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1092,00</w:t>
            </w:r>
          </w:p>
        </w:tc>
      </w:tr>
      <w:tr w:rsidR="00B95695" w:rsidRPr="00315335" w:rsidTr="00631723">
        <w:trPr>
          <w:trHeight w:val="894"/>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rPr>
                <w:rFonts w:ascii="Arial" w:hAnsi="Arial" w:cs="Arial"/>
                <w:lang w:val="en-US"/>
              </w:rPr>
            </w:pPr>
            <w:r w:rsidRPr="00315335">
              <w:rPr>
                <w:rFonts w:ascii="Arial" w:hAnsi="Arial" w:cs="Arial"/>
              </w:rPr>
              <w:t xml:space="preserve">Procentul </w:t>
            </w:r>
            <w:r w:rsidRPr="00315335">
              <w:rPr>
                <w:rFonts w:ascii="Arial" w:hAnsi="Arial" w:cs="Arial"/>
                <w:i/>
              </w:rPr>
              <w:t>(%)</w:t>
            </w:r>
            <w:r w:rsidRPr="00315335">
              <w:rPr>
                <w:rFonts w:ascii="Arial" w:hAnsi="Arial" w:cs="Arial"/>
              </w:rPr>
              <w:t xml:space="preserve"> din suprafaţă intravilan reprezentat de </w:t>
            </w:r>
            <w:r w:rsidRPr="00315335">
              <w:rPr>
                <w:rFonts w:ascii="Arial" w:hAnsi="Arial" w:cs="Arial"/>
                <w:i/>
              </w:rPr>
              <w:t>suprafaţa totală de spaţii verzi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34,03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35,06</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35,06</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35,06</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35,06</w:t>
            </w:r>
          </w:p>
        </w:tc>
      </w:tr>
      <w:tr w:rsidR="00B95695" w:rsidRPr="00315335" w:rsidTr="00631723">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rPr>
                <w:rFonts w:ascii="Arial" w:hAnsi="Arial" w:cs="Arial"/>
                <w:lang w:val="en-US"/>
              </w:rPr>
            </w:pPr>
            <w:r w:rsidRPr="00315335">
              <w:rPr>
                <w:rFonts w:ascii="Arial" w:hAnsi="Arial" w:cs="Arial"/>
                <w:i/>
              </w:rPr>
              <w:t xml:space="preserve">Indicatorul </w:t>
            </w:r>
            <w:r w:rsidRPr="00315335">
              <w:rPr>
                <w:rFonts w:ascii="Arial" w:hAnsi="Arial" w:cs="Arial"/>
              </w:rPr>
              <w:t xml:space="preserve">– suprafaţă de spaţiu verde  </w:t>
            </w:r>
            <w:r w:rsidRPr="00315335">
              <w:rPr>
                <w:rFonts w:ascii="Arial" w:hAnsi="Arial" w:cs="Arial"/>
                <w:i/>
              </w:rPr>
              <w:t>m.p./locuitor</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37,01</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37,01</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37,01</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37,01</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37,01</w:t>
            </w:r>
          </w:p>
        </w:tc>
      </w:tr>
      <w:tr w:rsidR="00B95695" w:rsidRPr="00315335" w:rsidTr="00631723">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rPr>
                <w:rFonts w:ascii="Arial" w:hAnsi="Arial" w:cs="Arial"/>
              </w:rPr>
            </w:pPr>
            <w:r w:rsidRPr="00315335">
              <w:rPr>
                <w:rFonts w:ascii="Arial" w:hAnsi="Arial" w:cs="Arial"/>
              </w:rPr>
              <w:t>Număr locuitori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10343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10343</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10343</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10343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10343</w:t>
            </w:r>
          </w:p>
        </w:tc>
      </w:tr>
    </w:tbl>
    <w:p w:rsidR="00B95695" w:rsidRPr="00315335" w:rsidRDefault="00B95695" w:rsidP="00B95695">
      <w:pPr>
        <w:jc w:val="center"/>
        <w:rPr>
          <w:rFonts w:ascii="Arial" w:hAnsi="Arial" w:cs="Arial"/>
          <w:b/>
          <w:noProof/>
        </w:rPr>
      </w:pPr>
    </w:p>
    <w:p w:rsidR="00B95695" w:rsidRPr="00315335" w:rsidRDefault="00B95695" w:rsidP="00B95695">
      <w:pPr>
        <w:jc w:val="center"/>
        <w:rPr>
          <w:rFonts w:ascii="Arial" w:hAnsi="Arial" w:cs="Arial"/>
          <w:b/>
        </w:rPr>
      </w:pPr>
      <w:r w:rsidRPr="00315335">
        <w:rPr>
          <w:rFonts w:ascii="Arial" w:hAnsi="Arial" w:cs="Arial"/>
          <w:b/>
          <w:noProof/>
        </w:rPr>
        <w:drawing>
          <wp:inline distT="0" distB="0" distL="0" distR="0" wp14:anchorId="18ABDB99" wp14:editId="14144B69">
            <wp:extent cx="5067300" cy="2514600"/>
            <wp:effectExtent l="19050" t="0" r="19050" b="0"/>
            <wp:docPr id="8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B95695" w:rsidRPr="00315335" w:rsidRDefault="00B95695" w:rsidP="00B95695">
      <w:pPr>
        <w:jc w:val="both"/>
        <w:rPr>
          <w:rFonts w:ascii="Arial" w:hAnsi="Arial" w:cs="Arial"/>
          <w:b/>
          <w:sz w:val="24"/>
          <w:szCs w:val="24"/>
        </w:rPr>
      </w:pPr>
      <w:r w:rsidRPr="00315335">
        <w:rPr>
          <w:rFonts w:ascii="Arial" w:hAnsi="Arial" w:cs="Arial"/>
          <w:b/>
          <w:sz w:val="24"/>
          <w:szCs w:val="24"/>
          <w:lang w:val="en-US"/>
        </w:rPr>
        <w:t xml:space="preserve">Figura nr.VIII.1.4.1. – 3 </w:t>
      </w:r>
      <w:r w:rsidRPr="00315335">
        <w:rPr>
          <w:rFonts w:ascii="Arial" w:hAnsi="Arial" w:cs="Arial"/>
          <w:sz w:val="24"/>
          <w:szCs w:val="24"/>
        </w:rPr>
        <w:t xml:space="preserve">Suprafaţa spaţii verzi din total intravilan, 2014-2018 – </w:t>
      </w:r>
      <w:r w:rsidRPr="00315335">
        <w:rPr>
          <w:rFonts w:ascii="Arial" w:hAnsi="Arial" w:cs="Arial"/>
          <w:b/>
          <w:sz w:val="24"/>
          <w:szCs w:val="24"/>
        </w:rPr>
        <w:t>orașul Ianca</w:t>
      </w:r>
    </w:p>
    <w:p w:rsidR="00B95695" w:rsidRPr="00315335" w:rsidRDefault="00B95695" w:rsidP="00B95695">
      <w:pPr>
        <w:jc w:val="both"/>
        <w:rPr>
          <w:rFonts w:ascii="Arial" w:hAnsi="Arial" w:cs="Arial"/>
          <w:b/>
        </w:rPr>
      </w:pPr>
    </w:p>
    <w:p w:rsidR="00B95695" w:rsidRPr="00315335" w:rsidRDefault="00B95695" w:rsidP="00B95695">
      <w:pPr>
        <w:jc w:val="center"/>
        <w:rPr>
          <w:rFonts w:ascii="Arial" w:hAnsi="Arial" w:cs="Arial"/>
        </w:rPr>
      </w:pPr>
      <w:r w:rsidRPr="00315335">
        <w:rPr>
          <w:rFonts w:ascii="Arial" w:hAnsi="Arial" w:cs="Arial"/>
          <w:noProof/>
        </w:rPr>
        <w:lastRenderedPageBreak/>
        <w:drawing>
          <wp:inline distT="0" distB="0" distL="0" distR="0" wp14:anchorId="699DB1EA" wp14:editId="61BF55BE">
            <wp:extent cx="5334000" cy="2200275"/>
            <wp:effectExtent l="19050" t="0" r="19050" b="0"/>
            <wp:docPr id="13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B95695" w:rsidRPr="00315335" w:rsidRDefault="00B95695" w:rsidP="00B95695">
      <w:pPr>
        <w:jc w:val="center"/>
        <w:rPr>
          <w:rFonts w:ascii="Arial" w:hAnsi="Arial" w:cs="Arial"/>
          <w:b/>
          <w:lang w:val="en-US"/>
        </w:rPr>
      </w:pPr>
      <w:r w:rsidRPr="00315335">
        <w:rPr>
          <w:rFonts w:ascii="Arial" w:hAnsi="Arial" w:cs="Arial"/>
          <w:b/>
          <w:lang w:val="en-US"/>
        </w:rPr>
        <w:t xml:space="preserve">Figura nr.VIII.1.4.1. – 4 </w:t>
      </w:r>
      <w:r w:rsidRPr="00315335">
        <w:rPr>
          <w:rFonts w:ascii="Arial" w:hAnsi="Arial" w:cs="Arial"/>
        </w:rPr>
        <w:t xml:space="preserve">Suprafața spațiu verde m.p./cap de locuitor din mediul urban, tendința 2014-2018 – </w:t>
      </w:r>
      <w:r w:rsidRPr="00315335">
        <w:rPr>
          <w:rFonts w:ascii="Arial" w:hAnsi="Arial" w:cs="Arial"/>
          <w:b/>
        </w:rPr>
        <w:t>orașul Ianca</w:t>
      </w:r>
    </w:p>
    <w:p w:rsidR="00B95695" w:rsidRPr="00315335" w:rsidRDefault="00B95695" w:rsidP="00B95695">
      <w:pPr>
        <w:jc w:val="both"/>
        <w:rPr>
          <w:rFonts w:ascii="Arial" w:hAnsi="Arial" w:cs="Arial"/>
          <w:b/>
          <w:lang w:val="it-IT"/>
        </w:rPr>
      </w:pPr>
      <w:r w:rsidRPr="00315335">
        <w:rPr>
          <w:rFonts w:ascii="Arial" w:hAnsi="Arial" w:cs="Arial"/>
          <w:b/>
          <w:lang w:val="en-US"/>
        </w:rPr>
        <w:t xml:space="preserve">Tabel nr. VIII.1.4.1. - 3 </w:t>
      </w:r>
      <w:r w:rsidRPr="00315335">
        <w:rPr>
          <w:rFonts w:ascii="Arial" w:hAnsi="Arial" w:cs="Arial"/>
          <w:sz w:val="24"/>
          <w:szCs w:val="24"/>
        </w:rPr>
        <w:t>Situația spațiilor verzi</w:t>
      </w:r>
      <w:r w:rsidRPr="00315335">
        <w:rPr>
          <w:rFonts w:ascii="Arial" w:hAnsi="Arial" w:cs="Arial"/>
          <w:sz w:val="24"/>
          <w:szCs w:val="24"/>
          <w:lang w:val="it-IT"/>
        </w:rPr>
        <w:t xml:space="preserve"> aferente </w:t>
      </w:r>
      <w:r w:rsidRPr="00315335">
        <w:rPr>
          <w:rFonts w:ascii="Arial" w:hAnsi="Arial" w:cs="Arial"/>
          <w:b/>
          <w:sz w:val="24"/>
          <w:szCs w:val="24"/>
          <w:lang w:val="it-IT"/>
        </w:rPr>
        <w:t>orașului Însurăței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3"/>
        <w:gridCol w:w="1272"/>
        <w:gridCol w:w="1133"/>
        <w:gridCol w:w="1273"/>
        <w:gridCol w:w="1133"/>
        <w:gridCol w:w="1124"/>
      </w:tblGrid>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B95695" w:rsidRPr="00315335" w:rsidRDefault="00B95695" w:rsidP="00631723">
            <w:pPr>
              <w:tabs>
                <w:tab w:val="center" w:pos="4680"/>
                <w:tab w:val="right" w:pos="9360"/>
              </w:tabs>
              <w:jc w:val="center"/>
              <w:rPr>
                <w:rFonts w:ascii="Arial" w:hAnsi="Arial" w:cs="Arial"/>
                <w:b/>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2014</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2015</w:t>
            </w:r>
          </w:p>
        </w:tc>
        <w:tc>
          <w:tcPr>
            <w:tcW w:w="12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2016</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2017</w:t>
            </w:r>
          </w:p>
        </w:tc>
        <w:tc>
          <w:tcPr>
            <w:tcW w:w="11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2018</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Suprafaţa</w:t>
            </w:r>
            <w:r w:rsidRPr="00315335">
              <w:rPr>
                <w:rFonts w:ascii="Arial" w:hAnsi="Arial" w:cs="Arial"/>
              </w:rPr>
              <w:t xml:space="preserve"> totală</w:t>
            </w:r>
            <w:r w:rsidRPr="00315335">
              <w:rPr>
                <w:rFonts w:ascii="Arial" w:hAnsi="Arial" w:cs="Arial"/>
                <w:lang w:val="en-US"/>
              </w:rPr>
              <w:t xml:space="preserve"> spaţii verzi/ha</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18,07</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18,07</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18,07</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Suprafață intravilan/ha</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860,24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860,24</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860,24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860,24</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860,24</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rPr>
                <w:rFonts w:ascii="Arial" w:hAnsi="Arial" w:cs="Arial"/>
                <w:lang w:val="en-US"/>
              </w:rPr>
            </w:pPr>
            <w:r w:rsidRPr="00315335">
              <w:rPr>
                <w:rFonts w:ascii="Arial" w:hAnsi="Arial" w:cs="Arial"/>
              </w:rPr>
              <w:t xml:space="preserve">Procentul </w:t>
            </w:r>
            <w:r w:rsidRPr="00315335">
              <w:rPr>
                <w:rFonts w:ascii="Arial" w:hAnsi="Arial" w:cs="Arial"/>
                <w:i/>
              </w:rPr>
              <w:t>(%)</w:t>
            </w:r>
            <w:r w:rsidRPr="00315335">
              <w:rPr>
                <w:rFonts w:ascii="Arial" w:hAnsi="Arial" w:cs="Arial"/>
              </w:rPr>
              <w:t xml:space="preserve"> din suprafaţă intravilan reprezentat de </w:t>
            </w:r>
            <w:r w:rsidRPr="00315335">
              <w:rPr>
                <w:rFonts w:ascii="Arial" w:hAnsi="Arial" w:cs="Arial"/>
                <w:i/>
              </w:rPr>
              <w:t>suprafaţa totală de spaţii verzi</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2,1</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2,1</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2,1</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rPr>
                <w:rFonts w:ascii="Arial" w:hAnsi="Arial" w:cs="Arial"/>
                <w:lang w:val="en-US"/>
              </w:rPr>
            </w:pPr>
            <w:r w:rsidRPr="00315335">
              <w:rPr>
                <w:rFonts w:ascii="Arial" w:hAnsi="Arial" w:cs="Arial"/>
                <w:i/>
              </w:rPr>
              <w:t xml:space="preserve">Indicatorul </w:t>
            </w:r>
            <w:r w:rsidRPr="00315335">
              <w:rPr>
                <w:rFonts w:ascii="Arial" w:hAnsi="Arial" w:cs="Arial"/>
              </w:rPr>
              <w:t xml:space="preserve">– suprafaţă de spaţiu verde  </w:t>
            </w:r>
            <w:r w:rsidRPr="00315335">
              <w:rPr>
                <w:rFonts w:ascii="Arial" w:hAnsi="Arial" w:cs="Arial"/>
                <w:i/>
              </w:rPr>
              <w:t>m.p./locuitor</w:t>
            </w:r>
            <w:r w:rsidRPr="00315335">
              <w:rPr>
                <w:rFonts w:ascii="Arial" w:hAnsi="Arial" w:cs="Arial"/>
              </w:rPr>
              <w:t>;</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27,67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27,67</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27,67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27,67</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27,67</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B95695" w:rsidRPr="00315335" w:rsidRDefault="00B95695" w:rsidP="00631723">
            <w:pPr>
              <w:rPr>
                <w:rFonts w:ascii="Arial" w:hAnsi="Arial" w:cs="Arial"/>
              </w:rPr>
            </w:pPr>
            <w:r w:rsidRPr="00315335">
              <w:rPr>
                <w:rFonts w:ascii="Arial" w:hAnsi="Arial" w:cs="Arial"/>
              </w:rPr>
              <w:t>Număr locuitori</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6258</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6258</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6258</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6528</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6528</w:t>
            </w:r>
          </w:p>
        </w:tc>
      </w:tr>
    </w:tbl>
    <w:p w:rsidR="00B95695" w:rsidRPr="00315335" w:rsidRDefault="00B95695" w:rsidP="00B95695">
      <w:pPr>
        <w:jc w:val="both"/>
        <w:rPr>
          <w:rFonts w:ascii="Arial" w:hAnsi="Arial" w:cs="Arial"/>
        </w:rPr>
      </w:pPr>
    </w:p>
    <w:p w:rsidR="00B95695" w:rsidRPr="00315335" w:rsidRDefault="00B95695" w:rsidP="00B95695">
      <w:pPr>
        <w:jc w:val="center"/>
        <w:rPr>
          <w:rFonts w:ascii="Arial" w:hAnsi="Arial" w:cs="Arial"/>
          <w:lang w:val="en-US"/>
        </w:rPr>
      </w:pPr>
      <w:r w:rsidRPr="00315335">
        <w:rPr>
          <w:rFonts w:ascii="Arial" w:hAnsi="Arial" w:cs="Arial"/>
          <w:noProof/>
        </w:rPr>
        <w:drawing>
          <wp:inline distT="0" distB="0" distL="0" distR="0" wp14:anchorId="04493DE8" wp14:editId="08D8A5A2">
            <wp:extent cx="5162550" cy="2152650"/>
            <wp:effectExtent l="19050" t="0" r="19050" b="0"/>
            <wp:docPr id="131"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B95695" w:rsidRPr="00315335" w:rsidRDefault="00B95695" w:rsidP="00B95695">
      <w:pPr>
        <w:jc w:val="center"/>
        <w:rPr>
          <w:rFonts w:ascii="Arial" w:hAnsi="Arial" w:cs="Arial"/>
          <w:b/>
          <w:sz w:val="24"/>
          <w:szCs w:val="24"/>
        </w:rPr>
      </w:pPr>
      <w:r w:rsidRPr="00315335">
        <w:rPr>
          <w:rFonts w:ascii="Arial" w:hAnsi="Arial" w:cs="Arial"/>
          <w:b/>
          <w:sz w:val="24"/>
          <w:szCs w:val="24"/>
          <w:lang w:val="en-US"/>
        </w:rPr>
        <w:t xml:space="preserve">Figura nr.VIII.1.4.1. – 5 </w:t>
      </w:r>
      <w:r w:rsidRPr="00315335">
        <w:rPr>
          <w:rFonts w:ascii="Arial" w:hAnsi="Arial" w:cs="Arial"/>
          <w:sz w:val="24"/>
          <w:szCs w:val="24"/>
        </w:rPr>
        <w:t xml:space="preserve">Suprafaţa spaţii verzi din total intravilan 2014-2018 – </w:t>
      </w:r>
      <w:r w:rsidRPr="00315335">
        <w:rPr>
          <w:rFonts w:ascii="Arial" w:hAnsi="Arial" w:cs="Arial"/>
          <w:b/>
          <w:sz w:val="24"/>
          <w:szCs w:val="24"/>
        </w:rPr>
        <w:t>orașul Însurăței</w:t>
      </w:r>
    </w:p>
    <w:p w:rsidR="00B95695" w:rsidRPr="00315335" w:rsidRDefault="00B95695" w:rsidP="00B95695">
      <w:pPr>
        <w:jc w:val="center"/>
        <w:rPr>
          <w:rFonts w:ascii="Arial" w:hAnsi="Arial" w:cs="Arial"/>
          <w:b/>
        </w:rPr>
      </w:pPr>
    </w:p>
    <w:p w:rsidR="00B95695" w:rsidRPr="00315335" w:rsidRDefault="00B95695" w:rsidP="00B95695">
      <w:pPr>
        <w:jc w:val="center"/>
        <w:rPr>
          <w:rFonts w:ascii="Arial" w:hAnsi="Arial" w:cs="Arial"/>
          <w:b/>
          <w:lang w:val="it-IT"/>
        </w:rPr>
      </w:pPr>
      <w:r w:rsidRPr="00315335">
        <w:rPr>
          <w:rFonts w:ascii="Arial" w:hAnsi="Arial" w:cs="Arial"/>
          <w:b/>
          <w:noProof/>
        </w:rPr>
        <w:lastRenderedPageBreak/>
        <w:drawing>
          <wp:inline distT="0" distB="0" distL="0" distR="0" wp14:anchorId="7A56DBBD" wp14:editId="7138E216">
            <wp:extent cx="5287645" cy="2273935"/>
            <wp:effectExtent l="19050" t="0" r="27305" b="0"/>
            <wp:docPr id="132"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B95695" w:rsidRPr="00315335" w:rsidRDefault="00B95695" w:rsidP="00B95695">
      <w:pPr>
        <w:jc w:val="center"/>
        <w:rPr>
          <w:rFonts w:ascii="Arial" w:hAnsi="Arial" w:cs="Arial"/>
          <w:b/>
          <w:sz w:val="24"/>
          <w:szCs w:val="24"/>
        </w:rPr>
      </w:pPr>
      <w:r w:rsidRPr="00315335">
        <w:rPr>
          <w:rFonts w:ascii="Arial" w:hAnsi="Arial" w:cs="Arial"/>
          <w:b/>
          <w:sz w:val="24"/>
          <w:szCs w:val="24"/>
          <w:lang w:val="en-US"/>
        </w:rPr>
        <w:t xml:space="preserve">Figura nr.VIII.1.4.1. – 6 </w:t>
      </w:r>
      <w:r w:rsidRPr="00315335">
        <w:rPr>
          <w:rFonts w:ascii="Arial" w:hAnsi="Arial" w:cs="Arial"/>
          <w:sz w:val="24"/>
          <w:szCs w:val="24"/>
        </w:rPr>
        <w:t xml:space="preserve">Suprafața spațiu verde m.p./pe cap de locuitor din mediul urban, tendința 2014-2018 – </w:t>
      </w:r>
      <w:r w:rsidRPr="00315335">
        <w:rPr>
          <w:rFonts w:ascii="Arial" w:hAnsi="Arial" w:cs="Arial"/>
          <w:b/>
          <w:sz w:val="24"/>
          <w:szCs w:val="24"/>
        </w:rPr>
        <w:t>orașul Însurăței</w:t>
      </w:r>
    </w:p>
    <w:p w:rsidR="00B95695" w:rsidRPr="00315335" w:rsidRDefault="00B95695" w:rsidP="00B95695">
      <w:pPr>
        <w:jc w:val="center"/>
        <w:rPr>
          <w:rFonts w:ascii="Arial" w:hAnsi="Arial" w:cs="Arial"/>
          <w:b/>
          <w:lang w:val="it-IT"/>
        </w:rPr>
      </w:pPr>
    </w:p>
    <w:p w:rsidR="00B95695" w:rsidRPr="00315335" w:rsidRDefault="00B95695" w:rsidP="00B95695">
      <w:pPr>
        <w:jc w:val="both"/>
        <w:rPr>
          <w:rFonts w:ascii="Arial" w:hAnsi="Arial" w:cs="Arial"/>
          <w:b/>
          <w:lang w:val="it-IT"/>
        </w:rPr>
      </w:pPr>
      <w:r w:rsidRPr="00315335">
        <w:rPr>
          <w:rFonts w:ascii="Arial" w:hAnsi="Arial" w:cs="Arial"/>
          <w:b/>
          <w:sz w:val="24"/>
          <w:szCs w:val="24"/>
          <w:lang w:val="en-US"/>
        </w:rPr>
        <w:t xml:space="preserve">Tabel nr.VIII.1.4.1. – 4 </w:t>
      </w:r>
      <w:r w:rsidRPr="00315335">
        <w:rPr>
          <w:rFonts w:ascii="Arial" w:hAnsi="Arial" w:cs="Arial"/>
          <w:sz w:val="24"/>
          <w:szCs w:val="24"/>
        </w:rPr>
        <w:t>Situația spațiilor verzi</w:t>
      </w:r>
      <w:r w:rsidRPr="00315335">
        <w:rPr>
          <w:rFonts w:ascii="Arial" w:hAnsi="Arial" w:cs="Arial"/>
          <w:sz w:val="24"/>
          <w:szCs w:val="24"/>
          <w:lang w:val="it-IT"/>
        </w:rPr>
        <w:t xml:space="preserve"> aferente </w:t>
      </w:r>
      <w:r w:rsidRPr="00315335">
        <w:rPr>
          <w:rFonts w:ascii="Arial" w:hAnsi="Arial" w:cs="Arial"/>
          <w:b/>
          <w:sz w:val="24"/>
          <w:szCs w:val="24"/>
          <w:lang w:val="it-IT"/>
        </w:rPr>
        <w:t>orașului Făurei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3"/>
        <w:gridCol w:w="1272"/>
        <w:gridCol w:w="1133"/>
        <w:gridCol w:w="1273"/>
        <w:gridCol w:w="1133"/>
        <w:gridCol w:w="1124"/>
      </w:tblGrid>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B95695" w:rsidRPr="00315335" w:rsidRDefault="00B95695" w:rsidP="00631723">
            <w:pPr>
              <w:tabs>
                <w:tab w:val="center" w:pos="4680"/>
                <w:tab w:val="right" w:pos="9360"/>
              </w:tabs>
              <w:jc w:val="center"/>
              <w:rPr>
                <w:rFonts w:ascii="Arial" w:hAnsi="Arial" w:cs="Arial"/>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2014</w:t>
            </w:r>
          </w:p>
        </w:tc>
        <w:tc>
          <w:tcPr>
            <w:tcW w:w="113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2015</w:t>
            </w:r>
          </w:p>
        </w:tc>
        <w:tc>
          <w:tcPr>
            <w:tcW w:w="127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2016</w:t>
            </w:r>
          </w:p>
        </w:tc>
        <w:tc>
          <w:tcPr>
            <w:tcW w:w="113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2017</w:t>
            </w:r>
          </w:p>
        </w:tc>
        <w:tc>
          <w:tcPr>
            <w:tcW w:w="112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2018</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Suprafaţa</w:t>
            </w:r>
            <w:r w:rsidRPr="00315335">
              <w:rPr>
                <w:rFonts w:ascii="Arial" w:hAnsi="Arial" w:cs="Arial"/>
              </w:rPr>
              <w:t xml:space="preserve"> totală</w:t>
            </w:r>
            <w:r w:rsidRPr="00315335">
              <w:rPr>
                <w:rFonts w:ascii="Arial" w:hAnsi="Arial" w:cs="Arial"/>
                <w:lang w:val="en-US"/>
              </w:rPr>
              <w:t xml:space="preserve"> spaţii verzi/ha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5,63</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5,63</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5,63</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Suprafață intravilan/ha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296,47</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296,47</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296,47</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rPr>
                <w:rFonts w:ascii="Arial" w:hAnsi="Arial" w:cs="Arial"/>
                <w:lang w:val="en-US"/>
              </w:rPr>
            </w:pPr>
            <w:r w:rsidRPr="00315335">
              <w:rPr>
                <w:rFonts w:ascii="Arial" w:hAnsi="Arial" w:cs="Arial"/>
              </w:rPr>
              <w:t>Procentul (%) din suprafaţă intravilan reprezentat de suprafaţa totală de spaţii verzi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1,9</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1,9</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p>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1,9</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rPr>
                <w:rFonts w:ascii="Arial" w:hAnsi="Arial" w:cs="Arial"/>
                <w:lang w:val="en-US"/>
              </w:rPr>
            </w:pPr>
            <w:r w:rsidRPr="00315335">
              <w:rPr>
                <w:rFonts w:ascii="Arial" w:hAnsi="Arial" w:cs="Arial"/>
              </w:rPr>
              <w:t>Indicatorul – suprafaţă de spaţiu verde  m.p./locuitor;</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15,68</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15,68</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15,68</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15,68</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15,68</w:t>
            </w:r>
          </w:p>
        </w:tc>
      </w:tr>
      <w:tr w:rsidR="00B95695" w:rsidRPr="00315335" w:rsidTr="00631723">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rPr>
                <w:rFonts w:ascii="Arial" w:hAnsi="Arial" w:cs="Arial"/>
              </w:rPr>
            </w:pPr>
            <w:r w:rsidRPr="00315335">
              <w:rPr>
                <w:rFonts w:ascii="Arial" w:hAnsi="Arial" w:cs="Arial"/>
              </w:rPr>
              <w:t>Număr locuitori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3592</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3592</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3592</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3592</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3592</w:t>
            </w:r>
          </w:p>
        </w:tc>
      </w:tr>
    </w:tbl>
    <w:p w:rsidR="00B95695" w:rsidRPr="00315335" w:rsidRDefault="00B95695" w:rsidP="00B95695">
      <w:pPr>
        <w:jc w:val="center"/>
        <w:rPr>
          <w:rFonts w:ascii="Arial" w:hAnsi="Arial" w:cs="Arial"/>
          <w:noProof/>
          <w:shd w:val="clear" w:color="auto" w:fill="DAEEF3" w:themeFill="accent5" w:themeFillTint="33"/>
        </w:rPr>
      </w:pPr>
    </w:p>
    <w:p w:rsidR="00B95695" w:rsidRPr="00315335" w:rsidRDefault="00B95695" w:rsidP="00B95695">
      <w:pPr>
        <w:jc w:val="center"/>
        <w:rPr>
          <w:rFonts w:ascii="Arial" w:hAnsi="Arial" w:cs="Arial"/>
          <w:lang w:val="en-US"/>
        </w:rPr>
      </w:pPr>
      <w:r w:rsidRPr="00315335">
        <w:rPr>
          <w:rFonts w:ascii="Arial" w:hAnsi="Arial" w:cs="Arial"/>
          <w:noProof/>
          <w:shd w:val="clear" w:color="auto" w:fill="DAEEF3" w:themeFill="accent5" w:themeFillTint="33"/>
        </w:rPr>
        <w:drawing>
          <wp:inline distT="0" distB="0" distL="0" distR="0" wp14:anchorId="2E464CB8" wp14:editId="59FA09E1">
            <wp:extent cx="5497195" cy="2220595"/>
            <wp:effectExtent l="19050" t="0" r="27305" b="8255"/>
            <wp:docPr id="85"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B95695" w:rsidRPr="00315335" w:rsidRDefault="00B95695" w:rsidP="00B95695">
      <w:pPr>
        <w:rPr>
          <w:rFonts w:ascii="Arial" w:hAnsi="Arial" w:cs="Arial"/>
          <w:b/>
          <w:sz w:val="24"/>
          <w:szCs w:val="24"/>
        </w:rPr>
      </w:pPr>
      <w:r w:rsidRPr="00315335">
        <w:rPr>
          <w:rFonts w:ascii="Arial" w:hAnsi="Arial" w:cs="Arial"/>
          <w:b/>
          <w:sz w:val="24"/>
          <w:szCs w:val="24"/>
          <w:lang w:val="en-US"/>
        </w:rPr>
        <w:t xml:space="preserve">Figura nr.VIII.1.4.1.- 7 </w:t>
      </w:r>
      <w:r w:rsidRPr="00315335">
        <w:rPr>
          <w:rFonts w:ascii="Arial" w:hAnsi="Arial" w:cs="Arial"/>
          <w:sz w:val="24"/>
          <w:szCs w:val="24"/>
        </w:rPr>
        <w:t xml:space="preserve">Suprafaţa spaţii verzi din total intravilan( 2014-2018) – </w:t>
      </w:r>
      <w:r w:rsidRPr="00315335">
        <w:rPr>
          <w:rFonts w:ascii="Arial" w:hAnsi="Arial" w:cs="Arial"/>
          <w:b/>
          <w:sz w:val="24"/>
          <w:szCs w:val="24"/>
        </w:rPr>
        <w:t>orașul Făurei</w:t>
      </w:r>
    </w:p>
    <w:p w:rsidR="00B95695" w:rsidRPr="00315335" w:rsidRDefault="00B95695" w:rsidP="00B95695">
      <w:pPr>
        <w:jc w:val="center"/>
        <w:rPr>
          <w:rFonts w:ascii="Arial" w:hAnsi="Arial" w:cs="Arial"/>
        </w:rPr>
      </w:pPr>
      <w:r w:rsidRPr="00315335">
        <w:rPr>
          <w:rFonts w:ascii="Arial" w:hAnsi="Arial" w:cs="Arial"/>
          <w:noProof/>
        </w:rPr>
        <w:lastRenderedPageBreak/>
        <w:drawing>
          <wp:inline distT="0" distB="0" distL="0" distR="0" wp14:anchorId="6859F12D" wp14:editId="5D862F86">
            <wp:extent cx="5507990" cy="2275205"/>
            <wp:effectExtent l="19050" t="0" r="16510" b="0"/>
            <wp:docPr id="134"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B95695" w:rsidRPr="00315335" w:rsidRDefault="00B95695" w:rsidP="00B95695">
      <w:pPr>
        <w:rPr>
          <w:rFonts w:ascii="Arial" w:hAnsi="Arial" w:cs="Arial"/>
        </w:rPr>
      </w:pPr>
    </w:p>
    <w:p w:rsidR="00B95695" w:rsidRPr="00315335" w:rsidRDefault="00B95695" w:rsidP="00B95695">
      <w:pPr>
        <w:rPr>
          <w:rFonts w:ascii="Arial" w:hAnsi="Arial" w:cs="Arial"/>
          <w:b/>
          <w:lang w:val="it-IT"/>
        </w:rPr>
      </w:pPr>
      <w:r w:rsidRPr="00315335">
        <w:rPr>
          <w:rFonts w:ascii="Arial" w:hAnsi="Arial" w:cs="Arial"/>
          <w:b/>
          <w:sz w:val="24"/>
          <w:szCs w:val="24"/>
          <w:lang w:val="en-US"/>
        </w:rPr>
        <w:t xml:space="preserve">Figura nr.VIII.1.4.1. – 8 </w:t>
      </w:r>
      <w:r w:rsidRPr="00315335">
        <w:rPr>
          <w:rFonts w:ascii="Arial" w:hAnsi="Arial" w:cs="Arial"/>
          <w:sz w:val="24"/>
          <w:szCs w:val="24"/>
        </w:rPr>
        <w:t xml:space="preserve">Suprafața spațiu verde m.p./cap de locuitor din mediul urban, tendința (2014-2018) – </w:t>
      </w:r>
      <w:r w:rsidRPr="00315335">
        <w:rPr>
          <w:rFonts w:ascii="Arial" w:hAnsi="Arial" w:cs="Arial"/>
          <w:b/>
          <w:sz w:val="24"/>
          <w:szCs w:val="24"/>
        </w:rPr>
        <w:t>orașul Făurei</w:t>
      </w:r>
    </w:p>
    <w:p w:rsidR="00B95695" w:rsidRPr="00315335" w:rsidRDefault="00B95695" w:rsidP="00B95695">
      <w:pPr>
        <w:jc w:val="both"/>
        <w:rPr>
          <w:rFonts w:ascii="Arial" w:hAnsi="Arial" w:cs="Arial"/>
          <w:sz w:val="24"/>
          <w:szCs w:val="24"/>
        </w:rPr>
      </w:pPr>
      <w:r w:rsidRPr="00315335">
        <w:rPr>
          <w:rFonts w:ascii="Arial" w:hAnsi="Arial" w:cs="Arial"/>
          <w:b/>
          <w:sz w:val="24"/>
          <w:szCs w:val="24"/>
          <w:lang w:val="en-US"/>
        </w:rPr>
        <w:t xml:space="preserve">Tabel nr. VIII.1.4.1. – 5  </w:t>
      </w:r>
      <w:r w:rsidRPr="00315335">
        <w:rPr>
          <w:rFonts w:ascii="Arial" w:hAnsi="Arial" w:cs="Arial"/>
          <w:sz w:val="24"/>
          <w:szCs w:val="24"/>
        </w:rPr>
        <w:t xml:space="preserve">Evoluţia suprafeţei totale a spaţiilor verzi din aglomerările urbane, pentru o perioadă de cinci ani (2014 - 2018) respectiv evoluţia suprafeţei spaţiilor verzi pe cap de locuitor din mediul urban, tendinţă în ultimii cinci ani (2014 - 2018),la nivelul </w:t>
      </w:r>
      <w:r w:rsidRPr="00315335">
        <w:rPr>
          <w:rFonts w:ascii="Arial" w:hAnsi="Arial" w:cs="Arial"/>
          <w:b/>
          <w:sz w:val="24"/>
          <w:szCs w:val="24"/>
        </w:rPr>
        <w:t>județului Brăila</w:t>
      </w:r>
      <w:r w:rsidRPr="00315335">
        <w:rPr>
          <w:rFonts w:ascii="Arial" w:hAnsi="Arial" w:cs="Arial"/>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7"/>
        <w:gridCol w:w="1273"/>
        <w:gridCol w:w="1134"/>
        <w:gridCol w:w="1274"/>
        <w:gridCol w:w="1134"/>
        <w:gridCol w:w="1126"/>
      </w:tblGrid>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B95695" w:rsidRPr="00315335" w:rsidRDefault="00B95695" w:rsidP="00631723">
            <w:pPr>
              <w:rPr>
                <w:rFonts w:ascii="Arial" w:hAnsi="Arial" w:cs="Arial"/>
                <w:b/>
                <w:lang w:val="it-IT"/>
              </w:rPr>
            </w:pPr>
            <w:r w:rsidRPr="00315335">
              <w:rPr>
                <w:rFonts w:ascii="Arial" w:hAnsi="Arial" w:cs="Arial"/>
                <w:b/>
              </w:rPr>
              <w:t>Nivel județ Brăila</w:t>
            </w:r>
          </w:p>
        </w:tc>
        <w:tc>
          <w:tcPr>
            <w:tcW w:w="127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2015</w:t>
            </w:r>
          </w:p>
        </w:tc>
        <w:tc>
          <w:tcPr>
            <w:tcW w:w="12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2016</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2017</w:t>
            </w:r>
          </w:p>
        </w:tc>
        <w:tc>
          <w:tcPr>
            <w:tcW w:w="112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95695" w:rsidRPr="00315335" w:rsidRDefault="00B95695" w:rsidP="00631723">
            <w:pPr>
              <w:tabs>
                <w:tab w:val="center" w:pos="4680"/>
                <w:tab w:val="right" w:pos="9360"/>
              </w:tabs>
              <w:jc w:val="center"/>
              <w:rPr>
                <w:rFonts w:ascii="Arial" w:hAnsi="Arial" w:cs="Arial"/>
                <w:b/>
                <w:lang w:val="en-US"/>
              </w:rPr>
            </w:pPr>
            <w:r w:rsidRPr="00315335">
              <w:rPr>
                <w:rFonts w:ascii="Arial" w:hAnsi="Arial" w:cs="Arial"/>
                <w:b/>
                <w:lang w:val="en-US"/>
              </w:rPr>
              <w:t>2018</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Suprafaţa</w:t>
            </w:r>
            <w:r w:rsidRPr="00315335">
              <w:rPr>
                <w:rFonts w:ascii="Arial" w:hAnsi="Arial" w:cs="Arial"/>
              </w:rPr>
              <w:t xml:space="preserve"> totală</w:t>
            </w:r>
            <w:r w:rsidRPr="00315335">
              <w:rPr>
                <w:rFonts w:ascii="Arial" w:hAnsi="Arial" w:cs="Arial"/>
                <w:lang w:val="en-US"/>
              </w:rPr>
              <w:t xml:space="preserve"> spaţii verzi/ha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532,44</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532,44</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532,44</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531,51</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531,51</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tabs>
                <w:tab w:val="center" w:pos="4680"/>
                <w:tab w:val="right" w:pos="9360"/>
              </w:tabs>
              <w:rPr>
                <w:rFonts w:ascii="Arial" w:hAnsi="Arial" w:cs="Arial"/>
                <w:lang w:val="en-US"/>
              </w:rPr>
            </w:pPr>
            <w:r w:rsidRPr="00315335">
              <w:rPr>
                <w:rFonts w:ascii="Arial" w:hAnsi="Arial" w:cs="Arial"/>
                <w:lang w:val="en-US"/>
              </w:rPr>
              <w:t>Suprafață intravilan/ha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6450,12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6450,12</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6058,67</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rPr>
                <w:rFonts w:ascii="Arial" w:hAnsi="Arial" w:cs="Arial"/>
                <w:lang w:val="en-US"/>
              </w:rPr>
            </w:pPr>
            <w:r w:rsidRPr="00315335">
              <w:rPr>
                <w:rFonts w:ascii="Arial" w:hAnsi="Arial" w:cs="Arial"/>
              </w:rPr>
              <w:t>Procentul (%) din suprafaţă intravilan reprezentat de suprafaţa totală de spaţii verzi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8,25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8,25</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8,25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8,23</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7,73</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rPr>
                <w:rFonts w:ascii="Arial" w:hAnsi="Arial" w:cs="Arial"/>
                <w:lang w:val="en-US"/>
              </w:rPr>
            </w:pPr>
            <w:r w:rsidRPr="00315335">
              <w:rPr>
                <w:rFonts w:ascii="Arial" w:hAnsi="Arial" w:cs="Arial"/>
              </w:rPr>
              <w:t>Indicatorul – suprafaţă de spaţiu verde  m.p./locuitor</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26,51</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26,51</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26,51</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26,47</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26,47</w:t>
            </w:r>
          </w:p>
        </w:tc>
      </w:tr>
      <w:tr w:rsidR="00B95695" w:rsidRPr="00315335" w:rsidTr="00631723">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B95695" w:rsidRPr="00315335" w:rsidRDefault="00B95695" w:rsidP="00631723">
            <w:pPr>
              <w:rPr>
                <w:rFonts w:ascii="Arial" w:hAnsi="Arial" w:cs="Arial"/>
              </w:rPr>
            </w:pPr>
            <w:r w:rsidRPr="00315335">
              <w:rPr>
                <w:rFonts w:ascii="Arial" w:hAnsi="Arial" w:cs="Arial"/>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200765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200765</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200765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200765</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B95695" w:rsidRPr="00315335" w:rsidRDefault="00B95695" w:rsidP="00631723">
            <w:pPr>
              <w:tabs>
                <w:tab w:val="center" w:pos="4680"/>
                <w:tab w:val="right" w:pos="9360"/>
              </w:tabs>
              <w:jc w:val="center"/>
              <w:rPr>
                <w:rFonts w:ascii="Arial" w:hAnsi="Arial" w:cs="Arial"/>
                <w:lang w:val="en-US"/>
              </w:rPr>
            </w:pPr>
            <w:r w:rsidRPr="00315335">
              <w:rPr>
                <w:rFonts w:ascii="Arial" w:hAnsi="Arial" w:cs="Arial"/>
                <w:lang w:val="en-US"/>
              </w:rPr>
              <w:t>200765</w:t>
            </w:r>
          </w:p>
        </w:tc>
      </w:tr>
    </w:tbl>
    <w:p w:rsidR="00B95695" w:rsidRPr="00315335" w:rsidRDefault="00B95695" w:rsidP="00B95695">
      <w:pPr>
        <w:pStyle w:val="Titlu4"/>
        <w:tabs>
          <w:tab w:val="num" w:pos="709"/>
          <w:tab w:val="left" w:pos="851"/>
        </w:tabs>
        <w:spacing w:before="0" w:after="0" w:line="276" w:lineRule="auto"/>
        <w:ind w:left="709" w:hanging="709"/>
        <w:jc w:val="both"/>
        <w:rPr>
          <w:rFonts w:ascii="Arial" w:hAnsi="Arial" w:cs="Arial"/>
          <w:sz w:val="24"/>
          <w:szCs w:val="24"/>
          <w:lang w:val="ro-RO"/>
        </w:rPr>
      </w:pPr>
    </w:p>
    <w:p w:rsidR="00B95695" w:rsidRPr="00315335" w:rsidRDefault="00B95695" w:rsidP="00B95695">
      <w:pPr>
        <w:ind w:right="-567"/>
        <w:jc w:val="center"/>
        <w:rPr>
          <w:rFonts w:ascii="Arial" w:hAnsi="Arial" w:cs="Arial"/>
        </w:rPr>
      </w:pPr>
      <w:r w:rsidRPr="00315335">
        <w:rPr>
          <w:rFonts w:ascii="Arial" w:hAnsi="Arial" w:cs="Arial"/>
          <w:noProof/>
          <w:shd w:val="clear" w:color="auto" w:fill="F2DBDB" w:themeFill="accent2" w:themeFillTint="33"/>
        </w:rPr>
        <w:drawing>
          <wp:inline distT="0" distB="0" distL="0" distR="0" wp14:anchorId="7FDA2242" wp14:editId="6E614478">
            <wp:extent cx="4924425" cy="2571750"/>
            <wp:effectExtent l="19050" t="0" r="9525" b="0"/>
            <wp:docPr id="135"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B95695" w:rsidRPr="00315335" w:rsidRDefault="00B95695" w:rsidP="00B95695">
      <w:pPr>
        <w:rPr>
          <w:rFonts w:ascii="Arial" w:hAnsi="Arial" w:cs="Arial"/>
          <w:sz w:val="24"/>
          <w:szCs w:val="24"/>
        </w:rPr>
      </w:pPr>
      <w:r w:rsidRPr="00315335">
        <w:rPr>
          <w:rFonts w:ascii="Arial" w:hAnsi="Arial" w:cs="Arial"/>
          <w:b/>
          <w:sz w:val="24"/>
          <w:szCs w:val="24"/>
          <w:lang w:val="en-US"/>
        </w:rPr>
        <w:t xml:space="preserve">Figura nr. VIII.1.4.1. – 9 </w:t>
      </w:r>
      <w:r w:rsidRPr="00315335">
        <w:rPr>
          <w:rFonts w:ascii="Arial" w:hAnsi="Arial" w:cs="Arial"/>
          <w:sz w:val="24"/>
          <w:szCs w:val="24"/>
        </w:rPr>
        <w:t xml:space="preserve">Suprafața spații verzi din total intravilan ( 2014-2018) - </w:t>
      </w:r>
      <w:r w:rsidRPr="00315335">
        <w:rPr>
          <w:rFonts w:ascii="Arial" w:hAnsi="Arial" w:cs="Arial"/>
          <w:b/>
          <w:sz w:val="24"/>
          <w:szCs w:val="24"/>
        </w:rPr>
        <w:t>județul Brăila</w:t>
      </w:r>
    </w:p>
    <w:p w:rsidR="00B95695" w:rsidRPr="00315335" w:rsidRDefault="00B95695" w:rsidP="00B95695">
      <w:pPr>
        <w:rPr>
          <w:rFonts w:ascii="Arial" w:hAnsi="Arial" w:cs="Arial"/>
        </w:rPr>
      </w:pPr>
    </w:p>
    <w:p w:rsidR="00B95695" w:rsidRPr="00315335" w:rsidRDefault="00B95695" w:rsidP="00B95695">
      <w:pPr>
        <w:jc w:val="center"/>
        <w:rPr>
          <w:rFonts w:ascii="Arial" w:hAnsi="Arial" w:cs="Arial"/>
        </w:rPr>
      </w:pPr>
      <w:r w:rsidRPr="00315335">
        <w:rPr>
          <w:rFonts w:ascii="Arial" w:hAnsi="Arial" w:cs="Arial"/>
          <w:noProof/>
        </w:rPr>
        <w:lastRenderedPageBreak/>
        <w:drawing>
          <wp:inline distT="0" distB="0" distL="0" distR="0" wp14:anchorId="248CB199" wp14:editId="4485F3C1">
            <wp:extent cx="4924425" cy="2619375"/>
            <wp:effectExtent l="19050" t="0" r="9525" b="0"/>
            <wp:docPr id="136"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B95695" w:rsidRPr="00315335" w:rsidRDefault="00B95695" w:rsidP="00B95695">
      <w:pPr>
        <w:jc w:val="center"/>
        <w:rPr>
          <w:rFonts w:ascii="Arial" w:hAnsi="Arial" w:cs="Arial"/>
          <w:sz w:val="24"/>
          <w:szCs w:val="24"/>
        </w:rPr>
      </w:pPr>
    </w:p>
    <w:p w:rsidR="00B95695" w:rsidRPr="00315335" w:rsidRDefault="00B95695" w:rsidP="00B95695">
      <w:pPr>
        <w:jc w:val="center"/>
        <w:rPr>
          <w:rFonts w:ascii="Arial" w:hAnsi="Arial" w:cs="Arial"/>
          <w:b/>
          <w:sz w:val="24"/>
          <w:szCs w:val="24"/>
        </w:rPr>
      </w:pPr>
      <w:r w:rsidRPr="00315335">
        <w:rPr>
          <w:rFonts w:ascii="Arial" w:hAnsi="Arial" w:cs="Arial"/>
          <w:b/>
          <w:sz w:val="24"/>
          <w:szCs w:val="24"/>
          <w:lang w:val="en-US"/>
        </w:rPr>
        <w:t xml:space="preserve">Figura nr. VIII.1.4.1. – 10 </w:t>
      </w:r>
      <w:r w:rsidRPr="00315335">
        <w:rPr>
          <w:rFonts w:ascii="Arial" w:hAnsi="Arial" w:cs="Arial"/>
          <w:sz w:val="24"/>
          <w:szCs w:val="24"/>
        </w:rPr>
        <w:t xml:space="preserve">Suprafața spațiu verde m.p./pe cap de locuitor din mediul urban, tendința (2014-2018) </w:t>
      </w:r>
      <w:r w:rsidRPr="00315335">
        <w:rPr>
          <w:rFonts w:ascii="Arial" w:hAnsi="Arial" w:cs="Arial"/>
          <w:b/>
          <w:sz w:val="24"/>
          <w:szCs w:val="24"/>
        </w:rPr>
        <w:t>– județul Brăila</w:t>
      </w:r>
    </w:p>
    <w:p w:rsidR="00B95695" w:rsidRPr="00315335" w:rsidRDefault="00B95695" w:rsidP="00B95695">
      <w:pPr>
        <w:spacing w:after="0" w:line="240" w:lineRule="auto"/>
        <w:jc w:val="both"/>
        <w:rPr>
          <w:rFonts w:ascii="Arial" w:hAnsi="Arial" w:cs="Arial"/>
          <w:sz w:val="24"/>
          <w:szCs w:val="24"/>
        </w:rPr>
      </w:pPr>
    </w:p>
    <w:p w:rsidR="00B95695" w:rsidRPr="00315335" w:rsidRDefault="00B95695" w:rsidP="00B95695">
      <w:pPr>
        <w:pStyle w:val="Corptext"/>
        <w:spacing w:after="0" w:line="240" w:lineRule="auto"/>
        <w:ind w:firstLine="360"/>
        <w:jc w:val="both"/>
        <w:rPr>
          <w:rFonts w:ascii="Arial" w:hAnsi="Arial" w:cs="Arial"/>
          <w:sz w:val="24"/>
          <w:szCs w:val="24"/>
        </w:rPr>
      </w:pPr>
      <w:r w:rsidRPr="00315335">
        <w:rPr>
          <w:rFonts w:ascii="Arial" w:hAnsi="Arial" w:cs="Arial"/>
          <w:sz w:val="24"/>
          <w:szCs w:val="24"/>
        </w:rPr>
        <w:t xml:space="preserve">Spațiile verzi din mediul urban ordonate pe categorii conform Legii nr. 24/2007, privind reglementarea şi administrarea spaţiilor verzi din intravilanul localităţilor, republicată, cu modificările şi completările ulterioare </w:t>
      </w:r>
    </w:p>
    <w:p w:rsidR="00B95695" w:rsidRPr="00315335" w:rsidRDefault="00B95695" w:rsidP="00B95695">
      <w:pPr>
        <w:spacing w:after="0" w:line="240" w:lineRule="auto"/>
        <w:ind w:left="708"/>
        <w:jc w:val="both"/>
        <w:rPr>
          <w:rFonts w:ascii="Arial" w:hAnsi="Arial" w:cs="Arial"/>
          <w:sz w:val="24"/>
          <w:szCs w:val="24"/>
        </w:rPr>
      </w:pPr>
      <w:r w:rsidRPr="00315335">
        <w:rPr>
          <w:rFonts w:ascii="Arial" w:hAnsi="Arial" w:cs="Arial"/>
          <w:sz w:val="24"/>
          <w:szCs w:val="24"/>
        </w:rPr>
        <w:t>a) Spații verzi publice cu acces nelimitat :  2.712.697,08 mp</w:t>
      </w:r>
    </w:p>
    <w:p w:rsidR="00B95695" w:rsidRPr="00315335" w:rsidRDefault="00B95695" w:rsidP="00B95695">
      <w:pPr>
        <w:spacing w:after="0" w:line="240" w:lineRule="auto"/>
        <w:ind w:left="708"/>
        <w:jc w:val="both"/>
        <w:rPr>
          <w:rFonts w:ascii="Arial" w:hAnsi="Arial" w:cs="Arial"/>
          <w:sz w:val="24"/>
          <w:szCs w:val="24"/>
        </w:rPr>
      </w:pPr>
      <w:r w:rsidRPr="00315335">
        <w:rPr>
          <w:rFonts w:ascii="Arial" w:hAnsi="Arial" w:cs="Arial"/>
          <w:sz w:val="24"/>
          <w:szCs w:val="24"/>
        </w:rPr>
        <w:t>b) Spații verzi publice de folosință specializată: 1.271.564,19 mp</w:t>
      </w:r>
    </w:p>
    <w:p w:rsidR="00B95695" w:rsidRPr="00315335" w:rsidRDefault="00B95695" w:rsidP="00B95695">
      <w:pPr>
        <w:spacing w:after="0" w:line="240" w:lineRule="auto"/>
        <w:ind w:left="708"/>
        <w:jc w:val="both"/>
        <w:rPr>
          <w:rFonts w:ascii="Arial" w:hAnsi="Arial" w:cs="Arial"/>
          <w:sz w:val="24"/>
          <w:szCs w:val="24"/>
        </w:rPr>
      </w:pPr>
      <w:r w:rsidRPr="00315335">
        <w:rPr>
          <w:rFonts w:ascii="Arial" w:hAnsi="Arial" w:cs="Arial"/>
          <w:sz w:val="24"/>
          <w:szCs w:val="24"/>
        </w:rPr>
        <w:t xml:space="preserve">c) Spații verzi pentru agrement </w:t>
      </w:r>
      <w:r w:rsidRPr="00315335">
        <w:rPr>
          <w:rFonts w:ascii="Arial" w:hAnsi="Arial" w:cs="Arial"/>
          <w:bCs/>
          <w:sz w:val="24"/>
          <w:szCs w:val="24"/>
        </w:rPr>
        <w:t>:</w:t>
      </w:r>
      <w:r w:rsidRPr="00315335">
        <w:rPr>
          <w:rFonts w:ascii="Arial" w:hAnsi="Arial" w:cs="Arial"/>
          <w:sz w:val="24"/>
          <w:szCs w:val="24"/>
        </w:rPr>
        <w:t>353.880,00 mp.</w:t>
      </w:r>
    </w:p>
    <w:p w:rsidR="00B95695" w:rsidRPr="00315335" w:rsidRDefault="00B95695" w:rsidP="00B95695">
      <w:pPr>
        <w:spacing w:after="0" w:line="240" w:lineRule="auto"/>
        <w:ind w:left="708"/>
        <w:jc w:val="both"/>
        <w:rPr>
          <w:rFonts w:ascii="Arial" w:hAnsi="Arial" w:cs="Arial"/>
          <w:sz w:val="24"/>
          <w:szCs w:val="24"/>
        </w:rPr>
      </w:pPr>
      <w:r w:rsidRPr="00315335">
        <w:rPr>
          <w:rFonts w:ascii="Arial" w:hAnsi="Arial" w:cs="Arial"/>
          <w:sz w:val="24"/>
          <w:szCs w:val="24"/>
        </w:rPr>
        <w:t>d) Spații verzi pentru protecția lacurilor și a cursurilor de apă:249.000,00 mp</w:t>
      </w:r>
    </w:p>
    <w:p w:rsidR="00B95695" w:rsidRPr="00315335" w:rsidRDefault="00B95695" w:rsidP="00B95695">
      <w:pPr>
        <w:spacing w:after="0" w:line="240" w:lineRule="auto"/>
        <w:ind w:left="708"/>
        <w:jc w:val="both"/>
        <w:rPr>
          <w:rFonts w:ascii="Arial" w:hAnsi="Arial" w:cs="Arial"/>
          <w:sz w:val="24"/>
          <w:szCs w:val="24"/>
        </w:rPr>
      </w:pPr>
      <w:r w:rsidRPr="00315335">
        <w:rPr>
          <w:rFonts w:ascii="Arial" w:hAnsi="Arial" w:cs="Arial"/>
          <w:sz w:val="24"/>
          <w:szCs w:val="24"/>
        </w:rPr>
        <w:t>e) Pepiniere si sere:118.143,26 mp</w:t>
      </w:r>
    </w:p>
    <w:p w:rsidR="00B95695" w:rsidRPr="00315335" w:rsidRDefault="00B95695" w:rsidP="00B95695">
      <w:pPr>
        <w:spacing w:after="0" w:line="240" w:lineRule="auto"/>
        <w:jc w:val="both"/>
        <w:rPr>
          <w:rFonts w:ascii="Arial" w:hAnsi="Arial" w:cs="Arial"/>
          <w:sz w:val="24"/>
          <w:szCs w:val="24"/>
          <w:lang w:val="it-IT"/>
        </w:rPr>
      </w:pPr>
      <w:r w:rsidRPr="00315335">
        <w:rPr>
          <w:rFonts w:ascii="Arial" w:hAnsi="Arial" w:cs="Arial"/>
          <w:sz w:val="24"/>
          <w:szCs w:val="24"/>
          <w:lang w:val="it-IT"/>
        </w:rPr>
        <w:t>Cele mai importante zone verzi din municipiul Brăila sunt:</w:t>
      </w:r>
    </w:p>
    <w:p w:rsidR="00B95695" w:rsidRPr="00315335" w:rsidRDefault="00B95695" w:rsidP="00B95695">
      <w:pPr>
        <w:pStyle w:val="Listparagraf"/>
        <w:numPr>
          <w:ilvl w:val="0"/>
          <w:numId w:val="39"/>
        </w:numPr>
        <w:jc w:val="both"/>
        <w:rPr>
          <w:rFonts w:ascii="Arial" w:hAnsi="Arial" w:cs="Arial"/>
          <w:lang w:val="it-IT"/>
        </w:rPr>
      </w:pPr>
      <w:r w:rsidRPr="00315335">
        <w:rPr>
          <w:rFonts w:ascii="Arial" w:hAnsi="Arial" w:cs="Arial"/>
          <w:lang w:val="it-IT"/>
        </w:rPr>
        <w:t>Parcul Monument – 38,81 ha</w:t>
      </w:r>
    </w:p>
    <w:p w:rsidR="00B95695" w:rsidRPr="00315335" w:rsidRDefault="00B95695" w:rsidP="00B95695">
      <w:pPr>
        <w:pStyle w:val="Listparagraf"/>
        <w:numPr>
          <w:ilvl w:val="0"/>
          <w:numId w:val="39"/>
        </w:numPr>
        <w:jc w:val="both"/>
        <w:rPr>
          <w:rFonts w:ascii="Arial" w:hAnsi="Arial" w:cs="Arial"/>
          <w:lang w:val="it-IT"/>
        </w:rPr>
      </w:pPr>
      <w:r w:rsidRPr="00315335">
        <w:rPr>
          <w:rFonts w:ascii="Arial" w:hAnsi="Arial" w:cs="Arial"/>
          <w:lang w:val="it-IT"/>
        </w:rPr>
        <w:t>Grădina Publică – 4,17 ha</w:t>
      </w:r>
    </w:p>
    <w:p w:rsidR="00B95695" w:rsidRPr="00315335" w:rsidRDefault="00B95695" w:rsidP="00B95695">
      <w:pPr>
        <w:pStyle w:val="Listparagraf"/>
        <w:numPr>
          <w:ilvl w:val="0"/>
          <w:numId w:val="39"/>
        </w:numPr>
        <w:jc w:val="both"/>
        <w:rPr>
          <w:rFonts w:ascii="Arial" w:hAnsi="Arial" w:cs="Arial"/>
          <w:lang w:val="it-IT"/>
        </w:rPr>
      </w:pPr>
      <w:r w:rsidRPr="00315335">
        <w:rPr>
          <w:rFonts w:ascii="Arial" w:hAnsi="Arial" w:cs="Arial"/>
          <w:lang w:val="it-IT"/>
        </w:rPr>
        <w:t>Grădina Zoologică – 4,55 ha</w:t>
      </w:r>
    </w:p>
    <w:p w:rsidR="00B95695" w:rsidRPr="00315335" w:rsidRDefault="00B95695" w:rsidP="00B95695">
      <w:pPr>
        <w:pStyle w:val="Listparagraf"/>
        <w:numPr>
          <w:ilvl w:val="0"/>
          <w:numId w:val="39"/>
        </w:numPr>
        <w:jc w:val="both"/>
        <w:rPr>
          <w:rFonts w:ascii="Arial" w:hAnsi="Arial" w:cs="Arial"/>
          <w:lang w:val="it-IT"/>
        </w:rPr>
      </w:pPr>
      <w:r w:rsidRPr="00315335">
        <w:rPr>
          <w:rFonts w:ascii="Arial" w:hAnsi="Arial" w:cs="Arial"/>
          <w:lang w:val="it-IT"/>
        </w:rPr>
        <w:t>Parc în Cartierul Lacu Dulce – 3,56 ha</w:t>
      </w:r>
    </w:p>
    <w:p w:rsidR="00B95695" w:rsidRPr="00315335" w:rsidRDefault="00B95695" w:rsidP="00B95695">
      <w:pPr>
        <w:pStyle w:val="Listparagraf"/>
        <w:numPr>
          <w:ilvl w:val="0"/>
          <w:numId w:val="39"/>
        </w:numPr>
        <w:jc w:val="both"/>
        <w:rPr>
          <w:rFonts w:ascii="Arial" w:hAnsi="Arial" w:cs="Arial"/>
          <w:lang w:val="es-ES"/>
        </w:rPr>
      </w:pPr>
      <w:r w:rsidRPr="00315335">
        <w:rPr>
          <w:rFonts w:ascii="Arial" w:hAnsi="Arial" w:cs="Arial"/>
          <w:lang w:val="es-ES"/>
        </w:rPr>
        <w:t>Faleza Dunării  - 7,97 ha</w:t>
      </w:r>
    </w:p>
    <w:p w:rsidR="00B95695" w:rsidRPr="00315335" w:rsidRDefault="00B95695" w:rsidP="00B95695">
      <w:pPr>
        <w:pStyle w:val="Listparagraf"/>
        <w:numPr>
          <w:ilvl w:val="0"/>
          <w:numId w:val="39"/>
        </w:numPr>
        <w:jc w:val="both"/>
        <w:rPr>
          <w:rFonts w:ascii="Arial" w:hAnsi="Arial" w:cs="Arial"/>
          <w:lang w:val="es-ES"/>
        </w:rPr>
      </w:pPr>
      <w:r w:rsidRPr="00315335">
        <w:rPr>
          <w:rFonts w:ascii="Arial" w:hAnsi="Arial" w:cs="Arial"/>
          <w:lang w:val="es-ES"/>
        </w:rPr>
        <w:t>Esplanada Dunării – 1,64 ha</w:t>
      </w:r>
    </w:p>
    <w:p w:rsidR="00B95695" w:rsidRPr="00315335" w:rsidRDefault="00B95695" w:rsidP="00B95695">
      <w:pPr>
        <w:pStyle w:val="Listparagraf"/>
        <w:numPr>
          <w:ilvl w:val="0"/>
          <w:numId w:val="39"/>
        </w:numPr>
        <w:jc w:val="both"/>
        <w:rPr>
          <w:rFonts w:ascii="Arial" w:hAnsi="Arial" w:cs="Arial"/>
        </w:rPr>
      </w:pPr>
      <w:r w:rsidRPr="00315335">
        <w:rPr>
          <w:rFonts w:ascii="Arial" w:hAnsi="Arial" w:cs="Arial"/>
        </w:rPr>
        <w:t>Platoul Piata Independentei – 0,63 ha</w:t>
      </w:r>
      <w:r w:rsidRPr="00315335">
        <w:rPr>
          <w:rFonts w:ascii="Arial" w:hAnsi="Arial" w:cs="Arial"/>
          <w:lang w:val="es-ES"/>
        </w:rPr>
        <w:t xml:space="preserve"> </w:t>
      </w:r>
    </w:p>
    <w:p w:rsidR="00B95695" w:rsidRPr="00315335" w:rsidRDefault="00B95695" w:rsidP="00B95695">
      <w:pPr>
        <w:pStyle w:val="Listparagraf"/>
        <w:numPr>
          <w:ilvl w:val="0"/>
          <w:numId w:val="39"/>
        </w:numPr>
        <w:jc w:val="both"/>
        <w:rPr>
          <w:rFonts w:ascii="Arial" w:hAnsi="Arial" w:cs="Arial"/>
        </w:rPr>
      </w:pPr>
      <w:r w:rsidRPr="00315335">
        <w:rPr>
          <w:rFonts w:ascii="Arial" w:hAnsi="Arial" w:cs="Arial"/>
          <w:lang w:val="es-ES"/>
        </w:rPr>
        <w:t xml:space="preserve">Scuarul din </w:t>
      </w:r>
      <w:r w:rsidRPr="00315335">
        <w:rPr>
          <w:rFonts w:ascii="Arial" w:hAnsi="Arial" w:cs="Arial"/>
        </w:rPr>
        <w:t>Piaţa Traian – 1,9 ha</w:t>
      </w:r>
    </w:p>
    <w:p w:rsidR="00B95695" w:rsidRPr="00315335" w:rsidRDefault="00B95695" w:rsidP="00B95695">
      <w:pPr>
        <w:pStyle w:val="Corptext"/>
        <w:spacing w:after="0" w:line="240" w:lineRule="auto"/>
        <w:ind w:firstLine="360"/>
        <w:jc w:val="both"/>
        <w:rPr>
          <w:rFonts w:ascii="Arial" w:hAnsi="Arial" w:cs="Arial"/>
          <w:sz w:val="24"/>
          <w:szCs w:val="24"/>
        </w:rPr>
      </w:pPr>
      <w:r w:rsidRPr="00315335">
        <w:rPr>
          <w:rFonts w:ascii="Arial" w:hAnsi="Arial" w:cs="Arial"/>
          <w:sz w:val="24"/>
          <w:szCs w:val="24"/>
        </w:rPr>
        <w:t>Speciile de arbori, arbuşti şi plante ornamentale care compun vegetaţia parcurilor şi scuarurilor sunt atât indigene, cât şi exotice. Dintre speciile rare sau exotice se remarcă magnolia-Magnolya yulan, ginco-Ginkgo biloba, tisa-Taxus baccata, laricele (zada)-Larix decidua var. polonica, platanul-Platanus acerifolia, salcâmul japonez-Sophora japonica. Tocmai pentru raritatea unor specii sau pentru vârsta lor, 116 arbori au fost declaraţi monumente ale naturii.</w:t>
      </w:r>
    </w:p>
    <w:p w:rsidR="00B95695" w:rsidRPr="00315335" w:rsidRDefault="00B95695" w:rsidP="00B95695">
      <w:pPr>
        <w:spacing w:after="0" w:line="240" w:lineRule="auto"/>
        <w:ind w:firstLine="360"/>
        <w:jc w:val="both"/>
        <w:rPr>
          <w:rFonts w:ascii="Arial" w:hAnsi="Arial" w:cs="Arial"/>
          <w:sz w:val="24"/>
          <w:szCs w:val="24"/>
        </w:rPr>
      </w:pPr>
      <w:r w:rsidRPr="00315335">
        <w:rPr>
          <w:rFonts w:ascii="Arial" w:hAnsi="Arial" w:cs="Arial"/>
          <w:sz w:val="24"/>
          <w:szCs w:val="24"/>
        </w:rPr>
        <w:t>Parcul Monument, cu o suprafaţă de 38,81 ha, este cel mai mare parc al municipiului Brăila, acesta existând încă din anul 1862, o contribuţie majoră în amenajarea acestuia având generalul Kiseleff,  parcul purtând pentru mult timp numele acestuia.</w:t>
      </w:r>
    </w:p>
    <w:p w:rsidR="00B95695" w:rsidRPr="00315335" w:rsidRDefault="00B95695" w:rsidP="00B95695">
      <w:pPr>
        <w:spacing w:after="0" w:line="240" w:lineRule="auto"/>
        <w:ind w:firstLine="360"/>
        <w:jc w:val="both"/>
        <w:rPr>
          <w:rFonts w:ascii="Arial" w:hAnsi="Arial" w:cs="Arial"/>
          <w:sz w:val="24"/>
          <w:szCs w:val="24"/>
        </w:rPr>
      </w:pPr>
      <w:r w:rsidRPr="00315335">
        <w:rPr>
          <w:rFonts w:ascii="Arial" w:hAnsi="Arial" w:cs="Arial"/>
          <w:sz w:val="24"/>
          <w:szCs w:val="24"/>
        </w:rPr>
        <w:t xml:space="preserve">În perimetrul acestuia există Muzeul de Ştiinţe ale Naturii în vecinătatea căruia există un parc dendrologic cu specii exotice. Pe amplasamentul acestui parc ar fi oportună înfiinţarea unui complex muzeal care să integreze vechiul muzeu precum şi o mică grădină botanică. De asemenea, în perimetrul Parcului Monument există o sală de sport polivalentă, terenuri de sport, bazin de înot, un stadion, alei pietonale, un parc de distracţii pentru copii şi un restaurant fapt ce fac din acesta principala zona de agrement a oraşului, atrăgând atât populaţia tânără cât şi vârstnicii. În parc este dominantă vegetaţia arboricolă, existând deopotrivă specii indigene şi exotice. </w:t>
      </w:r>
    </w:p>
    <w:p w:rsidR="00B95695" w:rsidRPr="00315335" w:rsidRDefault="00B95695" w:rsidP="00B95695">
      <w:pPr>
        <w:spacing w:after="0" w:line="240" w:lineRule="auto"/>
        <w:ind w:firstLine="360"/>
        <w:jc w:val="both"/>
        <w:rPr>
          <w:rFonts w:ascii="Arial" w:hAnsi="Arial" w:cs="Arial"/>
          <w:sz w:val="24"/>
          <w:szCs w:val="24"/>
        </w:rPr>
      </w:pPr>
      <w:r w:rsidRPr="00315335">
        <w:rPr>
          <w:rFonts w:ascii="Arial" w:hAnsi="Arial" w:cs="Arial"/>
          <w:sz w:val="24"/>
          <w:szCs w:val="24"/>
        </w:rPr>
        <w:lastRenderedPageBreak/>
        <w:t xml:space="preserve">Prin suprafaţa şi diversitatea arhitecturii peisagere, Grădina Publică (4,17 ha), Grădina zoologică (4,55 ha), zona verde de pe Faleza Dunării (7,97ha)  şi Esplanada </w:t>
      </w:r>
      <w:r w:rsidRPr="00315335">
        <w:rPr>
          <w:rFonts w:ascii="Arial" w:hAnsi="Arial" w:cs="Arial"/>
          <w:sz w:val="24"/>
          <w:szCs w:val="24"/>
          <w:lang w:val="es-ES"/>
        </w:rPr>
        <w:t>Dunării</w:t>
      </w:r>
      <w:r w:rsidRPr="00315335">
        <w:rPr>
          <w:rFonts w:ascii="Arial" w:hAnsi="Arial" w:cs="Arial"/>
          <w:sz w:val="24"/>
          <w:szCs w:val="24"/>
        </w:rPr>
        <w:t xml:space="preserve"> (1,64ha) pot fi de asemenea incluse în categoria parcurilor. </w:t>
      </w:r>
    </w:p>
    <w:p w:rsidR="00B95695" w:rsidRPr="00315335" w:rsidRDefault="00B95695" w:rsidP="00B95695">
      <w:pPr>
        <w:pStyle w:val="Corptext"/>
        <w:spacing w:after="0" w:line="240" w:lineRule="auto"/>
        <w:ind w:firstLine="360"/>
        <w:jc w:val="both"/>
        <w:rPr>
          <w:rFonts w:ascii="Arial" w:hAnsi="Arial" w:cs="Arial"/>
          <w:sz w:val="24"/>
          <w:szCs w:val="24"/>
        </w:rPr>
      </w:pPr>
      <w:r w:rsidRPr="00315335">
        <w:rPr>
          <w:rFonts w:ascii="Arial" w:hAnsi="Arial" w:cs="Arial"/>
          <w:sz w:val="24"/>
          <w:szCs w:val="24"/>
        </w:rPr>
        <w:t xml:space="preserve">Staţiunea Lacu Sărat, amplasată la cca. </w:t>
      </w:r>
      <w:smartTag w:uri="urn:schemas-microsoft-com:office:smarttags" w:element="metricconverter">
        <w:smartTagPr>
          <w:attr w:name="ProductID" w:val="7 km"/>
        </w:smartTagPr>
        <w:r w:rsidRPr="00315335">
          <w:rPr>
            <w:rFonts w:ascii="Arial" w:hAnsi="Arial" w:cs="Arial"/>
            <w:sz w:val="24"/>
            <w:szCs w:val="24"/>
          </w:rPr>
          <w:t>7 km</w:t>
        </w:r>
      </w:smartTag>
      <w:r w:rsidRPr="00315335">
        <w:rPr>
          <w:rFonts w:ascii="Arial" w:hAnsi="Arial" w:cs="Arial"/>
          <w:sz w:val="24"/>
          <w:szCs w:val="24"/>
        </w:rPr>
        <w:t xml:space="preserve"> de municipiul Brăila, cu o suprafaţă de </w:t>
      </w:r>
      <w:smartTag w:uri="urn:schemas-microsoft-com:office:smarttags" w:element="metricconverter">
        <w:smartTagPr>
          <w:attr w:name="ProductID" w:val="33,85 ha"/>
        </w:smartTagPr>
        <w:r w:rsidRPr="00315335">
          <w:rPr>
            <w:rFonts w:ascii="Arial" w:hAnsi="Arial" w:cs="Arial"/>
            <w:sz w:val="24"/>
            <w:szCs w:val="24"/>
          </w:rPr>
          <w:t>33,85 ha</w:t>
        </w:r>
      </w:smartTag>
      <w:r w:rsidRPr="00315335">
        <w:rPr>
          <w:rFonts w:ascii="Arial" w:hAnsi="Arial" w:cs="Arial"/>
          <w:sz w:val="24"/>
          <w:szCs w:val="24"/>
        </w:rPr>
        <w:t xml:space="preserve"> este foarte frecventată de către populaţia brăileană mai ales pe parcursul sezonului de vară. Municipiul beneficiază şi de plantaţiile din apropierea limitei teritoriului administrativ: Pădurea Stejarul şi lizierele din zona dig mal. </w:t>
      </w:r>
    </w:p>
    <w:p w:rsidR="00B95695" w:rsidRPr="00315335" w:rsidRDefault="00B95695" w:rsidP="00B95695">
      <w:pPr>
        <w:pStyle w:val="Corptext"/>
        <w:spacing w:after="0" w:line="240" w:lineRule="auto"/>
        <w:ind w:firstLine="360"/>
        <w:jc w:val="both"/>
        <w:rPr>
          <w:rFonts w:ascii="Arial" w:hAnsi="Arial" w:cs="Arial"/>
          <w:bCs/>
          <w:sz w:val="24"/>
          <w:szCs w:val="24"/>
        </w:rPr>
      </w:pPr>
      <w:r w:rsidRPr="00315335">
        <w:rPr>
          <w:rFonts w:ascii="Arial" w:hAnsi="Arial" w:cs="Arial"/>
          <w:bCs/>
          <w:sz w:val="24"/>
          <w:szCs w:val="24"/>
        </w:rPr>
        <w:t>În oraşele Ianca şi Însurăţei au fost amenajate parcuri, dar acestea au suprafaţă mică (</w:t>
      </w:r>
      <w:smartTag w:uri="urn:schemas-microsoft-com:office:smarttags" w:element="metricconverter">
        <w:smartTagPr>
          <w:attr w:name="ProductID" w:val="2,56 ha"/>
        </w:smartTagPr>
        <w:r w:rsidRPr="00315335">
          <w:rPr>
            <w:rFonts w:ascii="Arial" w:hAnsi="Arial" w:cs="Arial"/>
            <w:bCs/>
            <w:sz w:val="24"/>
            <w:szCs w:val="24"/>
          </w:rPr>
          <w:t>2,56 ha</w:t>
        </w:r>
      </w:smartTag>
      <w:r w:rsidRPr="00315335">
        <w:rPr>
          <w:rFonts w:ascii="Arial" w:hAnsi="Arial" w:cs="Arial"/>
          <w:bCs/>
          <w:sz w:val="24"/>
          <w:szCs w:val="24"/>
        </w:rPr>
        <w:t xml:space="preserve"> parcul din Ianca) şi varietate mică de specii forestiere ornamentale. </w:t>
      </w:r>
    </w:p>
    <w:p w:rsidR="00B95695" w:rsidRPr="00315335" w:rsidRDefault="00B95695" w:rsidP="00B95695">
      <w:pPr>
        <w:spacing w:after="0" w:line="240" w:lineRule="auto"/>
        <w:ind w:firstLine="360"/>
        <w:jc w:val="both"/>
        <w:rPr>
          <w:rFonts w:ascii="Arial" w:hAnsi="Arial" w:cs="Arial"/>
          <w:sz w:val="24"/>
          <w:szCs w:val="24"/>
        </w:rPr>
      </w:pPr>
      <w:r w:rsidRPr="00315335">
        <w:rPr>
          <w:rFonts w:ascii="Arial" w:hAnsi="Arial" w:cs="Arial"/>
          <w:sz w:val="24"/>
          <w:szCs w:val="24"/>
        </w:rPr>
        <w:t>Pentru prevenirea unor efecte ale schimbărilor climatice cu care ne confruntăm, pe lângă împăduriri și realizarea unor perdele de protecţie trebuie avută în vedere și extinderea spaţiilor verzi din intravilan peste suprafața minimă de 26 m2/locuitor prevăzută prin O.U.G. nr. 114/2007 pentru modificarea şi completarea OUG.nr.195/2005 privind protecţia mediului.</w:t>
      </w:r>
      <w:r w:rsidRPr="00315335">
        <w:rPr>
          <w:rFonts w:ascii="Arial" w:hAnsi="Arial" w:cs="Arial"/>
          <w:sz w:val="24"/>
          <w:szCs w:val="24"/>
        </w:rPr>
        <w:tab/>
        <w:t>De asemenea, la extinderea extravilanului localităţilor autorităţile administraţiei publice locale au obligaţia să asigure 5% pentru amenajarea spaţiilor verzi publice, aşa cum este prevăzut în Legea nr. 24/2007 privind reglementarea şi administrarea spaţiilor verzi din intravilanul localităţilor, republicată, cu modificările şi completările ulterioare.</w:t>
      </w:r>
    </w:p>
    <w:p w:rsidR="00B95695" w:rsidRPr="00315335" w:rsidRDefault="00B95695" w:rsidP="00B95695">
      <w:pPr>
        <w:spacing w:after="0" w:line="240" w:lineRule="auto"/>
        <w:jc w:val="both"/>
        <w:rPr>
          <w:rFonts w:ascii="Arial" w:hAnsi="Arial" w:cs="Arial"/>
          <w:sz w:val="24"/>
          <w:szCs w:val="24"/>
        </w:rPr>
      </w:pPr>
    </w:p>
    <w:p w:rsidR="00B95695" w:rsidRPr="00315335" w:rsidRDefault="00B95695" w:rsidP="00B95695">
      <w:pPr>
        <w:tabs>
          <w:tab w:val="left" w:pos="954"/>
          <w:tab w:val="left" w:pos="2188"/>
        </w:tabs>
        <w:autoSpaceDE w:val="0"/>
        <w:autoSpaceDN w:val="0"/>
        <w:adjustRightInd w:val="0"/>
        <w:jc w:val="both"/>
        <w:rPr>
          <w:rFonts w:ascii="Arial" w:hAnsi="Arial" w:cs="Arial"/>
          <w:b/>
          <w:i/>
          <w:sz w:val="24"/>
          <w:szCs w:val="24"/>
        </w:rPr>
      </w:pPr>
      <w:r w:rsidRPr="00315335">
        <w:rPr>
          <w:rFonts w:ascii="Arial" w:hAnsi="Arial" w:cs="Arial"/>
          <w:b/>
          <w:sz w:val="24"/>
          <w:szCs w:val="24"/>
        </w:rPr>
        <w:t>VIII.1.5.</w:t>
      </w:r>
      <w:r w:rsidRPr="00315335">
        <w:rPr>
          <w:rFonts w:ascii="Arial" w:hAnsi="Arial" w:cs="Arial"/>
          <w:b/>
          <w:i/>
          <w:sz w:val="24"/>
          <w:szCs w:val="24"/>
        </w:rPr>
        <w:t xml:space="preserve"> Schimbările climatice și efectele asupra mediului urban, sănătății și calității vieții</w:t>
      </w:r>
    </w:p>
    <w:p w:rsidR="00B95695" w:rsidRPr="00315335" w:rsidRDefault="00B95695" w:rsidP="00B95695">
      <w:pPr>
        <w:jc w:val="both"/>
        <w:rPr>
          <w:rFonts w:ascii="Arial" w:hAnsi="Arial" w:cs="Arial"/>
          <w:sz w:val="24"/>
          <w:szCs w:val="24"/>
          <w:lang w:val="en-US"/>
        </w:rPr>
      </w:pPr>
      <w:r w:rsidRPr="00315335">
        <w:rPr>
          <w:rFonts w:ascii="Arial" w:hAnsi="Arial" w:cs="Arial"/>
          <w:b/>
          <w:sz w:val="24"/>
          <w:szCs w:val="24"/>
          <w:lang w:val="en-US"/>
        </w:rPr>
        <w:t>Schimbarea vremii – Impact direct şi indirect asupra sănătăţii umane</w:t>
      </w:r>
    </w:p>
    <w:p w:rsidR="00B95695" w:rsidRPr="00315335" w:rsidRDefault="00B95695" w:rsidP="00B95695">
      <w:pPr>
        <w:jc w:val="both"/>
        <w:rPr>
          <w:rFonts w:ascii="Arial" w:hAnsi="Arial" w:cs="Arial"/>
          <w:sz w:val="24"/>
          <w:szCs w:val="24"/>
          <w:lang w:val="en-US"/>
        </w:rPr>
      </w:pPr>
      <w:r w:rsidRPr="00315335">
        <w:rPr>
          <w:rFonts w:ascii="Arial" w:hAnsi="Arial" w:cs="Arial"/>
          <w:b/>
          <w:sz w:val="24"/>
          <w:szCs w:val="24"/>
          <w:lang w:val="en-US"/>
        </w:rPr>
        <w:t xml:space="preserve">Tabelul nr.VIII. </w:t>
      </w:r>
      <w:r w:rsidRPr="00315335">
        <w:rPr>
          <w:rFonts w:ascii="Arial" w:hAnsi="Arial" w:cs="Arial"/>
          <w:b/>
          <w:sz w:val="24"/>
          <w:szCs w:val="24"/>
        </w:rPr>
        <w:t>1.5.- 1</w:t>
      </w:r>
      <w:r w:rsidRPr="00315335">
        <w:rPr>
          <w:rFonts w:ascii="Arial" w:hAnsi="Arial" w:cs="Arial"/>
          <w:b/>
          <w:sz w:val="24"/>
          <w:szCs w:val="24"/>
          <w:lang w:val="en-US"/>
        </w:rPr>
        <w:t xml:space="preserve"> </w:t>
      </w:r>
      <w:r w:rsidRPr="00315335">
        <w:rPr>
          <w:rFonts w:ascii="Arial" w:hAnsi="Arial" w:cs="Arial"/>
          <w:sz w:val="24"/>
          <w:szCs w:val="24"/>
          <w:lang w:val="en-US"/>
        </w:rPr>
        <w:t>C</w:t>
      </w:r>
      <w:r w:rsidRPr="00315335">
        <w:rPr>
          <w:rFonts w:ascii="Arial" w:hAnsi="Arial" w:cs="Arial"/>
          <w:sz w:val="24"/>
          <w:szCs w:val="24"/>
        </w:rPr>
        <w:t>antități anuale și lunare de</w:t>
      </w:r>
      <w:r w:rsidRPr="00315335">
        <w:rPr>
          <w:rFonts w:ascii="Arial" w:hAnsi="Arial" w:cs="Arial"/>
          <w:sz w:val="24"/>
          <w:szCs w:val="24"/>
          <w:lang w:val="en-US"/>
        </w:rPr>
        <w:t xml:space="preserve"> precipitaţii (mm) înregistrate la staţia meteorologică  Brăila în perioada 2014 – 2018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354"/>
        <w:gridCol w:w="643"/>
        <w:gridCol w:w="644"/>
        <w:gridCol w:w="644"/>
        <w:gridCol w:w="644"/>
        <w:gridCol w:w="765"/>
        <w:gridCol w:w="644"/>
        <w:gridCol w:w="644"/>
        <w:gridCol w:w="644"/>
        <w:gridCol w:w="644"/>
        <w:gridCol w:w="644"/>
        <w:gridCol w:w="644"/>
        <w:gridCol w:w="765"/>
      </w:tblGrid>
      <w:tr w:rsidR="00B95695" w:rsidRPr="00315335" w:rsidTr="00631723">
        <w:tc>
          <w:tcPr>
            <w:tcW w:w="675" w:type="dxa"/>
            <w:vMerge w:val="restart"/>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An</w:t>
            </w:r>
          </w:p>
        </w:tc>
        <w:tc>
          <w:tcPr>
            <w:tcW w:w="1354" w:type="dxa"/>
            <w:vMerge w:val="restart"/>
            <w:shd w:val="clear" w:color="auto" w:fill="FBD4B4"/>
            <w:vAlign w:val="center"/>
          </w:tcPr>
          <w:p w:rsidR="00B95695" w:rsidRPr="00315335" w:rsidRDefault="00B95695" w:rsidP="00631723">
            <w:pPr>
              <w:rPr>
                <w:rFonts w:ascii="Arial" w:hAnsi="Arial" w:cs="Arial"/>
                <w:lang w:val="en-US"/>
              </w:rPr>
            </w:pPr>
            <w:r w:rsidRPr="00315335">
              <w:rPr>
                <w:rFonts w:ascii="Arial" w:hAnsi="Arial" w:cs="Arial"/>
                <w:lang w:val="en-US"/>
              </w:rPr>
              <w:t>Cantitatea medie anuală de precipitaţii (mm)</w:t>
            </w:r>
          </w:p>
        </w:tc>
        <w:tc>
          <w:tcPr>
            <w:tcW w:w="7969" w:type="dxa"/>
            <w:gridSpan w:val="12"/>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Cantitaţi lunare de precipitaţii (mm)</w:t>
            </w:r>
          </w:p>
        </w:tc>
      </w:tr>
      <w:tr w:rsidR="00B95695" w:rsidRPr="00315335" w:rsidTr="00631723">
        <w:trPr>
          <w:trHeight w:val="79"/>
        </w:trPr>
        <w:tc>
          <w:tcPr>
            <w:tcW w:w="675" w:type="dxa"/>
            <w:vMerge/>
            <w:shd w:val="clear" w:color="auto" w:fill="FBD4B4"/>
            <w:vAlign w:val="center"/>
          </w:tcPr>
          <w:p w:rsidR="00B95695" w:rsidRPr="00315335" w:rsidRDefault="00B95695" w:rsidP="00631723">
            <w:pPr>
              <w:jc w:val="both"/>
              <w:rPr>
                <w:rFonts w:ascii="Arial" w:hAnsi="Arial" w:cs="Arial"/>
                <w:lang w:val="en-US"/>
              </w:rPr>
            </w:pPr>
          </w:p>
        </w:tc>
        <w:tc>
          <w:tcPr>
            <w:tcW w:w="1354" w:type="dxa"/>
            <w:vMerge/>
            <w:shd w:val="clear" w:color="auto" w:fill="FBD4B4"/>
            <w:vAlign w:val="center"/>
          </w:tcPr>
          <w:p w:rsidR="00B95695" w:rsidRPr="00315335" w:rsidRDefault="00B95695" w:rsidP="00631723">
            <w:pPr>
              <w:jc w:val="both"/>
              <w:rPr>
                <w:rFonts w:ascii="Arial" w:hAnsi="Arial" w:cs="Arial"/>
                <w:lang w:val="en-US"/>
              </w:rPr>
            </w:pPr>
          </w:p>
        </w:tc>
        <w:tc>
          <w:tcPr>
            <w:tcW w:w="643"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ian</w:t>
            </w:r>
          </w:p>
        </w:tc>
        <w:tc>
          <w:tcPr>
            <w:tcW w:w="644"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feb</w:t>
            </w:r>
          </w:p>
        </w:tc>
        <w:tc>
          <w:tcPr>
            <w:tcW w:w="644"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mar</w:t>
            </w:r>
          </w:p>
        </w:tc>
        <w:tc>
          <w:tcPr>
            <w:tcW w:w="644"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apr</w:t>
            </w:r>
          </w:p>
        </w:tc>
        <w:tc>
          <w:tcPr>
            <w:tcW w:w="765"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mai</w:t>
            </w:r>
          </w:p>
        </w:tc>
        <w:tc>
          <w:tcPr>
            <w:tcW w:w="644"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iun</w:t>
            </w:r>
          </w:p>
        </w:tc>
        <w:tc>
          <w:tcPr>
            <w:tcW w:w="644"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iul</w:t>
            </w:r>
          </w:p>
        </w:tc>
        <w:tc>
          <w:tcPr>
            <w:tcW w:w="644"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aug</w:t>
            </w:r>
          </w:p>
        </w:tc>
        <w:tc>
          <w:tcPr>
            <w:tcW w:w="644"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sep</w:t>
            </w:r>
          </w:p>
        </w:tc>
        <w:tc>
          <w:tcPr>
            <w:tcW w:w="644"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oct</w:t>
            </w:r>
          </w:p>
        </w:tc>
        <w:tc>
          <w:tcPr>
            <w:tcW w:w="644"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noe</w:t>
            </w:r>
          </w:p>
        </w:tc>
        <w:tc>
          <w:tcPr>
            <w:tcW w:w="765" w:type="dxa"/>
            <w:shd w:val="clear" w:color="auto" w:fill="FBD4B4"/>
            <w:vAlign w:val="center"/>
          </w:tcPr>
          <w:p w:rsidR="00B95695" w:rsidRPr="00315335" w:rsidRDefault="00B95695" w:rsidP="00631723">
            <w:pPr>
              <w:jc w:val="both"/>
              <w:rPr>
                <w:rFonts w:ascii="Arial" w:hAnsi="Arial" w:cs="Arial"/>
                <w:lang w:val="en-US"/>
              </w:rPr>
            </w:pPr>
            <w:r w:rsidRPr="00315335">
              <w:rPr>
                <w:rFonts w:ascii="Arial" w:hAnsi="Arial" w:cs="Arial"/>
                <w:lang w:val="en-US"/>
              </w:rPr>
              <w:t>dec</w:t>
            </w:r>
          </w:p>
        </w:tc>
      </w:tr>
      <w:tr w:rsidR="00B95695" w:rsidRPr="00315335" w:rsidTr="00631723">
        <w:tc>
          <w:tcPr>
            <w:tcW w:w="675"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2014</w:t>
            </w:r>
          </w:p>
        </w:tc>
        <w:tc>
          <w:tcPr>
            <w:tcW w:w="135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479,3</w:t>
            </w:r>
          </w:p>
        </w:tc>
        <w:tc>
          <w:tcPr>
            <w:tcW w:w="643"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62,5</w:t>
            </w:r>
          </w:p>
        </w:tc>
        <w:tc>
          <w:tcPr>
            <w:tcW w:w="64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6,1</w:t>
            </w:r>
          </w:p>
        </w:tc>
        <w:tc>
          <w:tcPr>
            <w:tcW w:w="64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40</w:t>
            </w:r>
          </w:p>
        </w:tc>
        <w:tc>
          <w:tcPr>
            <w:tcW w:w="64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43,2</w:t>
            </w:r>
          </w:p>
        </w:tc>
        <w:tc>
          <w:tcPr>
            <w:tcW w:w="765"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52,5</w:t>
            </w:r>
          </w:p>
        </w:tc>
        <w:tc>
          <w:tcPr>
            <w:tcW w:w="64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47,8</w:t>
            </w:r>
          </w:p>
        </w:tc>
        <w:tc>
          <w:tcPr>
            <w:tcW w:w="64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27</w:t>
            </w:r>
          </w:p>
        </w:tc>
        <w:tc>
          <w:tcPr>
            <w:tcW w:w="64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16,6</w:t>
            </w:r>
          </w:p>
        </w:tc>
        <w:tc>
          <w:tcPr>
            <w:tcW w:w="64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13</w:t>
            </w:r>
          </w:p>
        </w:tc>
        <w:tc>
          <w:tcPr>
            <w:tcW w:w="64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53,6</w:t>
            </w:r>
          </w:p>
        </w:tc>
        <w:tc>
          <w:tcPr>
            <w:tcW w:w="644"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56,2</w:t>
            </w:r>
          </w:p>
        </w:tc>
        <w:tc>
          <w:tcPr>
            <w:tcW w:w="765" w:type="dxa"/>
            <w:shd w:val="clear" w:color="auto" w:fill="FDE9D9"/>
            <w:vAlign w:val="center"/>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60,8</w:t>
            </w:r>
          </w:p>
        </w:tc>
      </w:tr>
      <w:tr w:rsidR="00B95695" w:rsidRPr="00315335" w:rsidTr="00631723">
        <w:tc>
          <w:tcPr>
            <w:tcW w:w="675" w:type="dxa"/>
            <w:shd w:val="clear" w:color="auto" w:fill="FDE9D9"/>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2015</w:t>
            </w:r>
          </w:p>
        </w:tc>
        <w:tc>
          <w:tcPr>
            <w:tcW w:w="135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525.6</w:t>
            </w:r>
          </w:p>
        </w:tc>
        <w:tc>
          <w:tcPr>
            <w:tcW w:w="643"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27.1</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39.9</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83.0</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27.6</w:t>
            </w:r>
          </w:p>
        </w:tc>
        <w:tc>
          <w:tcPr>
            <w:tcW w:w="765"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11.2</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63.8</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20.6</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39.2</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35.2</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87.0</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89.2</w:t>
            </w:r>
          </w:p>
        </w:tc>
        <w:tc>
          <w:tcPr>
            <w:tcW w:w="765"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1.8</w:t>
            </w:r>
          </w:p>
        </w:tc>
      </w:tr>
      <w:tr w:rsidR="00B95695" w:rsidRPr="00315335" w:rsidTr="00631723">
        <w:tc>
          <w:tcPr>
            <w:tcW w:w="675" w:type="dxa"/>
            <w:shd w:val="clear" w:color="auto" w:fill="FDE9D9"/>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2016</w:t>
            </w:r>
          </w:p>
        </w:tc>
        <w:tc>
          <w:tcPr>
            <w:tcW w:w="135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553,7</w:t>
            </w:r>
          </w:p>
        </w:tc>
        <w:tc>
          <w:tcPr>
            <w:tcW w:w="643"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44,2</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6,4</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58</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48,4</w:t>
            </w:r>
          </w:p>
        </w:tc>
        <w:tc>
          <w:tcPr>
            <w:tcW w:w="765"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46</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85,4</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1,2</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48,2</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29,2</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127</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56,6</w:t>
            </w:r>
          </w:p>
        </w:tc>
        <w:tc>
          <w:tcPr>
            <w:tcW w:w="765"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3,1</w:t>
            </w:r>
          </w:p>
        </w:tc>
      </w:tr>
      <w:tr w:rsidR="00B95695" w:rsidRPr="00315335" w:rsidTr="00631723">
        <w:tc>
          <w:tcPr>
            <w:tcW w:w="675" w:type="dxa"/>
            <w:shd w:val="clear" w:color="auto" w:fill="FDE9D9"/>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2017</w:t>
            </w:r>
          </w:p>
        </w:tc>
        <w:tc>
          <w:tcPr>
            <w:tcW w:w="135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472,3</w:t>
            </w:r>
          </w:p>
        </w:tc>
        <w:tc>
          <w:tcPr>
            <w:tcW w:w="643"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22,0</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40</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15,6</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73,1</w:t>
            </w:r>
          </w:p>
        </w:tc>
        <w:tc>
          <w:tcPr>
            <w:tcW w:w="765"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22,8</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8,9</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125</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1,4</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6,4</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78,8</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40</w:t>
            </w:r>
          </w:p>
        </w:tc>
        <w:tc>
          <w:tcPr>
            <w:tcW w:w="765"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38,3</w:t>
            </w:r>
          </w:p>
        </w:tc>
      </w:tr>
      <w:tr w:rsidR="00B95695" w:rsidRPr="00315335" w:rsidTr="00631723">
        <w:tc>
          <w:tcPr>
            <w:tcW w:w="675" w:type="dxa"/>
            <w:shd w:val="clear" w:color="auto" w:fill="FDE9D9"/>
          </w:tcPr>
          <w:p w:rsidR="00B95695" w:rsidRPr="00315335" w:rsidRDefault="00B95695" w:rsidP="00631723">
            <w:pPr>
              <w:jc w:val="both"/>
              <w:rPr>
                <w:rFonts w:ascii="Arial" w:hAnsi="Arial" w:cs="Arial"/>
                <w:sz w:val="20"/>
                <w:szCs w:val="20"/>
                <w:lang w:val="en-US"/>
              </w:rPr>
            </w:pPr>
            <w:r w:rsidRPr="00315335">
              <w:rPr>
                <w:rFonts w:ascii="Arial" w:hAnsi="Arial" w:cs="Arial"/>
                <w:sz w:val="20"/>
                <w:szCs w:val="20"/>
                <w:lang w:val="en-US"/>
              </w:rPr>
              <w:t>2018</w:t>
            </w:r>
          </w:p>
        </w:tc>
        <w:tc>
          <w:tcPr>
            <w:tcW w:w="135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411,4</w:t>
            </w:r>
          </w:p>
        </w:tc>
        <w:tc>
          <w:tcPr>
            <w:tcW w:w="643"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16,0</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82,7</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37,9</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6,4</w:t>
            </w:r>
          </w:p>
        </w:tc>
        <w:tc>
          <w:tcPr>
            <w:tcW w:w="765"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23,4</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67,3</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81</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0,2</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12,4</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6,2</w:t>
            </w:r>
          </w:p>
        </w:tc>
        <w:tc>
          <w:tcPr>
            <w:tcW w:w="644"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26</w:t>
            </w:r>
          </w:p>
        </w:tc>
        <w:tc>
          <w:tcPr>
            <w:tcW w:w="765" w:type="dxa"/>
            <w:shd w:val="clear" w:color="auto" w:fill="FDE9D9"/>
            <w:vAlign w:val="bottom"/>
          </w:tcPr>
          <w:p w:rsidR="00B95695" w:rsidRPr="00315335" w:rsidRDefault="00B95695" w:rsidP="00631723">
            <w:pPr>
              <w:jc w:val="both"/>
              <w:rPr>
                <w:rFonts w:ascii="Arial" w:hAnsi="Arial" w:cs="Arial"/>
                <w:sz w:val="20"/>
                <w:szCs w:val="20"/>
              </w:rPr>
            </w:pPr>
            <w:r w:rsidRPr="00315335">
              <w:rPr>
                <w:rFonts w:ascii="Arial" w:hAnsi="Arial" w:cs="Arial"/>
                <w:sz w:val="20"/>
                <w:szCs w:val="20"/>
              </w:rPr>
              <w:t>51,9</w:t>
            </w:r>
          </w:p>
        </w:tc>
      </w:tr>
    </w:tbl>
    <w:p w:rsidR="00B95695" w:rsidRPr="00315335" w:rsidRDefault="00B95695" w:rsidP="00B95695">
      <w:pPr>
        <w:jc w:val="both"/>
        <w:rPr>
          <w:rFonts w:ascii="Arial" w:hAnsi="Arial" w:cs="Arial"/>
          <w:b/>
          <w:sz w:val="20"/>
          <w:szCs w:val="20"/>
          <w:lang w:val="en-US"/>
        </w:rPr>
      </w:pPr>
      <w:r w:rsidRPr="00315335">
        <w:rPr>
          <w:rFonts w:ascii="Arial" w:hAnsi="Arial" w:cs="Arial"/>
          <w:b/>
          <w:sz w:val="20"/>
          <w:szCs w:val="20"/>
          <w:lang w:val="en-US"/>
        </w:rPr>
        <w:t>Notă : Date furnizate de către administrația națională de meteorologie</w:t>
      </w:r>
    </w:p>
    <w:p w:rsidR="00B95695" w:rsidRDefault="00B95695" w:rsidP="00B95695">
      <w:pPr>
        <w:spacing w:after="0" w:line="240" w:lineRule="auto"/>
        <w:jc w:val="both"/>
        <w:rPr>
          <w:rFonts w:ascii="Arial" w:hAnsi="Arial" w:cs="Arial"/>
          <w:sz w:val="24"/>
          <w:szCs w:val="24"/>
        </w:rPr>
      </w:pPr>
      <w:r w:rsidRPr="00315335">
        <w:rPr>
          <w:rFonts w:ascii="Arial" w:hAnsi="Arial" w:cs="Arial"/>
          <w:b/>
          <w:sz w:val="24"/>
          <w:szCs w:val="24"/>
          <w:lang w:val="en-US"/>
        </w:rPr>
        <w:t xml:space="preserve">Tabelul nr. VIII. </w:t>
      </w:r>
      <w:r w:rsidRPr="00315335">
        <w:rPr>
          <w:rFonts w:ascii="Arial" w:hAnsi="Arial" w:cs="Arial"/>
          <w:b/>
          <w:sz w:val="24"/>
          <w:szCs w:val="24"/>
        </w:rPr>
        <w:t>1.5.- 2</w:t>
      </w:r>
      <w:r w:rsidRPr="00315335">
        <w:rPr>
          <w:rFonts w:ascii="Arial" w:hAnsi="Arial" w:cs="Arial"/>
          <w:sz w:val="24"/>
          <w:szCs w:val="24"/>
          <w:lang w:val="en-US"/>
        </w:rPr>
        <w:t xml:space="preserve"> </w:t>
      </w:r>
      <w:r w:rsidRPr="00315335">
        <w:rPr>
          <w:rFonts w:ascii="Arial" w:hAnsi="Arial" w:cs="Arial"/>
          <w:sz w:val="24"/>
          <w:szCs w:val="24"/>
        </w:rPr>
        <w:t>Temperatura medie multianuală (1975 – 2000) şi temperatura medie anuală a aerului (ºC) din perioada 2014 – 2018, de la staţia meteorologică  Brăila</w:t>
      </w:r>
    </w:p>
    <w:p w:rsidR="00D638AC" w:rsidRPr="00315335" w:rsidRDefault="00D638AC" w:rsidP="00B95695">
      <w:pPr>
        <w:spacing w:after="0" w:line="240" w:lineRule="auto"/>
        <w:jc w:val="both"/>
        <w:rPr>
          <w:rFonts w:ascii="Arial" w:hAnsi="Arial" w:cs="Arial"/>
          <w:sz w:val="24"/>
          <w:szCs w:val="24"/>
        </w:rPr>
      </w:pP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1079"/>
        <w:gridCol w:w="1361"/>
        <w:gridCol w:w="850"/>
        <w:gridCol w:w="850"/>
        <w:gridCol w:w="850"/>
        <w:gridCol w:w="850"/>
        <w:gridCol w:w="850"/>
      </w:tblGrid>
      <w:tr w:rsidR="00B95695" w:rsidRPr="00315335" w:rsidTr="00631723">
        <w:trPr>
          <w:jc w:val="center"/>
        </w:trPr>
        <w:tc>
          <w:tcPr>
            <w:tcW w:w="1079" w:type="dxa"/>
            <w:shd w:val="clear" w:color="auto" w:fill="FDE9D9"/>
            <w:vAlign w:val="center"/>
          </w:tcPr>
          <w:p w:rsidR="00B95695" w:rsidRPr="00315335" w:rsidRDefault="00B95695" w:rsidP="00631723">
            <w:pPr>
              <w:spacing w:after="0"/>
              <w:jc w:val="both"/>
              <w:rPr>
                <w:rFonts w:ascii="Arial" w:hAnsi="Arial" w:cs="Arial"/>
                <w:b/>
                <w:sz w:val="24"/>
                <w:szCs w:val="24"/>
              </w:rPr>
            </w:pPr>
          </w:p>
        </w:tc>
        <w:tc>
          <w:tcPr>
            <w:tcW w:w="1361" w:type="dxa"/>
            <w:shd w:val="clear" w:color="auto" w:fill="FDE9D9"/>
            <w:vAlign w:val="center"/>
          </w:tcPr>
          <w:p w:rsidR="00B95695" w:rsidRPr="00315335" w:rsidRDefault="00B95695" w:rsidP="00631723">
            <w:pPr>
              <w:spacing w:after="0" w:line="240" w:lineRule="auto"/>
              <w:jc w:val="both"/>
              <w:rPr>
                <w:rFonts w:ascii="Arial" w:hAnsi="Arial" w:cs="Arial"/>
                <w:b/>
                <w:sz w:val="24"/>
                <w:szCs w:val="24"/>
              </w:rPr>
            </w:pPr>
            <w:r w:rsidRPr="00315335">
              <w:rPr>
                <w:rFonts w:ascii="Arial" w:hAnsi="Arial" w:cs="Arial"/>
                <w:b/>
                <w:sz w:val="24"/>
                <w:szCs w:val="24"/>
              </w:rPr>
              <w:t xml:space="preserve">Media </w:t>
            </w:r>
          </w:p>
          <w:p w:rsidR="00B95695" w:rsidRPr="00315335" w:rsidRDefault="00B95695" w:rsidP="00631723">
            <w:pPr>
              <w:spacing w:after="0" w:line="240" w:lineRule="auto"/>
              <w:jc w:val="both"/>
              <w:rPr>
                <w:rFonts w:ascii="Arial" w:hAnsi="Arial" w:cs="Arial"/>
                <w:b/>
                <w:sz w:val="24"/>
                <w:szCs w:val="24"/>
              </w:rPr>
            </w:pPr>
            <w:r w:rsidRPr="00315335">
              <w:rPr>
                <w:rFonts w:ascii="Arial" w:hAnsi="Arial" w:cs="Arial"/>
                <w:b/>
                <w:sz w:val="24"/>
                <w:szCs w:val="24"/>
              </w:rPr>
              <w:t>1975-2000</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2014</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2015</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2016</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2017</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2018</w:t>
            </w:r>
          </w:p>
        </w:tc>
      </w:tr>
      <w:tr w:rsidR="00B95695" w:rsidRPr="00315335" w:rsidTr="00631723">
        <w:trPr>
          <w:trHeight w:hRule="exact" w:val="397"/>
          <w:jc w:val="center"/>
        </w:trPr>
        <w:tc>
          <w:tcPr>
            <w:tcW w:w="1079" w:type="dxa"/>
            <w:shd w:val="clear" w:color="auto" w:fill="FDE9D9"/>
            <w:vAlign w:val="center"/>
          </w:tcPr>
          <w:p w:rsidR="00B95695" w:rsidRPr="00315335" w:rsidRDefault="00B95695" w:rsidP="00631723">
            <w:pPr>
              <w:spacing w:after="0"/>
              <w:jc w:val="both"/>
              <w:rPr>
                <w:rFonts w:ascii="Arial" w:hAnsi="Arial" w:cs="Arial"/>
                <w:sz w:val="24"/>
                <w:szCs w:val="24"/>
              </w:rPr>
            </w:pPr>
            <w:r w:rsidRPr="00315335">
              <w:rPr>
                <w:rFonts w:ascii="Arial" w:hAnsi="Arial" w:cs="Arial"/>
                <w:sz w:val="24"/>
                <w:szCs w:val="24"/>
              </w:rPr>
              <w:t>Brăila</w:t>
            </w:r>
          </w:p>
        </w:tc>
        <w:tc>
          <w:tcPr>
            <w:tcW w:w="1361" w:type="dxa"/>
            <w:shd w:val="clear" w:color="auto" w:fill="FDE9D9"/>
            <w:vAlign w:val="center"/>
          </w:tcPr>
          <w:p w:rsidR="00B95695" w:rsidRPr="00315335" w:rsidRDefault="00B95695" w:rsidP="00631723">
            <w:pPr>
              <w:jc w:val="both"/>
              <w:rPr>
                <w:rFonts w:ascii="Arial" w:hAnsi="Arial" w:cs="Arial"/>
                <w:sz w:val="24"/>
                <w:szCs w:val="24"/>
              </w:rPr>
            </w:pPr>
            <w:r w:rsidRPr="00315335">
              <w:rPr>
                <w:rFonts w:ascii="Arial" w:hAnsi="Arial" w:cs="Arial"/>
                <w:sz w:val="24"/>
                <w:szCs w:val="24"/>
              </w:rPr>
              <w:t>10.7</w:t>
            </w:r>
          </w:p>
        </w:tc>
        <w:tc>
          <w:tcPr>
            <w:tcW w:w="850" w:type="dxa"/>
            <w:shd w:val="clear" w:color="auto" w:fill="FDE9D9"/>
          </w:tcPr>
          <w:p w:rsidR="00B95695" w:rsidRPr="00315335" w:rsidRDefault="00B95695" w:rsidP="00631723">
            <w:pPr>
              <w:jc w:val="both"/>
              <w:rPr>
                <w:rFonts w:ascii="Arial" w:hAnsi="Arial" w:cs="Arial"/>
                <w:sz w:val="24"/>
                <w:szCs w:val="24"/>
              </w:rPr>
            </w:pPr>
            <w:r w:rsidRPr="00315335">
              <w:rPr>
                <w:rFonts w:ascii="Arial" w:hAnsi="Arial" w:cs="Arial"/>
                <w:sz w:val="24"/>
                <w:szCs w:val="24"/>
              </w:rPr>
              <w:t>-</w:t>
            </w:r>
          </w:p>
        </w:tc>
        <w:tc>
          <w:tcPr>
            <w:tcW w:w="850" w:type="dxa"/>
            <w:shd w:val="clear" w:color="auto" w:fill="FDE9D9"/>
          </w:tcPr>
          <w:p w:rsidR="00B95695" w:rsidRPr="00315335" w:rsidRDefault="00B95695" w:rsidP="00631723">
            <w:pPr>
              <w:jc w:val="both"/>
              <w:rPr>
                <w:rFonts w:ascii="Arial" w:hAnsi="Arial" w:cs="Arial"/>
                <w:sz w:val="24"/>
                <w:szCs w:val="24"/>
              </w:rPr>
            </w:pPr>
            <w:r w:rsidRPr="00315335">
              <w:rPr>
                <w:rFonts w:ascii="Arial" w:hAnsi="Arial" w:cs="Arial"/>
                <w:sz w:val="24"/>
                <w:szCs w:val="24"/>
              </w:rPr>
              <w:t>12.3</w:t>
            </w:r>
          </w:p>
        </w:tc>
        <w:tc>
          <w:tcPr>
            <w:tcW w:w="850" w:type="dxa"/>
            <w:shd w:val="clear" w:color="auto" w:fill="FDE9D9"/>
          </w:tcPr>
          <w:p w:rsidR="00B95695" w:rsidRPr="00315335" w:rsidRDefault="00B95695" w:rsidP="00631723">
            <w:pPr>
              <w:jc w:val="both"/>
              <w:rPr>
                <w:rFonts w:ascii="Arial" w:hAnsi="Arial" w:cs="Arial"/>
                <w:sz w:val="24"/>
                <w:szCs w:val="24"/>
              </w:rPr>
            </w:pPr>
            <w:r w:rsidRPr="00315335">
              <w:rPr>
                <w:rFonts w:ascii="Arial" w:hAnsi="Arial" w:cs="Arial"/>
                <w:sz w:val="24"/>
                <w:szCs w:val="24"/>
              </w:rPr>
              <w:t>12,0</w:t>
            </w:r>
          </w:p>
        </w:tc>
        <w:tc>
          <w:tcPr>
            <w:tcW w:w="850" w:type="dxa"/>
            <w:shd w:val="clear" w:color="auto" w:fill="FDE9D9"/>
            <w:vAlign w:val="center"/>
          </w:tcPr>
          <w:p w:rsidR="00B95695" w:rsidRPr="00315335" w:rsidRDefault="00B95695" w:rsidP="00631723">
            <w:pPr>
              <w:jc w:val="both"/>
              <w:rPr>
                <w:rFonts w:ascii="Arial" w:hAnsi="Arial" w:cs="Arial"/>
                <w:sz w:val="24"/>
                <w:szCs w:val="24"/>
              </w:rPr>
            </w:pPr>
            <w:r w:rsidRPr="00315335">
              <w:rPr>
                <w:rFonts w:ascii="Arial" w:hAnsi="Arial" w:cs="Arial"/>
                <w:sz w:val="24"/>
                <w:szCs w:val="24"/>
              </w:rPr>
              <w:t>11,4</w:t>
            </w:r>
          </w:p>
        </w:tc>
        <w:tc>
          <w:tcPr>
            <w:tcW w:w="850" w:type="dxa"/>
            <w:shd w:val="clear" w:color="auto" w:fill="FDE9D9"/>
            <w:vAlign w:val="center"/>
          </w:tcPr>
          <w:p w:rsidR="00B95695" w:rsidRPr="00315335" w:rsidRDefault="00B95695" w:rsidP="00631723">
            <w:pPr>
              <w:jc w:val="both"/>
              <w:rPr>
                <w:rFonts w:ascii="Arial" w:hAnsi="Arial" w:cs="Arial"/>
                <w:sz w:val="24"/>
                <w:szCs w:val="24"/>
              </w:rPr>
            </w:pPr>
            <w:r w:rsidRPr="00315335">
              <w:rPr>
                <w:rFonts w:ascii="Arial" w:hAnsi="Arial" w:cs="Arial"/>
                <w:sz w:val="24"/>
                <w:szCs w:val="24"/>
              </w:rPr>
              <w:t>12,0</w:t>
            </w:r>
          </w:p>
        </w:tc>
      </w:tr>
    </w:tbl>
    <w:p w:rsidR="00B95695" w:rsidRPr="00315335" w:rsidRDefault="00B95695" w:rsidP="00B95695">
      <w:pPr>
        <w:jc w:val="both"/>
        <w:rPr>
          <w:rFonts w:ascii="Arial" w:hAnsi="Arial" w:cs="Arial"/>
          <w:i/>
          <w:sz w:val="20"/>
          <w:szCs w:val="20"/>
        </w:rPr>
      </w:pPr>
      <w:r w:rsidRPr="00315335">
        <w:rPr>
          <w:rFonts w:ascii="Arial" w:hAnsi="Arial" w:cs="Arial"/>
          <w:b/>
          <w:i/>
          <w:sz w:val="20"/>
          <w:szCs w:val="20"/>
        </w:rPr>
        <w:t xml:space="preserve">Notă ANM </w:t>
      </w:r>
      <w:r w:rsidRPr="00315335">
        <w:rPr>
          <w:rFonts w:ascii="Arial" w:hAnsi="Arial" w:cs="Arial"/>
          <w:i/>
          <w:sz w:val="20"/>
          <w:szCs w:val="20"/>
        </w:rPr>
        <w:t>: pentru anul 2013 respectiv pentru anul 2014  nu se poate calcula temperatura medie anuală a aerului deoarece lipsesc înregistrări în anumite luni .</w:t>
      </w:r>
    </w:p>
    <w:p w:rsidR="00B95695" w:rsidRDefault="00B95695" w:rsidP="00B95695">
      <w:pPr>
        <w:spacing w:after="0" w:line="240" w:lineRule="auto"/>
        <w:jc w:val="both"/>
        <w:rPr>
          <w:rFonts w:ascii="Arial" w:hAnsi="Arial" w:cs="Arial"/>
          <w:sz w:val="24"/>
          <w:szCs w:val="24"/>
        </w:rPr>
      </w:pPr>
      <w:r w:rsidRPr="00315335">
        <w:rPr>
          <w:rFonts w:ascii="Arial" w:hAnsi="Arial" w:cs="Arial"/>
          <w:b/>
          <w:sz w:val="24"/>
          <w:szCs w:val="24"/>
          <w:lang w:val="en-US"/>
        </w:rPr>
        <w:t xml:space="preserve">Tabelul  nr. VIII. </w:t>
      </w:r>
      <w:r w:rsidRPr="00315335">
        <w:rPr>
          <w:rFonts w:ascii="Arial" w:hAnsi="Arial" w:cs="Arial"/>
          <w:b/>
          <w:sz w:val="24"/>
          <w:szCs w:val="24"/>
        </w:rPr>
        <w:t>1.5.-</w:t>
      </w:r>
      <w:r w:rsidRPr="00315335">
        <w:rPr>
          <w:rFonts w:ascii="Arial" w:hAnsi="Arial" w:cs="Arial"/>
          <w:b/>
          <w:sz w:val="24"/>
          <w:szCs w:val="24"/>
          <w:lang w:val="en-US"/>
        </w:rPr>
        <w:t xml:space="preserve"> </w:t>
      </w:r>
      <w:r w:rsidRPr="00315335">
        <w:rPr>
          <w:rFonts w:ascii="Arial" w:hAnsi="Arial" w:cs="Arial"/>
          <w:b/>
          <w:sz w:val="24"/>
          <w:szCs w:val="24"/>
        </w:rPr>
        <w:t>3</w:t>
      </w:r>
      <w:r w:rsidRPr="00315335">
        <w:rPr>
          <w:rFonts w:ascii="Arial" w:hAnsi="Arial" w:cs="Arial"/>
          <w:sz w:val="24"/>
          <w:szCs w:val="24"/>
        </w:rPr>
        <w:t xml:space="preserve"> Temperatura maximă anuală din perioada 2014 – 2018, temperatura maximă absolută a aerului (ºC), respectiv data de producere a acestora, de la staţia meteorologică Brăila</w:t>
      </w:r>
    </w:p>
    <w:p w:rsidR="00D638AC" w:rsidRDefault="00D638AC" w:rsidP="00B95695">
      <w:pPr>
        <w:spacing w:after="0" w:line="240" w:lineRule="auto"/>
        <w:jc w:val="both"/>
        <w:rPr>
          <w:rFonts w:ascii="Arial" w:hAnsi="Arial" w:cs="Arial"/>
          <w:sz w:val="24"/>
          <w:szCs w:val="24"/>
        </w:rPr>
      </w:pPr>
    </w:p>
    <w:p w:rsidR="00D638AC" w:rsidRPr="00315335" w:rsidRDefault="00D638AC" w:rsidP="00B95695">
      <w:pPr>
        <w:spacing w:after="0" w:line="240" w:lineRule="auto"/>
        <w:jc w:val="both"/>
        <w:rPr>
          <w:rFonts w:ascii="Arial" w:hAnsi="Arial" w:cs="Arial"/>
          <w:sz w:val="24"/>
          <w:szCs w:val="24"/>
        </w:rPr>
      </w:pP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1079"/>
        <w:gridCol w:w="1361"/>
        <w:gridCol w:w="850"/>
        <w:gridCol w:w="850"/>
        <w:gridCol w:w="850"/>
        <w:gridCol w:w="850"/>
        <w:gridCol w:w="850"/>
      </w:tblGrid>
      <w:tr w:rsidR="00B95695" w:rsidRPr="00315335" w:rsidTr="00631723">
        <w:trPr>
          <w:jc w:val="center"/>
        </w:trPr>
        <w:tc>
          <w:tcPr>
            <w:tcW w:w="1079" w:type="dxa"/>
            <w:shd w:val="clear" w:color="auto" w:fill="FDE9D9"/>
            <w:vAlign w:val="center"/>
          </w:tcPr>
          <w:p w:rsidR="00B95695" w:rsidRPr="00315335" w:rsidRDefault="00B95695" w:rsidP="00631723">
            <w:pPr>
              <w:spacing w:after="0"/>
              <w:jc w:val="both"/>
              <w:rPr>
                <w:rFonts w:ascii="Arial" w:hAnsi="Arial" w:cs="Arial"/>
                <w:sz w:val="24"/>
                <w:szCs w:val="24"/>
              </w:rPr>
            </w:pPr>
          </w:p>
        </w:tc>
        <w:tc>
          <w:tcPr>
            <w:tcW w:w="1361" w:type="dxa"/>
            <w:shd w:val="clear" w:color="auto" w:fill="FDE9D9"/>
            <w:vAlign w:val="center"/>
          </w:tcPr>
          <w:p w:rsidR="00B95695" w:rsidRPr="00315335" w:rsidRDefault="00B95695" w:rsidP="00631723">
            <w:pPr>
              <w:spacing w:after="0" w:line="240" w:lineRule="auto"/>
              <w:jc w:val="both"/>
              <w:rPr>
                <w:rFonts w:ascii="Arial" w:hAnsi="Arial" w:cs="Arial"/>
                <w:b/>
                <w:sz w:val="24"/>
                <w:szCs w:val="24"/>
              </w:rPr>
            </w:pPr>
            <w:r w:rsidRPr="00315335">
              <w:rPr>
                <w:rFonts w:ascii="Arial" w:hAnsi="Arial" w:cs="Arial"/>
                <w:b/>
                <w:sz w:val="24"/>
                <w:szCs w:val="24"/>
              </w:rPr>
              <w:t>Maxima absolută</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2014</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2015</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2016</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2017</w:t>
            </w:r>
          </w:p>
        </w:tc>
        <w:tc>
          <w:tcPr>
            <w:tcW w:w="850"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2018</w:t>
            </w:r>
          </w:p>
        </w:tc>
      </w:tr>
      <w:tr w:rsidR="00B95695" w:rsidRPr="00315335" w:rsidTr="00631723">
        <w:trPr>
          <w:trHeight w:hRule="exact" w:val="849"/>
          <w:jc w:val="center"/>
        </w:trPr>
        <w:tc>
          <w:tcPr>
            <w:tcW w:w="1079" w:type="dxa"/>
            <w:shd w:val="clear" w:color="auto" w:fill="FDE9D9"/>
            <w:vAlign w:val="center"/>
          </w:tcPr>
          <w:p w:rsidR="00B95695" w:rsidRPr="00315335" w:rsidRDefault="00B95695" w:rsidP="00631723">
            <w:pPr>
              <w:jc w:val="both"/>
              <w:rPr>
                <w:rFonts w:ascii="Arial" w:hAnsi="Arial" w:cs="Arial"/>
                <w:sz w:val="24"/>
                <w:szCs w:val="24"/>
              </w:rPr>
            </w:pPr>
            <w:r w:rsidRPr="00315335">
              <w:rPr>
                <w:rFonts w:ascii="Arial" w:hAnsi="Arial" w:cs="Arial"/>
                <w:sz w:val="24"/>
                <w:szCs w:val="24"/>
              </w:rPr>
              <w:t>Brăila</w:t>
            </w:r>
          </w:p>
        </w:tc>
        <w:tc>
          <w:tcPr>
            <w:tcW w:w="1361" w:type="dxa"/>
            <w:shd w:val="clear" w:color="auto" w:fill="FDE9D9"/>
            <w:vAlign w:val="center"/>
          </w:tcPr>
          <w:p w:rsidR="00B95695" w:rsidRPr="00315335" w:rsidRDefault="00B95695" w:rsidP="00631723">
            <w:pPr>
              <w:jc w:val="both"/>
              <w:rPr>
                <w:rFonts w:ascii="Arial" w:hAnsi="Arial" w:cs="Arial"/>
                <w:sz w:val="20"/>
                <w:szCs w:val="20"/>
              </w:rPr>
            </w:pPr>
            <w:r w:rsidRPr="00315335">
              <w:rPr>
                <w:rFonts w:ascii="Arial" w:hAnsi="Arial" w:cs="Arial"/>
                <w:sz w:val="20"/>
                <w:szCs w:val="20"/>
              </w:rPr>
              <w:t>41.1</w:t>
            </w:r>
          </w:p>
          <w:p w:rsidR="00B95695" w:rsidRPr="00315335" w:rsidRDefault="00B95695" w:rsidP="00631723">
            <w:pPr>
              <w:jc w:val="both"/>
              <w:rPr>
                <w:rFonts w:ascii="Arial" w:hAnsi="Arial" w:cs="Arial"/>
                <w:sz w:val="20"/>
                <w:szCs w:val="20"/>
              </w:rPr>
            </w:pPr>
            <w:r w:rsidRPr="00315335">
              <w:rPr>
                <w:rFonts w:ascii="Arial" w:hAnsi="Arial" w:cs="Arial"/>
                <w:sz w:val="20"/>
                <w:szCs w:val="20"/>
              </w:rPr>
              <w:t>(23.07.2007)</w:t>
            </w:r>
          </w:p>
        </w:tc>
        <w:tc>
          <w:tcPr>
            <w:tcW w:w="850" w:type="dxa"/>
            <w:shd w:val="clear" w:color="auto" w:fill="FDE9D9"/>
            <w:vAlign w:val="center"/>
          </w:tcPr>
          <w:p w:rsidR="00B95695" w:rsidRPr="00315335" w:rsidRDefault="00B95695" w:rsidP="00631723">
            <w:pPr>
              <w:jc w:val="both"/>
              <w:rPr>
                <w:rFonts w:ascii="Arial" w:hAnsi="Arial" w:cs="Arial"/>
                <w:sz w:val="20"/>
                <w:szCs w:val="20"/>
              </w:rPr>
            </w:pPr>
            <w:r w:rsidRPr="00315335">
              <w:rPr>
                <w:rFonts w:ascii="Arial" w:hAnsi="Arial" w:cs="Arial"/>
                <w:sz w:val="20"/>
                <w:szCs w:val="20"/>
              </w:rPr>
              <w:t>36.6/</w:t>
            </w:r>
          </w:p>
          <w:p w:rsidR="00B95695" w:rsidRPr="00315335" w:rsidRDefault="00B95695" w:rsidP="00631723">
            <w:pPr>
              <w:jc w:val="both"/>
              <w:rPr>
                <w:rFonts w:ascii="Arial" w:hAnsi="Arial" w:cs="Arial"/>
                <w:sz w:val="20"/>
                <w:szCs w:val="20"/>
              </w:rPr>
            </w:pPr>
            <w:r w:rsidRPr="00315335">
              <w:rPr>
                <w:rFonts w:ascii="Arial" w:hAnsi="Arial" w:cs="Arial"/>
                <w:sz w:val="20"/>
                <w:szCs w:val="20"/>
              </w:rPr>
              <w:t>13.08</w:t>
            </w:r>
          </w:p>
        </w:tc>
        <w:tc>
          <w:tcPr>
            <w:tcW w:w="850" w:type="dxa"/>
            <w:shd w:val="clear" w:color="auto" w:fill="FDE9D9"/>
            <w:vAlign w:val="center"/>
          </w:tcPr>
          <w:p w:rsidR="00B95695" w:rsidRPr="00315335" w:rsidRDefault="00B95695" w:rsidP="00631723">
            <w:pPr>
              <w:jc w:val="both"/>
              <w:rPr>
                <w:rFonts w:ascii="Arial" w:hAnsi="Arial" w:cs="Arial"/>
                <w:sz w:val="20"/>
                <w:szCs w:val="20"/>
              </w:rPr>
            </w:pPr>
            <w:r w:rsidRPr="00315335">
              <w:rPr>
                <w:rFonts w:ascii="Arial" w:hAnsi="Arial" w:cs="Arial"/>
                <w:sz w:val="20"/>
                <w:szCs w:val="20"/>
              </w:rPr>
              <w:t>37.9/</w:t>
            </w:r>
          </w:p>
          <w:p w:rsidR="00B95695" w:rsidRPr="00315335" w:rsidRDefault="00B95695" w:rsidP="00631723">
            <w:pPr>
              <w:jc w:val="both"/>
              <w:rPr>
                <w:rFonts w:ascii="Arial" w:hAnsi="Arial" w:cs="Arial"/>
                <w:sz w:val="20"/>
                <w:szCs w:val="20"/>
              </w:rPr>
            </w:pPr>
            <w:r w:rsidRPr="00315335">
              <w:rPr>
                <w:rFonts w:ascii="Arial" w:hAnsi="Arial" w:cs="Arial"/>
                <w:sz w:val="20"/>
                <w:szCs w:val="20"/>
              </w:rPr>
              <w:t>11.08</w:t>
            </w:r>
          </w:p>
        </w:tc>
        <w:tc>
          <w:tcPr>
            <w:tcW w:w="850" w:type="dxa"/>
            <w:shd w:val="clear" w:color="auto" w:fill="FDE9D9"/>
          </w:tcPr>
          <w:p w:rsidR="00B95695" w:rsidRPr="00315335" w:rsidRDefault="00B95695" w:rsidP="00631723">
            <w:pPr>
              <w:jc w:val="both"/>
              <w:rPr>
                <w:rFonts w:ascii="Arial" w:hAnsi="Arial" w:cs="Arial"/>
                <w:sz w:val="20"/>
                <w:szCs w:val="20"/>
              </w:rPr>
            </w:pPr>
            <w:r w:rsidRPr="00315335">
              <w:rPr>
                <w:rFonts w:ascii="Arial" w:hAnsi="Arial" w:cs="Arial"/>
                <w:sz w:val="20"/>
                <w:szCs w:val="20"/>
              </w:rPr>
              <w:t>36,9/</w:t>
            </w:r>
          </w:p>
          <w:p w:rsidR="00B95695" w:rsidRPr="00315335" w:rsidRDefault="00B95695" w:rsidP="00631723">
            <w:pPr>
              <w:jc w:val="both"/>
              <w:rPr>
                <w:rFonts w:ascii="Arial" w:hAnsi="Arial" w:cs="Arial"/>
                <w:sz w:val="20"/>
                <w:szCs w:val="20"/>
              </w:rPr>
            </w:pPr>
            <w:r w:rsidRPr="00315335">
              <w:rPr>
                <w:rFonts w:ascii="Arial" w:hAnsi="Arial" w:cs="Arial"/>
                <w:sz w:val="20"/>
                <w:szCs w:val="20"/>
              </w:rPr>
              <w:t>21.06.</w:t>
            </w:r>
          </w:p>
        </w:tc>
        <w:tc>
          <w:tcPr>
            <w:tcW w:w="850" w:type="dxa"/>
            <w:shd w:val="clear" w:color="auto" w:fill="FDE9D9"/>
            <w:vAlign w:val="center"/>
          </w:tcPr>
          <w:p w:rsidR="00B95695" w:rsidRPr="00315335" w:rsidRDefault="00B95695" w:rsidP="00631723">
            <w:pPr>
              <w:jc w:val="both"/>
              <w:rPr>
                <w:rFonts w:ascii="Arial" w:hAnsi="Arial" w:cs="Arial"/>
                <w:sz w:val="20"/>
                <w:szCs w:val="20"/>
              </w:rPr>
            </w:pPr>
            <w:r w:rsidRPr="00315335">
              <w:rPr>
                <w:rFonts w:ascii="Arial" w:hAnsi="Arial" w:cs="Arial"/>
                <w:sz w:val="20"/>
                <w:szCs w:val="20"/>
              </w:rPr>
              <w:t>38/</w:t>
            </w:r>
          </w:p>
          <w:p w:rsidR="00B95695" w:rsidRPr="00315335" w:rsidRDefault="00B95695" w:rsidP="00631723">
            <w:pPr>
              <w:jc w:val="both"/>
              <w:rPr>
                <w:rFonts w:ascii="Arial" w:hAnsi="Arial" w:cs="Arial"/>
                <w:sz w:val="20"/>
                <w:szCs w:val="20"/>
              </w:rPr>
            </w:pPr>
            <w:r w:rsidRPr="00315335">
              <w:rPr>
                <w:rFonts w:ascii="Arial" w:hAnsi="Arial" w:cs="Arial"/>
                <w:sz w:val="20"/>
                <w:szCs w:val="20"/>
              </w:rPr>
              <w:t>01.07.</w:t>
            </w:r>
          </w:p>
        </w:tc>
        <w:tc>
          <w:tcPr>
            <w:tcW w:w="850" w:type="dxa"/>
            <w:shd w:val="clear" w:color="auto" w:fill="FDE9D9"/>
            <w:vAlign w:val="center"/>
          </w:tcPr>
          <w:p w:rsidR="00B95695" w:rsidRPr="00315335" w:rsidRDefault="00B95695" w:rsidP="00631723">
            <w:pPr>
              <w:jc w:val="both"/>
              <w:rPr>
                <w:rFonts w:ascii="Arial" w:hAnsi="Arial" w:cs="Arial"/>
                <w:sz w:val="20"/>
                <w:szCs w:val="20"/>
              </w:rPr>
            </w:pPr>
            <w:r w:rsidRPr="00315335">
              <w:rPr>
                <w:rFonts w:ascii="Arial" w:hAnsi="Arial" w:cs="Arial"/>
                <w:sz w:val="20"/>
                <w:szCs w:val="20"/>
              </w:rPr>
              <w:t>36,3/</w:t>
            </w:r>
          </w:p>
          <w:p w:rsidR="00B95695" w:rsidRPr="00315335" w:rsidRDefault="00B95695" w:rsidP="00631723">
            <w:pPr>
              <w:jc w:val="both"/>
              <w:rPr>
                <w:rFonts w:ascii="Arial" w:hAnsi="Arial" w:cs="Arial"/>
                <w:sz w:val="20"/>
                <w:szCs w:val="20"/>
              </w:rPr>
            </w:pPr>
            <w:r w:rsidRPr="00315335">
              <w:rPr>
                <w:rFonts w:ascii="Arial" w:hAnsi="Arial" w:cs="Arial"/>
                <w:sz w:val="20"/>
                <w:szCs w:val="20"/>
              </w:rPr>
              <w:t>18.08</w:t>
            </w:r>
          </w:p>
        </w:tc>
      </w:tr>
    </w:tbl>
    <w:p w:rsidR="00B95695" w:rsidRPr="00315335" w:rsidRDefault="00B95695" w:rsidP="00B95695">
      <w:pPr>
        <w:jc w:val="both"/>
        <w:rPr>
          <w:rFonts w:ascii="Arial" w:hAnsi="Arial" w:cs="Arial"/>
          <w:sz w:val="24"/>
          <w:szCs w:val="24"/>
          <w:lang w:val="en-US"/>
        </w:rPr>
      </w:pPr>
    </w:p>
    <w:p w:rsidR="00B95695" w:rsidRPr="00315335" w:rsidRDefault="00B95695" w:rsidP="00B95695">
      <w:pPr>
        <w:rPr>
          <w:rFonts w:ascii="Arial" w:hAnsi="Arial" w:cs="Arial"/>
          <w:b/>
          <w:sz w:val="24"/>
          <w:szCs w:val="24"/>
        </w:rPr>
      </w:pPr>
      <w:r w:rsidRPr="00315335">
        <w:rPr>
          <w:rFonts w:ascii="Arial" w:hAnsi="Arial" w:cs="Arial"/>
          <w:b/>
          <w:sz w:val="24"/>
          <w:szCs w:val="24"/>
          <w:lang w:val="en-US"/>
        </w:rPr>
        <w:t xml:space="preserve">Tabelul  nr.VIII. </w:t>
      </w:r>
      <w:r w:rsidRPr="00315335">
        <w:rPr>
          <w:rFonts w:ascii="Arial" w:hAnsi="Arial" w:cs="Arial"/>
          <w:b/>
          <w:sz w:val="24"/>
          <w:szCs w:val="24"/>
        </w:rPr>
        <w:t>1.5. -</w:t>
      </w:r>
      <w:r w:rsidRPr="00315335">
        <w:rPr>
          <w:rFonts w:ascii="Arial" w:hAnsi="Arial" w:cs="Arial"/>
          <w:b/>
          <w:sz w:val="24"/>
          <w:szCs w:val="24"/>
          <w:lang w:val="en-US"/>
        </w:rPr>
        <w:t xml:space="preserve"> </w:t>
      </w:r>
      <w:r w:rsidRPr="00315335">
        <w:rPr>
          <w:rFonts w:ascii="Arial" w:hAnsi="Arial" w:cs="Arial"/>
          <w:b/>
          <w:sz w:val="24"/>
          <w:szCs w:val="24"/>
        </w:rPr>
        <w:t>4</w:t>
      </w:r>
      <w:r w:rsidRPr="00315335">
        <w:rPr>
          <w:rFonts w:ascii="Arial" w:hAnsi="Arial" w:cs="Arial"/>
          <w:sz w:val="24"/>
          <w:szCs w:val="24"/>
        </w:rPr>
        <w:t xml:space="preserve"> Cantitatea medie multianuală (1975 – 2000) şi cantitatea anuală de precipitaţii (mm) din perioada 2014 – 2018, de la staţia meteorologică Brăila   </w:t>
      </w:r>
      <w:r w:rsidRPr="00315335">
        <w:rPr>
          <w:rFonts w:ascii="Arial" w:hAnsi="Arial" w:cs="Arial"/>
          <w:b/>
          <w:sz w:val="24"/>
          <w:szCs w:val="24"/>
        </w:rPr>
        <w:t>(mm)</w:t>
      </w:r>
      <w:r w:rsidRPr="00315335">
        <w:rPr>
          <w:rFonts w:ascii="Arial" w:hAnsi="Arial" w:cs="Arial"/>
          <w:sz w:val="24"/>
          <w:szCs w:val="24"/>
        </w:rPr>
        <w:t xml:space="preserve">                                                                                                 </w:t>
      </w:r>
    </w:p>
    <w:tbl>
      <w:tblPr>
        <w:tblW w:w="5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1526"/>
        <w:gridCol w:w="851"/>
        <w:gridCol w:w="851"/>
        <w:gridCol w:w="851"/>
        <w:gridCol w:w="851"/>
        <w:gridCol w:w="851"/>
      </w:tblGrid>
      <w:tr w:rsidR="00B95695" w:rsidRPr="00315335" w:rsidTr="00631723">
        <w:trPr>
          <w:jc w:val="center"/>
        </w:trPr>
        <w:tc>
          <w:tcPr>
            <w:tcW w:w="1526" w:type="dxa"/>
            <w:shd w:val="clear" w:color="auto" w:fill="FDE9D9"/>
            <w:vAlign w:val="center"/>
          </w:tcPr>
          <w:p w:rsidR="00B95695" w:rsidRPr="00315335" w:rsidRDefault="00B95695" w:rsidP="00631723">
            <w:pPr>
              <w:spacing w:after="0" w:line="240" w:lineRule="auto"/>
              <w:jc w:val="both"/>
              <w:rPr>
                <w:rFonts w:ascii="Arial" w:hAnsi="Arial" w:cs="Arial"/>
                <w:b/>
                <w:sz w:val="24"/>
                <w:szCs w:val="24"/>
              </w:rPr>
            </w:pPr>
            <w:r w:rsidRPr="00315335">
              <w:rPr>
                <w:rFonts w:ascii="Arial" w:hAnsi="Arial" w:cs="Arial"/>
                <w:b/>
                <w:sz w:val="24"/>
                <w:szCs w:val="24"/>
              </w:rPr>
              <w:t xml:space="preserve">Media </w:t>
            </w:r>
          </w:p>
          <w:p w:rsidR="00B95695" w:rsidRPr="00315335" w:rsidRDefault="00B95695" w:rsidP="00631723">
            <w:pPr>
              <w:spacing w:after="0" w:line="240" w:lineRule="auto"/>
              <w:jc w:val="both"/>
              <w:rPr>
                <w:rFonts w:ascii="Arial" w:hAnsi="Arial" w:cs="Arial"/>
                <w:b/>
                <w:sz w:val="24"/>
                <w:szCs w:val="24"/>
              </w:rPr>
            </w:pPr>
            <w:r w:rsidRPr="00315335">
              <w:rPr>
                <w:rFonts w:ascii="Arial" w:hAnsi="Arial" w:cs="Arial"/>
                <w:b/>
                <w:sz w:val="24"/>
                <w:szCs w:val="24"/>
              </w:rPr>
              <w:t>1975-2000</w:t>
            </w:r>
          </w:p>
          <w:p w:rsidR="00B95695" w:rsidRPr="00315335" w:rsidRDefault="00B95695" w:rsidP="00631723">
            <w:pPr>
              <w:spacing w:after="0" w:line="240" w:lineRule="auto"/>
              <w:jc w:val="both"/>
              <w:rPr>
                <w:rFonts w:ascii="Arial" w:hAnsi="Arial" w:cs="Arial"/>
                <w:b/>
                <w:sz w:val="24"/>
                <w:szCs w:val="24"/>
              </w:rPr>
            </w:pPr>
            <w:r w:rsidRPr="00315335">
              <w:rPr>
                <w:rFonts w:ascii="Arial" w:hAnsi="Arial" w:cs="Arial"/>
                <w:b/>
                <w:sz w:val="24"/>
                <w:szCs w:val="24"/>
              </w:rPr>
              <w:t>(mm)</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2014</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2015</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2016</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2017</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sz w:val="24"/>
                <w:szCs w:val="24"/>
              </w:rPr>
              <w:t>2018</w:t>
            </w:r>
          </w:p>
        </w:tc>
      </w:tr>
      <w:tr w:rsidR="00B95695" w:rsidRPr="00315335" w:rsidTr="00631723">
        <w:trPr>
          <w:trHeight w:hRule="exact" w:val="578"/>
          <w:jc w:val="center"/>
        </w:trPr>
        <w:tc>
          <w:tcPr>
            <w:tcW w:w="1526" w:type="dxa"/>
            <w:shd w:val="clear" w:color="auto" w:fill="FDE9D9"/>
            <w:vAlign w:val="center"/>
          </w:tcPr>
          <w:p w:rsidR="00B95695" w:rsidRPr="00315335" w:rsidRDefault="00B95695" w:rsidP="00631723">
            <w:pPr>
              <w:spacing w:after="0" w:line="240" w:lineRule="auto"/>
              <w:jc w:val="both"/>
              <w:rPr>
                <w:rFonts w:ascii="Arial" w:hAnsi="Arial" w:cs="Arial"/>
                <w:sz w:val="24"/>
                <w:szCs w:val="24"/>
              </w:rPr>
            </w:pPr>
            <w:r w:rsidRPr="00315335">
              <w:rPr>
                <w:rFonts w:ascii="Arial" w:hAnsi="Arial" w:cs="Arial"/>
                <w:sz w:val="24"/>
                <w:szCs w:val="24"/>
              </w:rPr>
              <w:t>Brăila  425.9</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479.3</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525.6</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553,7</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472,3</w:t>
            </w:r>
          </w:p>
        </w:tc>
        <w:tc>
          <w:tcPr>
            <w:tcW w:w="851" w:type="dxa"/>
            <w:shd w:val="clear" w:color="auto" w:fill="FDE9D9"/>
            <w:vAlign w:val="center"/>
          </w:tcPr>
          <w:p w:rsidR="00B95695" w:rsidRPr="00315335" w:rsidRDefault="00B95695" w:rsidP="00631723">
            <w:pPr>
              <w:spacing w:after="0" w:line="240" w:lineRule="auto"/>
              <w:jc w:val="center"/>
              <w:rPr>
                <w:rFonts w:ascii="Arial" w:hAnsi="Arial" w:cs="Arial"/>
                <w:sz w:val="24"/>
                <w:szCs w:val="24"/>
              </w:rPr>
            </w:pPr>
            <w:r w:rsidRPr="00315335">
              <w:rPr>
                <w:rFonts w:ascii="Arial" w:hAnsi="Arial" w:cs="Arial"/>
                <w:sz w:val="24"/>
                <w:szCs w:val="24"/>
              </w:rPr>
              <w:t>411,4</w:t>
            </w:r>
          </w:p>
        </w:tc>
      </w:tr>
    </w:tbl>
    <w:p w:rsidR="00B95695" w:rsidRPr="00315335" w:rsidRDefault="00B95695" w:rsidP="00B95695">
      <w:pPr>
        <w:spacing w:after="0"/>
        <w:jc w:val="both"/>
        <w:rPr>
          <w:rFonts w:ascii="Arial" w:hAnsi="Arial" w:cs="Arial"/>
          <w:sz w:val="24"/>
          <w:szCs w:val="24"/>
          <w:lang w:val="en-US"/>
        </w:rPr>
      </w:pPr>
    </w:p>
    <w:p w:rsidR="00D638AC" w:rsidRDefault="00D638AC" w:rsidP="00B95695">
      <w:pPr>
        <w:jc w:val="both"/>
        <w:rPr>
          <w:rFonts w:ascii="Arial" w:hAnsi="Arial" w:cs="Arial"/>
          <w:b/>
          <w:sz w:val="24"/>
          <w:szCs w:val="24"/>
          <w:lang w:val="en-US"/>
        </w:rPr>
      </w:pPr>
    </w:p>
    <w:p w:rsidR="00B95695" w:rsidRPr="00315335" w:rsidRDefault="00B95695" w:rsidP="00B95695">
      <w:pPr>
        <w:jc w:val="both"/>
        <w:rPr>
          <w:rFonts w:ascii="Arial" w:hAnsi="Arial" w:cs="Arial"/>
          <w:b/>
          <w:sz w:val="24"/>
          <w:szCs w:val="24"/>
        </w:rPr>
      </w:pPr>
      <w:r w:rsidRPr="00315335">
        <w:rPr>
          <w:rFonts w:ascii="Arial" w:hAnsi="Arial" w:cs="Arial"/>
          <w:b/>
          <w:sz w:val="24"/>
          <w:szCs w:val="24"/>
          <w:lang w:val="en-US"/>
        </w:rPr>
        <w:t xml:space="preserve">Indicatori de sănătate relevanţi dependenţi de variaţiile climei </w:t>
      </w:r>
    </w:p>
    <w:p w:rsidR="00B95695" w:rsidRPr="00315335" w:rsidRDefault="00B95695" w:rsidP="00B95695">
      <w:pPr>
        <w:autoSpaceDE w:val="0"/>
        <w:autoSpaceDN w:val="0"/>
        <w:adjustRightInd w:val="0"/>
        <w:spacing w:after="0" w:line="240" w:lineRule="auto"/>
        <w:jc w:val="both"/>
        <w:rPr>
          <w:rFonts w:ascii="Arial" w:hAnsi="Arial" w:cs="Arial"/>
          <w:b/>
          <w:sz w:val="24"/>
          <w:szCs w:val="24"/>
        </w:rPr>
      </w:pPr>
      <w:r w:rsidRPr="00315335">
        <w:rPr>
          <w:rFonts w:ascii="Arial" w:hAnsi="Arial" w:cs="Arial"/>
          <w:b/>
          <w:sz w:val="24"/>
          <w:szCs w:val="24"/>
        </w:rPr>
        <w:t>VIII.1.5.1. Rata de mortalitate în aglomerările urbane ca urmare a temperaturilor extreme în perioada de vară</w:t>
      </w:r>
    </w:p>
    <w:p w:rsidR="00B95695" w:rsidRPr="00315335" w:rsidRDefault="00B95695" w:rsidP="00B95695">
      <w:pPr>
        <w:autoSpaceDE w:val="0"/>
        <w:autoSpaceDN w:val="0"/>
        <w:adjustRightInd w:val="0"/>
        <w:spacing w:after="0" w:line="240" w:lineRule="auto"/>
        <w:jc w:val="both"/>
        <w:rPr>
          <w:rFonts w:ascii="Arial" w:hAnsi="Arial" w:cs="Arial"/>
          <w:sz w:val="24"/>
          <w:szCs w:val="24"/>
        </w:rPr>
      </w:pPr>
      <w:r w:rsidRPr="00315335">
        <w:rPr>
          <w:rFonts w:ascii="Arial" w:hAnsi="Arial" w:cs="Arial"/>
          <w:sz w:val="24"/>
          <w:szCs w:val="24"/>
        </w:rPr>
        <w:t>- În perioada 2012 – 2018 în mediul urban (și rural) din județul Brăila nu s-au înregistrat cazuri de</w:t>
      </w:r>
      <w:r w:rsidRPr="00315335">
        <w:rPr>
          <w:rFonts w:ascii="Arial" w:hAnsi="Arial" w:cs="Arial"/>
          <w:b/>
          <w:sz w:val="24"/>
          <w:szCs w:val="24"/>
        </w:rPr>
        <w:t xml:space="preserve"> </w:t>
      </w:r>
      <w:r w:rsidRPr="00315335">
        <w:rPr>
          <w:rFonts w:ascii="Arial" w:hAnsi="Arial" w:cs="Arial"/>
          <w:sz w:val="24"/>
          <w:szCs w:val="24"/>
        </w:rPr>
        <w:t>mortalitate ca urmare a temperaturilor extreme în perioada de vară.</w:t>
      </w:r>
    </w:p>
    <w:p w:rsidR="00B95695" w:rsidRPr="00315335" w:rsidRDefault="00B95695" w:rsidP="00B95695">
      <w:pPr>
        <w:autoSpaceDE w:val="0"/>
        <w:autoSpaceDN w:val="0"/>
        <w:adjustRightInd w:val="0"/>
        <w:spacing w:after="0" w:line="240" w:lineRule="auto"/>
        <w:jc w:val="both"/>
        <w:rPr>
          <w:rFonts w:ascii="Arial" w:hAnsi="Arial" w:cs="Arial"/>
          <w:b/>
          <w:sz w:val="24"/>
          <w:szCs w:val="24"/>
        </w:rPr>
      </w:pPr>
      <w:r w:rsidRPr="00315335">
        <w:rPr>
          <w:rFonts w:ascii="Arial" w:hAnsi="Arial" w:cs="Arial"/>
          <w:i/>
          <w:sz w:val="20"/>
          <w:szCs w:val="20"/>
          <w:lang w:val="en-US"/>
        </w:rPr>
        <w:t xml:space="preserve"> </w:t>
      </w:r>
      <w:r w:rsidRPr="00315335">
        <w:rPr>
          <w:rFonts w:ascii="Arial" w:hAnsi="Arial" w:cs="Arial"/>
          <w:b/>
          <w:i/>
          <w:sz w:val="20"/>
          <w:szCs w:val="20"/>
          <w:lang w:val="en-US"/>
        </w:rPr>
        <w:t>(Not</w:t>
      </w:r>
      <w:r w:rsidRPr="00315335">
        <w:rPr>
          <w:rFonts w:ascii="Arial" w:hAnsi="Arial" w:cs="Arial"/>
          <w:b/>
          <w:i/>
          <w:sz w:val="20"/>
          <w:szCs w:val="20"/>
        </w:rPr>
        <w:t>ă: Informații furnizate de către Direcția de Sănătate Publică a județului Brăila)</w:t>
      </w:r>
    </w:p>
    <w:p w:rsidR="00B95695" w:rsidRPr="00315335" w:rsidRDefault="00B95695" w:rsidP="00B95695">
      <w:pPr>
        <w:autoSpaceDE w:val="0"/>
        <w:autoSpaceDN w:val="0"/>
        <w:adjustRightInd w:val="0"/>
        <w:spacing w:after="0" w:line="240" w:lineRule="auto"/>
        <w:jc w:val="both"/>
        <w:rPr>
          <w:rFonts w:ascii="Arial" w:hAnsi="Arial" w:cs="Arial"/>
          <w:sz w:val="24"/>
          <w:szCs w:val="24"/>
        </w:rPr>
      </w:pPr>
    </w:p>
    <w:p w:rsidR="00B95695" w:rsidRPr="00315335" w:rsidRDefault="00B95695" w:rsidP="00B95695">
      <w:pPr>
        <w:autoSpaceDE w:val="0"/>
        <w:autoSpaceDN w:val="0"/>
        <w:adjustRightInd w:val="0"/>
        <w:spacing w:after="0" w:line="240" w:lineRule="auto"/>
        <w:jc w:val="both"/>
        <w:rPr>
          <w:rFonts w:ascii="Arial" w:hAnsi="Arial" w:cs="Arial"/>
          <w:sz w:val="24"/>
          <w:szCs w:val="24"/>
        </w:rPr>
      </w:pPr>
      <w:r w:rsidRPr="00315335">
        <w:rPr>
          <w:rFonts w:ascii="Arial" w:hAnsi="Arial" w:cs="Arial"/>
          <w:b/>
          <w:sz w:val="24"/>
          <w:szCs w:val="24"/>
        </w:rPr>
        <w:t xml:space="preserve">Tabelul VIII. 1.5.1 - 1 </w:t>
      </w:r>
      <w:r w:rsidRPr="00315335">
        <w:rPr>
          <w:rFonts w:ascii="Arial" w:hAnsi="Arial" w:cs="Arial"/>
          <w:sz w:val="24"/>
          <w:szCs w:val="24"/>
        </w:rPr>
        <w:t>Analiza epidemiologică descriptivă a cazurilor de Boala Lyme înregistrate la nivelul județului Brăila în anul 2017 și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8"/>
        <w:gridCol w:w="1146"/>
        <w:gridCol w:w="1146"/>
      </w:tblGrid>
      <w:tr w:rsidR="00B95695" w:rsidRPr="00315335" w:rsidTr="00631723">
        <w:trPr>
          <w:jc w:val="center"/>
        </w:trPr>
        <w:tc>
          <w:tcPr>
            <w:tcW w:w="4798" w:type="dxa"/>
            <w:shd w:val="clear" w:color="auto" w:fill="FDE9D9"/>
          </w:tcPr>
          <w:p w:rsidR="00B95695" w:rsidRPr="00315335" w:rsidRDefault="00B95695" w:rsidP="00631723">
            <w:pPr>
              <w:pStyle w:val="Default"/>
              <w:jc w:val="both"/>
              <w:rPr>
                <w:rFonts w:ascii="Arial" w:hAnsi="Arial" w:cs="Arial"/>
                <w:b/>
                <w:color w:val="auto"/>
              </w:rPr>
            </w:pPr>
            <w:r w:rsidRPr="00315335">
              <w:rPr>
                <w:rFonts w:ascii="Arial" w:hAnsi="Arial" w:cs="Arial"/>
                <w:b/>
                <w:color w:val="auto"/>
              </w:rPr>
              <w:t>Analiza epidemiologică descriptivă a cazurilor de Boala Lyme</w:t>
            </w:r>
          </w:p>
        </w:tc>
        <w:tc>
          <w:tcPr>
            <w:tcW w:w="1146" w:type="dxa"/>
            <w:shd w:val="clear" w:color="auto" w:fill="FDE9D9"/>
          </w:tcPr>
          <w:p w:rsidR="00B95695" w:rsidRPr="00315335" w:rsidRDefault="00B95695" w:rsidP="00631723">
            <w:pPr>
              <w:pStyle w:val="Default"/>
              <w:jc w:val="both"/>
              <w:rPr>
                <w:rFonts w:ascii="Arial" w:hAnsi="Arial" w:cs="Arial"/>
                <w:b/>
                <w:color w:val="auto"/>
              </w:rPr>
            </w:pPr>
            <w:r w:rsidRPr="00315335">
              <w:rPr>
                <w:rFonts w:ascii="Arial" w:hAnsi="Arial" w:cs="Arial"/>
                <w:b/>
                <w:color w:val="auto"/>
              </w:rPr>
              <w:t>Anul 2017</w:t>
            </w:r>
          </w:p>
        </w:tc>
        <w:tc>
          <w:tcPr>
            <w:tcW w:w="1146" w:type="dxa"/>
            <w:shd w:val="clear" w:color="auto" w:fill="FDE9D9"/>
          </w:tcPr>
          <w:p w:rsidR="00B95695" w:rsidRPr="00315335" w:rsidRDefault="00B95695" w:rsidP="00631723">
            <w:pPr>
              <w:pStyle w:val="Default"/>
              <w:jc w:val="both"/>
              <w:rPr>
                <w:rFonts w:ascii="Arial" w:hAnsi="Arial" w:cs="Arial"/>
                <w:b/>
                <w:color w:val="auto"/>
              </w:rPr>
            </w:pPr>
            <w:r w:rsidRPr="00315335">
              <w:rPr>
                <w:rFonts w:ascii="Arial" w:hAnsi="Arial" w:cs="Arial"/>
                <w:b/>
                <w:color w:val="auto"/>
              </w:rPr>
              <w:t>Anul 2018</w:t>
            </w:r>
          </w:p>
        </w:tc>
      </w:tr>
      <w:tr w:rsidR="00B95695" w:rsidRPr="00315335" w:rsidTr="00631723">
        <w:trPr>
          <w:jc w:val="center"/>
        </w:trPr>
        <w:tc>
          <w:tcPr>
            <w:tcW w:w="4798" w:type="dxa"/>
          </w:tcPr>
          <w:p w:rsidR="00B95695" w:rsidRPr="00315335" w:rsidRDefault="00B95695" w:rsidP="00631723">
            <w:pPr>
              <w:pStyle w:val="Default"/>
              <w:jc w:val="both"/>
              <w:rPr>
                <w:rFonts w:ascii="Arial" w:hAnsi="Arial" w:cs="Arial"/>
                <w:color w:val="auto"/>
              </w:rPr>
            </w:pPr>
            <w:r w:rsidRPr="00315335">
              <w:rPr>
                <w:rFonts w:ascii="Arial" w:hAnsi="Arial" w:cs="Arial"/>
                <w:color w:val="auto"/>
              </w:rPr>
              <w:t>cazuri probabile</w:t>
            </w:r>
          </w:p>
        </w:tc>
        <w:tc>
          <w:tcPr>
            <w:tcW w:w="1146" w:type="dxa"/>
          </w:tcPr>
          <w:p w:rsidR="00B95695" w:rsidRPr="00315335" w:rsidRDefault="00B95695" w:rsidP="00631723">
            <w:pPr>
              <w:pStyle w:val="Default"/>
              <w:jc w:val="center"/>
              <w:rPr>
                <w:rFonts w:ascii="Arial" w:hAnsi="Arial" w:cs="Arial"/>
                <w:color w:val="auto"/>
              </w:rPr>
            </w:pPr>
            <w:r w:rsidRPr="00315335">
              <w:rPr>
                <w:rFonts w:ascii="Arial" w:hAnsi="Arial" w:cs="Arial"/>
                <w:color w:val="auto"/>
              </w:rPr>
              <w:t>4</w:t>
            </w:r>
          </w:p>
        </w:tc>
        <w:tc>
          <w:tcPr>
            <w:tcW w:w="1146" w:type="dxa"/>
          </w:tcPr>
          <w:p w:rsidR="00B95695" w:rsidRPr="00315335" w:rsidRDefault="00B95695" w:rsidP="00631723">
            <w:pPr>
              <w:pStyle w:val="Default"/>
              <w:jc w:val="center"/>
              <w:rPr>
                <w:rFonts w:ascii="Arial" w:hAnsi="Arial" w:cs="Arial"/>
                <w:color w:val="auto"/>
              </w:rPr>
            </w:pPr>
            <w:r w:rsidRPr="00315335">
              <w:rPr>
                <w:rFonts w:ascii="Arial" w:hAnsi="Arial" w:cs="Arial"/>
                <w:color w:val="auto"/>
              </w:rPr>
              <w:t>0</w:t>
            </w:r>
          </w:p>
        </w:tc>
      </w:tr>
      <w:tr w:rsidR="00B95695" w:rsidRPr="00315335" w:rsidTr="00631723">
        <w:trPr>
          <w:jc w:val="center"/>
        </w:trPr>
        <w:tc>
          <w:tcPr>
            <w:tcW w:w="4798" w:type="dxa"/>
          </w:tcPr>
          <w:p w:rsidR="00B95695" w:rsidRPr="00315335" w:rsidRDefault="00B95695" w:rsidP="00631723">
            <w:pPr>
              <w:pStyle w:val="Default"/>
              <w:jc w:val="both"/>
              <w:rPr>
                <w:rFonts w:ascii="Arial" w:hAnsi="Arial" w:cs="Arial"/>
                <w:color w:val="auto"/>
              </w:rPr>
            </w:pPr>
            <w:r w:rsidRPr="00315335">
              <w:rPr>
                <w:rFonts w:ascii="Arial" w:hAnsi="Arial" w:cs="Arial"/>
                <w:color w:val="auto"/>
              </w:rPr>
              <w:t>cazuri confirmate</w:t>
            </w:r>
          </w:p>
        </w:tc>
        <w:tc>
          <w:tcPr>
            <w:tcW w:w="1146" w:type="dxa"/>
          </w:tcPr>
          <w:p w:rsidR="00B95695" w:rsidRPr="00315335" w:rsidRDefault="00B95695" w:rsidP="00631723">
            <w:pPr>
              <w:pStyle w:val="Default"/>
              <w:jc w:val="center"/>
              <w:rPr>
                <w:rFonts w:ascii="Arial" w:hAnsi="Arial" w:cs="Arial"/>
                <w:color w:val="auto"/>
              </w:rPr>
            </w:pPr>
            <w:r w:rsidRPr="00315335">
              <w:rPr>
                <w:rFonts w:ascii="Arial" w:hAnsi="Arial" w:cs="Arial"/>
                <w:color w:val="auto"/>
              </w:rPr>
              <w:t>1</w:t>
            </w:r>
          </w:p>
        </w:tc>
        <w:tc>
          <w:tcPr>
            <w:tcW w:w="1146" w:type="dxa"/>
          </w:tcPr>
          <w:p w:rsidR="00B95695" w:rsidRPr="00315335" w:rsidRDefault="00B95695" w:rsidP="00631723">
            <w:pPr>
              <w:pStyle w:val="Default"/>
              <w:jc w:val="center"/>
              <w:rPr>
                <w:rFonts w:ascii="Arial" w:hAnsi="Arial" w:cs="Arial"/>
                <w:color w:val="auto"/>
              </w:rPr>
            </w:pPr>
            <w:r w:rsidRPr="00315335">
              <w:rPr>
                <w:rFonts w:ascii="Arial" w:hAnsi="Arial" w:cs="Arial"/>
                <w:color w:val="auto"/>
              </w:rPr>
              <w:t>0</w:t>
            </w:r>
          </w:p>
        </w:tc>
      </w:tr>
      <w:tr w:rsidR="00B95695" w:rsidRPr="00315335" w:rsidTr="00631723">
        <w:trPr>
          <w:jc w:val="center"/>
        </w:trPr>
        <w:tc>
          <w:tcPr>
            <w:tcW w:w="4798" w:type="dxa"/>
          </w:tcPr>
          <w:p w:rsidR="00B95695" w:rsidRPr="00315335" w:rsidRDefault="00B95695" w:rsidP="00631723">
            <w:pPr>
              <w:pStyle w:val="Default"/>
              <w:jc w:val="both"/>
              <w:rPr>
                <w:rFonts w:ascii="Arial" w:hAnsi="Arial" w:cs="Arial"/>
                <w:color w:val="auto"/>
              </w:rPr>
            </w:pPr>
            <w:r w:rsidRPr="00315335">
              <w:rPr>
                <w:rFonts w:ascii="Arial" w:hAnsi="Arial" w:cs="Arial"/>
                <w:color w:val="auto"/>
              </w:rPr>
              <w:t>cazuri infirmate</w:t>
            </w:r>
          </w:p>
        </w:tc>
        <w:tc>
          <w:tcPr>
            <w:tcW w:w="1146" w:type="dxa"/>
          </w:tcPr>
          <w:p w:rsidR="00B95695" w:rsidRPr="00315335" w:rsidRDefault="00B95695" w:rsidP="00631723">
            <w:pPr>
              <w:pStyle w:val="Default"/>
              <w:jc w:val="center"/>
              <w:rPr>
                <w:rFonts w:ascii="Arial" w:hAnsi="Arial" w:cs="Arial"/>
                <w:color w:val="auto"/>
              </w:rPr>
            </w:pPr>
            <w:r w:rsidRPr="00315335">
              <w:rPr>
                <w:rFonts w:ascii="Arial" w:hAnsi="Arial" w:cs="Arial"/>
                <w:color w:val="auto"/>
              </w:rPr>
              <w:t>3</w:t>
            </w:r>
          </w:p>
        </w:tc>
        <w:tc>
          <w:tcPr>
            <w:tcW w:w="1146" w:type="dxa"/>
          </w:tcPr>
          <w:p w:rsidR="00B95695" w:rsidRPr="00315335" w:rsidRDefault="00B95695" w:rsidP="00631723">
            <w:pPr>
              <w:pStyle w:val="Default"/>
              <w:jc w:val="center"/>
              <w:rPr>
                <w:rFonts w:ascii="Arial" w:hAnsi="Arial" w:cs="Arial"/>
                <w:color w:val="auto"/>
              </w:rPr>
            </w:pPr>
            <w:r w:rsidRPr="00315335">
              <w:rPr>
                <w:rFonts w:ascii="Arial" w:hAnsi="Arial" w:cs="Arial"/>
                <w:color w:val="auto"/>
              </w:rPr>
              <w:t>0</w:t>
            </w:r>
          </w:p>
        </w:tc>
      </w:tr>
    </w:tbl>
    <w:p w:rsidR="00B95695" w:rsidRPr="00315335" w:rsidRDefault="00B95695" w:rsidP="00B95695">
      <w:pPr>
        <w:jc w:val="both"/>
        <w:rPr>
          <w:rFonts w:ascii="Arial" w:hAnsi="Arial" w:cs="Arial"/>
          <w:b/>
          <w:sz w:val="24"/>
          <w:szCs w:val="24"/>
        </w:rPr>
      </w:pPr>
      <w:r w:rsidRPr="00315335">
        <w:rPr>
          <w:rFonts w:ascii="Arial" w:hAnsi="Arial" w:cs="Arial"/>
          <w:i/>
          <w:sz w:val="20"/>
          <w:szCs w:val="20"/>
          <w:lang w:val="en-US"/>
        </w:rPr>
        <w:t xml:space="preserve">                         Not</w:t>
      </w:r>
      <w:r w:rsidRPr="00315335">
        <w:rPr>
          <w:rFonts w:ascii="Arial" w:hAnsi="Arial" w:cs="Arial"/>
          <w:i/>
          <w:sz w:val="20"/>
          <w:szCs w:val="20"/>
        </w:rPr>
        <w:t>ă: Informații furnizate de către Direcția de Sănătate Publică a județului Brăila</w:t>
      </w:r>
    </w:p>
    <w:p w:rsidR="00B95695" w:rsidRPr="00315335" w:rsidRDefault="00B95695" w:rsidP="00B95695">
      <w:pPr>
        <w:jc w:val="both"/>
        <w:rPr>
          <w:rFonts w:ascii="Arial" w:hAnsi="Arial" w:cs="Arial"/>
          <w:sz w:val="24"/>
          <w:szCs w:val="24"/>
        </w:rPr>
      </w:pPr>
      <w:r w:rsidRPr="00315335">
        <w:rPr>
          <w:rFonts w:ascii="Arial" w:hAnsi="Arial" w:cs="Arial"/>
          <w:b/>
          <w:sz w:val="24"/>
          <w:szCs w:val="24"/>
        </w:rPr>
        <w:t>VIII.1.5.2 Expunerea populației din aglomerările urbane  la riscul de inundații</w:t>
      </w:r>
    </w:p>
    <w:p w:rsidR="00B95695" w:rsidRPr="00315335" w:rsidRDefault="00B95695" w:rsidP="00B95695">
      <w:pPr>
        <w:autoSpaceDE w:val="0"/>
        <w:autoSpaceDN w:val="0"/>
        <w:adjustRightInd w:val="0"/>
        <w:jc w:val="both"/>
        <w:rPr>
          <w:rFonts w:ascii="Arial" w:hAnsi="Arial" w:cs="Arial"/>
          <w:sz w:val="24"/>
          <w:szCs w:val="24"/>
        </w:rPr>
      </w:pPr>
      <w:r w:rsidRPr="00315335">
        <w:rPr>
          <w:rFonts w:ascii="Arial" w:hAnsi="Arial" w:cs="Arial"/>
          <w:b/>
          <w:sz w:val="24"/>
          <w:szCs w:val="24"/>
        </w:rPr>
        <w:t xml:space="preserve">Tabel nr. VIII.1.5.2. – 1 </w:t>
      </w:r>
      <w:r w:rsidRPr="00315335">
        <w:rPr>
          <w:rFonts w:ascii="Arial" w:hAnsi="Arial" w:cs="Arial"/>
          <w:sz w:val="24"/>
          <w:szCs w:val="24"/>
        </w:rPr>
        <w:t>Expunerea populaţiei la riscul de inundaţii la nivelul judeţului Brăila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992"/>
        <w:gridCol w:w="992"/>
        <w:gridCol w:w="992"/>
        <w:gridCol w:w="992"/>
        <w:gridCol w:w="992"/>
      </w:tblGrid>
      <w:tr w:rsidR="00B95695" w:rsidRPr="00315335" w:rsidTr="00631723">
        <w:trPr>
          <w:jc w:val="center"/>
        </w:trPr>
        <w:tc>
          <w:tcPr>
            <w:tcW w:w="3258" w:type="dxa"/>
            <w:shd w:val="clear" w:color="auto" w:fill="B6DDE8"/>
          </w:tcPr>
          <w:p w:rsidR="00B95695" w:rsidRPr="00315335" w:rsidRDefault="00B95695" w:rsidP="00631723">
            <w:pPr>
              <w:pStyle w:val="Indentcorptext"/>
              <w:spacing w:after="0"/>
              <w:ind w:left="0"/>
              <w:jc w:val="both"/>
              <w:rPr>
                <w:rFonts w:ascii="Arial" w:hAnsi="Arial" w:cs="Arial"/>
                <w:sz w:val="24"/>
                <w:szCs w:val="24"/>
              </w:rPr>
            </w:pPr>
          </w:p>
        </w:tc>
        <w:tc>
          <w:tcPr>
            <w:tcW w:w="992" w:type="dxa"/>
            <w:shd w:val="clear" w:color="auto" w:fill="B6DDE8"/>
            <w:vAlign w:val="center"/>
          </w:tcPr>
          <w:p w:rsidR="00B95695" w:rsidRPr="00315335" w:rsidRDefault="00B95695" w:rsidP="00631723">
            <w:pPr>
              <w:pStyle w:val="Indentcorptext"/>
              <w:spacing w:after="0"/>
              <w:ind w:left="0"/>
              <w:jc w:val="both"/>
              <w:rPr>
                <w:rFonts w:ascii="Arial" w:hAnsi="Arial" w:cs="Arial"/>
                <w:b/>
                <w:sz w:val="24"/>
                <w:szCs w:val="24"/>
              </w:rPr>
            </w:pPr>
            <w:r w:rsidRPr="00315335">
              <w:rPr>
                <w:rFonts w:ascii="Arial" w:hAnsi="Arial" w:cs="Arial"/>
                <w:b/>
                <w:sz w:val="24"/>
                <w:szCs w:val="24"/>
              </w:rPr>
              <w:t>2014</w:t>
            </w:r>
          </w:p>
        </w:tc>
        <w:tc>
          <w:tcPr>
            <w:tcW w:w="992" w:type="dxa"/>
            <w:shd w:val="clear" w:color="auto" w:fill="B6DDE8"/>
          </w:tcPr>
          <w:p w:rsidR="00B95695" w:rsidRPr="00315335" w:rsidRDefault="00B95695" w:rsidP="00631723">
            <w:pPr>
              <w:pStyle w:val="Indentcorptext"/>
              <w:spacing w:after="0"/>
              <w:ind w:left="0"/>
              <w:jc w:val="both"/>
              <w:rPr>
                <w:rFonts w:ascii="Arial" w:hAnsi="Arial" w:cs="Arial"/>
                <w:b/>
                <w:sz w:val="24"/>
                <w:szCs w:val="24"/>
              </w:rPr>
            </w:pPr>
            <w:r w:rsidRPr="00315335">
              <w:rPr>
                <w:rFonts w:ascii="Arial" w:hAnsi="Arial" w:cs="Arial"/>
                <w:b/>
                <w:sz w:val="24"/>
                <w:szCs w:val="24"/>
              </w:rPr>
              <w:t>2015</w:t>
            </w:r>
          </w:p>
        </w:tc>
        <w:tc>
          <w:tcPr>
            <w:tcW w:w="992" w:type="dxa"/>
            <w:shd w:val="clear" w:color="auto" w:fill="B6DDE8"/>
          </w:tcPr>
          <w:p w:rsidR="00B95695" w:rsidRPr="00315335" w:rsidRDefault="00B95695" w:rsidP="00631723">
            <w:pPr>
              <w:pStyle w:val="Indentcorptext"/>
              <w:spacing w:after="0"/>
              <w:ind w:left="0"/>
              <w:jc w:val="both"/>
              <w:rPr>
                <w:rFonts w:ascii="Arial" w:hAnsi="Arial" w:cs="Arial"/>
                <w:b/>
                <w:sz w:val="24"/>
                <w:szCs w:val="24"/>
              </w:rPr>
            </w:pPr>
            <w:r w:rsidRPr="00315335">
              <w:rPr>
                <w:rFonts w:ascii="Arial" w:hAnsi="Arial" w:cs="Arial"/>
                <w:b/>
                <w:sz w:val="24"/>
                <w:szCs w:val="24"/>
              </w:rPr>
              <w:t>2016</w:t>
            </w:r>
          </w:p>
        </w:tc>
        <w:tc>
          <w:tcPr>
            <w:tcW w:w="992" w:type="dxa"/>
            <w:shd w:val="clear" w:color="auto" w:fill="B6DDE8"/>
            <w:vAlign w:val="center"/>
          </w:tcPr>
          <w:p w:rsidR="00B95695" w:rsidRPr="00315335" w:rsidRDefault="00B95695" w:rsidP="00631723">
            <w:pPr>
              <w:pStyle w:val="Indentcorptext"/>
              <w:spacing w:after="0"/>
              <w:ind w:left="0"/>
              <w:jc w:val="both"/>
              <w:rPr>
                <w:rFonts w:ascii="Arial" w:hAnsi="Arial" w:cs="Arial"/>
                <w:b/>
                <w:sz w:val="24"/>
                <w:szCs w:val="24"/>
              </w:rPr>
            </w:pPr>
            <w:r w:rsidRPr="00315335">
              <w:rPr>
                <w:rFonts w:ascii="Arial" w:hAnsi="Arial" w:cs="Arial"/>
                <w:b/>
                <w:sz w:val="24"/>
                <w:szCs w:val="24"/>
              </w:rPr>
              <w:t>2017</w:t>
            </w:r>
          </w:p>
        </w:tc>
        <w:tc>
          <w:tcPr>
            <w:tcW w:w="992" w:type="dxa"/>
            <w:shd w:val="clear" w:color="auto" w:fill="B6DDE8"/>
            <w:vAlign w:val="center"/>
          </w:tcPr>
          <w:p w:rsidR="00B95695" w:rsidRPr="00315335" w:rsidRDefault="00B95695" w:rsidP="00631723">
            <w:pPr>
              <w:pStyle w:val="Indentcorptext"/>
              <w:spacing w:after="0"/>
              <w:ind w:left="0"/>
              <w:jc w:val="both"/>
              <w:rPr>
                <w:rFonts w:ascii="Arial" w:hAnsi="Arial" w:cs="Arial"/>
                <w:b/>
                <w:sz w:val="24"/>
                <w:szCs w:val="24"/>
              </w:rPr>
            </w:pPr>
            <w:r w:rsidRPr="00315335">
              <w:rPr>
                <w:rFonts w:ascii="Arial" w:hAnsi="Arial" w:cs="Arial"/>
                <w:b/>
                <w:sz w:val="24"/>
                <w:szCs w:val="24"/>
              </w:rPr>
              <w:t>2018</w:t>
            </w:r>
          </w:p>
        </w:tc>
      </w:tr>
      <w:tr w:rsidR="00B95695" w:rsidRPr="00315335" w:rsidTr="00631723">
        <w:trPr>
          <w:jc w:val="center"/>
        </w:trPr>
        <w:tc>
          <w:tcPr>
            <w:tcW w:w="3258" w:type="dxa"/>
            <w:shd w:val="clear" w:color="auto" w:fill="DAEEF3"/>
          </w:tcPr>
          <w:p w:rsidR="00B95695" w:rsidRPr="00315335" w:rsidRDefault="00B95695" w:rsidP="00631723">
            <w:pPr>
              <w:pStyle w:val="Indentcorptext"/>
              <w:spacing w:after="0" w:line="240" w:lineRule="auto"/>
              <w:ind w:left="0"/>
              <w:rPr>
                <w:rFonts w:ascii="Arial" w:hAnsi="Arial" w:cs="Arial"/>
                <w:sz w:val="24"/>
                <w:szCs w:val="24"/>
              </w:rPr>
            </w:pPr>
            <w:r w:rsidRPr="00315335">
              <w:rPr>
                <w:rFonts w:ascii="Arial" w:hAnsi="Arial" w:cs="Arial"/>
                <w:sz w:val="24"/>
                <w:szCs w:val="24"/>
              </w:rPr>
              <w:t>Număr de evenimente identificate la nivelul judeţului Brăila</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21</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36</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26</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21</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15</w:t>
            </w:r>
          </w:p>
        </w:tc>
      </w:tr>
      <w:tr w:rsidR="00B95695" w:rsidRPr="00315335" w:rsidTr="00631723">
        <w:trPr>
          <w:jc w:val="center"/>
        </w:trPr>
        <w:tc>
          <w:tcPr>
            <w:tcW w:w="3258" w:type="dxa"/>
            <w:shd w:val="clear" w:color="auto" w:fill="DAEEF3"/>
          </w:tcPr>
          <w:p w:rsidR="00B95695" w:rsidRPr="00315335" w:rsidRDefault="00B95695" w:rsidP="00631723">
            <w:pPr>
              <w:pStyle w:val="Indentcorptext"/>
              <w:spacing w:after="0" w:line="240" w:lineRule="auto"/>
              <w:ind w:left="0"/>
              <w:rPr>
                <w:rFonts w:ascii="Arial" w:hAnsi="Arial" w:cs="Arial"/>
                <w:sz w:val="24"/>
                <w:szCs w:val="24"/>
              </w:rPr>
            </w:pPr>
            <w:r w:rsidRPr="00315335">
              <w:rPr>
                <w:rFonts w:ascii="Arial" w:hAnsi="Arial" w:cs="Arial"/>
                <w:sz w:val="24"/>
                <w:szCs w:val="24"/>
              </w:rPr>
              <w:t>Număr de victime</w:t>
            </w:r>
          </w:p>
          <w:p w:rsidR="00B95695" w:rsidRPr="00315335" w:rsidRDefault="00B95695" w:rsidP="00631723">
            <w:pPr>
              <w:pStyle w:val="Indentcorptext"/>
              <w:spacing w:after="0" w:line="240" w:lineRule="auto"/>
              <w:ind w:left="0"/>
              <w:rPr>
                <w:rFonts w:ascii="Arial" w:hAnsi="Arial" w:cs="Arial"/>
                <w:sz w:val="24"/>
                <w:szCs w:val="24"/>
              </w:rPr>
            </w:pPr>
            <w:r w:rsidRPr="00315335">
              <w:rPr>
                <w:rFonts w:ascii="Arial" w:hAnsi="Arial" w:cs="Arial"/>
                <w:sz w:val="24"/>
                <w:szCs w:val="24"/>
              </w:rPr>
              <w:t>Total din care:</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r>
      <w:tr w:rsidR="00B95695" w:rsidRPr="00315335" w:rsidTr="00631723">
        <w:trPr>
          <w:jc w:val="center"/>
        </w:trPr>
        <w:tc>
          <w:tcPr>
            <w:tcW w:w="3258" w:type="dxa"/>
            <w:shd w:val="clear" w:color="auto" w:fill="DAEEF3"/>
          </w:tcPr>
          <w:p w:rsidR="00B95695" w:rsidRPr="00315335" w:rsidRDefault="00B95695" w:rsidP="00631723">
            <w:pPr>
              <w:pStyle w:val="Indentcorptext"/>
              <w:spacing w:after="0" w:line="240" w:lineRule="auto"/>
              <w:ind w:left="0"/>
              <w:rPr>
                <w:rFonts w:ascii="Arial" w:hAnsi="Arial" w:cs="Arial"/>
                <w:sz w:val="24"/>
                <w:szCs w:val="24"/>
              </w:rPr>
            </w:pPr>
            <w:r w:rsidRPr="00315335">
              <w:rPr>
                <w:rFonts w:ascii="Arial" w:hAnsi="Arial" w:cs="Arial"/>
                <w:sz w:val="24"/>
                <w:szCs w:val="24"/>
              </w:rPr>
              <w:t>Număr persoane decedate</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r>
      <w:tr w:rsidR="00B95695" w:rsidRPr="00315335" w:rsidTr="00631723">
        <w:trPr>
          <w:jc w:val="center"/>
        </w:trPr>
        <w:tc>
          <w:tcPr>
            <w:tcW w:w="3258" w:type="dxa"/>
            <w:shd w:val="clear" w:color="auto" w:fill="DAEEF3"/>
          </w:tcPr>
          <w:p w:rsidR="00B95695" w:rsidRPr="00315335" w:rsidRDefault="00B95695" w:rsidP="00631723">
            <w:pPr>
              <w:pStyle w:val="Indentcorptext"/>
              <w:spacing w:after="0" w:line="240" w:lineRule="auto"/>
              <w:ind w:left="0"/>
              <w:rPr>
                <w:rFonts w:ascii="Arial" w:hAnsi="Arial" w:cs="Arial"/>
                <w:sz w:val="24"/>
                <w:szCs w:val="24"/>
              </w:rPr>
            </w:pPr>
            <w:r w:rsidRPr="00315335">
              <w:rPr>
                <w:rFonts w:ascii="Arial" w:hAnsi="Arial" w:cs="Arial"/>
                <w:sz w:val="24"/>
                <w:szCs w:val="24"/>
              </w:rPr>
              <w:t>Număr persoane rănite</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r>
      <w:tr w:rsidR="00B95695" w:rsidRPr="00315335" w:rsidTr="00631723">
        <w:trPr>
          <w:jc w:val="center"/>
        </w:trPr>
        <w:tc>
          <w:tcPr>
            <w:tcW w:w="3258" w:type="dxa"/>
            <w:shd w:val="clear" w:color="auto" w:fill="DAEEF3"/>
          </w:tcPr>
          <w:p w:rsidR="00B95695" w:rsidRPr="00315335" w:rsidRDefault="00B95695" w:rsidP="00631723">
            <w:pPr>
              <w:pStyle w:val="Indentcorptext"/>
              <w:spacing w:after="0" w:line="240" w:lineRule="auto"/>
              <w:ind w:left="0"/>
              <w:rPr>
                <w:rFonts w:ascii="Arial" w:hAnsi="Arial" w:cs="Arial"/>
                <w:sz w:val="24"/>
                <w:szCs w:val="24"/>
              </w:rPr>
            </w:pPr>
            <w:r w:rsidRPr="00315335">
              <w:rPr>
                <w:rFonts w:ascii="Arial" w:hAnsi="Arial" w:cs="Arial"/>
                <w:sz w:val="24"/>
                <w:szCs w:val="24"/>
              </w:rPr>
              <w:t>Număr persoane evacuate</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r>
      <w:tr w:rsidR="00B95695" w:rsidRPr="00315335" w:rsidTr="00631723">
        <w:trPr>
          <w:jc w:val="center"/>
        </w:trPr>
        <w:tc>
          <w:tcPr>
            <w:tcW w:w="3258" w:type="dxa"/>
            <w:shd w:val="clear" w:color="auto" w:fill="DAEEF3"/>
          </w:tcPr>
          <w:p w:rsidR="00B95695" w:rsidRPr="00315335" w:rsidRDefault="00B95695" w:rsidP="00631723">
            <w:pPr>
              <w:pStyle w:val="Indentcorptext"/>
              <w:spacing w:after="0" w:line="240" w:lineRule="auto"/>
              <w:ind w:left="0"/>
              <w:rPr>
                <w:rFonts w:ascii="Arial" w:hAnsi="Arial" w:cs="Arial"/>
                <w:sz w:val="24"/>
                <w:szCs w:val="24"/>
              </w:rPr>
            </w:pPr>
            <w:r w:rsidRPr="00315335">
              <w:rPr>
                <w:rFonts w:ascii="Arial" w:hAnsi="Arial" w:cs="Arial"/>
                <w:sz w:val="24"/>
                <w:szCs w:val="24"/>
              </w:rPr>
              <w:t>Număr persoane cu locuinţe distruse</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r>
      <w:tr w:rsidR="00B95695" w:rsidRPr="00315335" w:rsidTr="00631723">
        <w:trPr>
          <w:jc w:val="center"/>
        </w:trPr>
        <w:tc>
          <w:tcPr>
            <w:tcW w:w="3258" w:type="dxa"/>
            <w:shd w:val="clear" w:color="auto" w:fill="DAEEF3"/>
          </w:tcPr>
          <w:p w:rsidR="00B95695" w:rsidRPr="00315335" w:rsidRDefault="00B95695" w:rsidP="00631723">
            <w:pPr>
              <w:pStyle w:val="Indentcorptext"/>
              <w:spacing w:after="0" w:line="240" w:lineRule="auto"/>
              <w:ind w:left="0"/>
              <w:rPr>
                <w:rFonts w:ascii="Arial" w:hAnsi="Arial" w:cs="Arial"/>
                <w:sz w:val="24"/>
                <w:szCs w:val="24"/>
              </w:rPr>
            </w:pPr>
            <w:r w:rsidRPr="00315335">
              <w:rPr>
                <w:rFonts w:ascii="Arial" w:hAnsi="Arial" w:cs="Arial"/>
                <w:sz w:val="24"/>
                <w:szCs w:val="24"/>
              </w:rPr>
              <w:t>Număr cazuri îmbolnăviri datorită consumului de apă contaminată</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c>
          <w:tcPr>
            <w:tcW w:w="992" w:type="dxa"/>
            <w:shd w:val="clear" w:color="auto" w:fill="DAEEF3"/>
            <w:vAlign w:val="center"/>
          </w:tcPr>
          <w:p w:rsidR="00B95695" w:rsidRPr="00315335" w:rsidRDefault="00B95695" w:rsidP="00631723">
            <w:pPr>
              <w:pStyle w:val="Indentcorptext"/>
              <w:spacing w:after="0" w:line="240" w:lineRule="auto"/>
              <w:ind w:left="0"/>
              <w:jc w:val="center"/>
              <w:rPr>
                <w:rFonts w:ascii="Arial" w:hAnsi="Arial" w:cs="Arial"/>
                <w:sz w:val="24"/>
                <w:szCs w:val="24"/>
              </w:rPr>
            </w:pPr>
            <w:r w:rsidRPr="00315335">
              <w:rPr>
                <w:rFonts w:ascii="Arial" w:hAnsi="Arial" w:cs="Arial"/>
                <w:sz w:val="24"/>
                <w:szCs w:val="24"/>
              </w:rPr>
              <w:t>-</w:t>
            </w:r>
          </w:p>
        </w:tc>
      </w:tr>
    </w:tbl>
    <w:p w:rsidR="00B95695" w:rsidRPr="00315335" w:rsidRDefault="00B95695" w:rsidP="00B95695">
      <w:pPr>
        <w:pStyle w:val="Indentcorptext"/>
        <w:spacing w:after="0"/>
        <w:ind w:left="0"/>
        <w:jc w:val="both"/>
        <w:rPr>
          <w:rFonts w:ascii="Arial" w:hAnsi="Arial" w:cs="Arial"/>
          <w:i/>
          <w:sz w:val="20"/>
          <w:szCs w:val="20"/>
        </w:rPr>
      </w:pPr>
      <w:r w:rsidRPr="00315335">
        <w:rPr>
          <w:rFonts w:ascii="Arial" w:hAnsi="Arial" w:cs="Arial"/>
          <w:i/>
          <w:sz w:val="20"/>
          <w:szCs w:val="20"/>
        </w:rPr>
        <w:t xml:space="preserve">                 Notă: Informații furnizate de către ISU ,,Dunărea,, al județului Brăila</w:t>
      </w:r>
    </w:p>
    <w:p w:rsidR="00B95695" w:rsidRPr="00315335" w:rsidRDefault="00B95695" w:rsidP="00B95695">
      <w:pPr>
        <w:pStyle w:val="Indentcorptext"/>
        <w:spacing w:after="0"/>
        <w:ind w:left="0"/>
        <w:jc w:val="both"/>
        <w:rPr>
          <w:rFonts w:ascii="Arial" w:hAnsi="Arial" w:cs="Arial"/>
          <w:sz w:val="24"/>
          <w:szCs w:val="24"/>
        </w:rPr>
      </w:pPr>
    </w:p>
    <w:p w:rsidR="00D638AC" w:rsidRDefault="00D638AC" w:rsidP="00B95695">
      <w:pPr>
        <w:autoSpaceDE w:val="0"/>
        <w:autoSpaceDN w:val="0"/>
        <w:adjustRightInd w:val="0"/>
        <w:jc w:val="both"/>
        <w:rPr>
          <w:rFonts w:ascii="Arial" w:hAnsi="Arial" w:cs="Arial"/>
          <w:b/>
          <w:sz w:val="24"/>
          <w:szCs w:val="24"/>
        </w:rPr>
      </w:pPr>
    </w:p>
    <w:p w:rsidR="00B95695" w:rsidRPr="00315335" w:rsidRDefault="00B95695" w:rsidP="00B95695">
      <w:pPr>
        <w:autoSpaceDE w:val="0"/>
        <w:autoSpaceDN w:val="0"/>
        <w:adjustRightInd w:val="0"/>
        <w:jc w:val="both"/>
        <w:rPr>
          <w:rStyle w:val="FontStyle22"/>
          <w:rFonts w:ascii="Arial" w:hAnsi="Arial" w:cs="Arial"/>
          <w:spacing w:val="-4"/>
        </w:rPr>
      </w:pPr>
      <w:r w:rsidRPr="00315335">
        <w:rPr>
          <w:rFonts w:ascii="Arial" w:hAnsi="Arial" w:cs="Arial"/>
          <w:b/>
          <w:sz w:val="24"/>
          <w:szCs w:val="24"/>
        </w:rPr>
        <w:lastRenderedPageBreak/>
        <w:t>Tabel nr. VIII.1.5.2. – 2</w:t>
      </w:r>
      <w:r w:rsidRPr="00315335">
        <w:rPr>
          <w:rFonts w:ascii="Arial" w:hAnsi="Arial" w:cs="Arial"/>
          <w:sz w:val="24"/>
          <w:szCs w:val="24"/>
        </w:rPr>
        <w:t xml:space="preserve"> </w:t>
      </w:r>
      <w:r w:rsidRPr="00315335">
        <w:rPr>
          <w:rStyle w:val="FontStyle22"/>
          <w:rFonts w:ascii="Arial" w:hAnsi="Arial" w:cs="Arial"/>
          <w:spacing w:val="-4"/>
        </w:rPr>
        <w:t xml:space="preserve">Localităţi afectate de inundaţii </w:t>
      </w:r>
      <w:r w:rsidRPr="00315335">
        <w:rPr>
          <w:rFonts w:ascii="Arial" w:hAnsi="Arial" w:cs="Arial"/>
          <w:sz w:val="24"/>
          <w:szCs w:val="24"/>
        </w:rPr>
        <w:t>la nivelul judeţului Brăila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1094"/>
        <w:gridCol w:w="890"/>
        <w:gridCol w:w="890"/>
        <w:gridCol w:w="890"/>
        <w:gridCol w:w="890"/>
        <w:gridCol w:w="890"/>
      </w:tblGrid>
      <w:tr w:rsidR="00B95695" w:rsidRPr="00315335" w:rsidTr="00631723">
        <w:trPr>
          <w:jc w:val="center"/>
        </w:trPr>
        <w:tc>
          <w:tcPr>
            <w:tcW w:w="1094" w:type="dxa"/>
            <w:shd w:val="clear" w:color="auto" w:fill="DAEEF3"/>
          </w:tcPr>
          <w:p w:rsidR="00B95695" w:rsidRPr="00315335" w:rsidRDefault="00B95695" w:rsidP="00631723">
            <w:pPr>
              <w:pStyle w:val="Indentcorptext"/>
              <w:spacing w:after="0"/>
              <w:ind w:left="0"/>
              <w:jc w:val="both"/>
              <w:rPr>
                <w:rFonts w:ascii="Arial" w:hAnsi="Arial" w:cs="Arial"/>
                <w:sz w:val="24"/>
                <w:szCs w:val="24"/>
              </w:rPr>
            </w:pPr>
          </w:p>
        </w:tc>
        <w:tc>
          <w:tcPr>
            <w:tcW w:w="890" w:type="dxa"/>
            <w:shd w:val="clear" w:color="auto" w:fill="DAEEF3"/>
            <w:vAlign w:val="center"/>
          </w:tcPr>
          <w:p w:rsidR="00B95695" w:rsidRPr="00315335" w:rsidRDefault="00B95695" w:rsidP="00631723">
            <w:pPr>
              <w:pStyle w:val="Indentcorptext"/>
              <w:spacing w:after="0"/>
              <w:ind w:left="0"/>
              <w:jc w:val="center"/>
              <w:rPr>
                <w:rFonts w:ascii="Arial" w:hAnsi="Arial" w:cs="Arial"/>
                <w:b/>
                <w:sz w:val="24"/>
                <w:szCs w:val="24"/>
              </w:rPr>
            </w:pPr>
            <w:r w:rsidRPr="00315335">
              <w:rPr>
                <w:rFonts w:ascii="Arial" w:hAnsi="Arial" w:cs="Arial"/>
                <w:b/>
                <w:sz w:val="24"/>
                <w:szCs w:val="24"/>
              </w:rPr>
              <w:t>2014</w:t>
            </w:r>
          </w:p>
        </w:tc>
        <w:tc>
          <w:tcPr>
            <w:tcW w:w="890" w:type="dxa"/>
            <w:shd w:val="clear" w:color="auto" w:fill="DAEEF3"/>
          </w:tcPr>
          <w:p w:rsidR="00B95695" w:rsidRPr="00315335" w:rsidRDefault="00B95695" w:rsidP="00631723">
            <w:pPr>
              <w:pStyle w:val="Indentcorptext"/>
              <w:spacing w:after="0"/>
              <w:ind w:left="0"/>
              <w:jc w:val="center"/>
              <w:rPr>
                <w:rFonts w:ascii="Arial" w:hAnsi="Arial" w:cs="Arial"/>
                <w:b/>
                <w:sz w:val="24"/>
                <w:szCs w:val="24"/>
              </w:rPr>
            </w:pPr>
            <w:r w:rsidRPr="00315335">
              <w:rPr>
                <w:rFonts w:ascii="Arial" w:hAnsi="Arial" w:cs="Arial"/>
                <w:b/>
                <w:sz w:val="24"/>
                <w:szCs w:val="24"/>
              </w:rPr>
              <w:t>2015</w:t>
            </w:r>
          </w:p>
        </w:tc>
        <w:tc>
          <w:tcPr>
            <w:tcW w:w="890" w:type="dxa"/>
            <w:shd w:val="clear" w:color="auto" w:fill="DAEEF3"/>
          </w:tcPr>
          <w:p w:rsidR="00B95695" w:rsidRPr="00315335" w:rsidRDefault="00B95695" w:rsidP="00631723">
            <w:pPr>
              <w:pStyle w:val="Indentcorptext"/>
              <w:spacing w:after="0"/>
              <w:ind w:left="0"/>
              <w:jc w:val="center"/>
              <w:rPr>
                <w:rFonts w:ascii="Arial" w:hAnsi="Arial" w:cs="Arial"/>
                <w:b/>
                <w:sz w:val="24"/>
                <w:szCs w:val="24"/>
              </w:rPr>
            </w:pPr>
            <w:r w:rsidRPr="00315335">
              <w:rPr>
                <w:rFonts w:ascii="Arial" w:hAnsi="Arial" w:cs="Arial"/>
                <w:b/>
                <w:sz w:val="24"/>
                <w:szCs w:val="24"/>
              </w:rPr>
              <w:t>2016</w:t>
            </w:r>
          </w:p>
        </w:tc>
        <w:tc>
          <w:tcPr>
            <w:tcW w:w="890" w:type="dxa"/>
            <w:shd w:val="clear" w:color="auto" w:fill="DAEEF3"/>
            <w:vAlign w:val="center"/>
          </w:tcPr>
          <w:p w:rsidR="00B95695" w:rsidRPr="00315335" w:rsidRDefault="00B95695" w:rsidP="00631723">
            <w:pPr>
              <w:pStyle w:val="Indentcorptext"/>
              <w:spacing w:after="0"/>
              <w:ind w:left="0"/>
              <w:jc w:val="center"/>
              <w:rPr>
                <w:rFonts w:ascii="Arial" w:hAnsi="Arial" w:cs="Arial"/>
                <w:b/>
                <w:sz w:val="24"/>
                <w:szCs w:val="24"/>
              </w:rPr>
            </w:pPr>
            <w:r w:rsidRPr="00315335">
              <w:rPr>
                <w:rFonts w:ascii="Arial" w:hAnsi="Arial" w:cs="Arial"/>
                <w:b/>
                <w:sz w:val="24"/>
                <w:szCs w:val="24"/>
              </w:rPr>
              <w:t>2017</w:t>
            </w:r>
          </w:p>
        </w:tc>
        <w:tc>
          <w:tcPr>
            <w:tcW w:w="890" w:type="dxa"/>
            <w:shd w:val="clear" w:color="auto" w:fill="DAEEF3"/>
            <w:vAlign w:val="center"/>
          </w:tcPr>
          <w:p w:rsidR="00B95695" w:rsidRPr="00315335" w:rsidRDefault="00B95695" w:rsidP="00631723">
            <w:pPr>
              <w:pStyle w:val="Indentcorptext"/>
              <w:spacing w:after="0"/>
              <w:ind w:left="0"/>
              <w:jc w:val="center"/>
              <w:rPr>
                <w:rFonts w:ascii="Arial" w:hAnsi="Arial" w:cs="Arial"/>
                <w:b/>
                <w:sz w:val="24"/>
                <w:szCs w:val="24"/>
              </w:rPr>
            </w:pPr>
            <w:r w:rsidRPr="00315335">
              <w:rPr>
                <w:rFonts w:ascii="Arial" w:hAnsi="Arial" w:cs="Arial"/>
                <w:b/>
                <w:sz w:val="24"/>
                <w:szCs w:val="24"/>
              </w:rPr>
              <w:t>2018</w:t>
            </w:r>
          </w:p>
        </w:tc>
      </w:tr>
      <w:tr w:rsidR="00B95695" w:rsidRPr="00315335" w:rsidTr="00631723">
        <w:trPr>
          <w:jc w:val="center"/>
        </w:trPr>
        <w:tc>
          <w:tcPr>
            <w:tcW w:w="1094" w:type="dxa"/>
            <w:shd w:val="clear" w:color="auto" w:fill="DAEEF3"/>
          </w:tcPr>
          <w:p w:rsidR="00B95695" w:rsidRPr="00315335" w:rsidRDefault="00B95695" w:rsidP="00631723">
            <w:pPr>
              <w:pStyle w:val="Style8"/>
              <w:widowControl/>
              <w:spacing w:line="240" w:lineRule="auto"/>
              <w:ind w:firstLine="0"/>
              <w:rPr>
                <w:rStyle w:val="FontStyle22"/>
                <w:rFonts w:ascii="Arial" w:eastAsia="Calibri" w:hAnsi="Arial" w:cs="Arial"/>
                <w:spacing w:val="-4"/>
              </w:rPr>
            </w:pPr>
            <w:r w:rsidRPr="00315335">
              <w:rPr>
                <w:rStyle w:val="FontStyle22"/>
                <w:rFonts w:ascii="Arial" w:eastAsia="Calibri" w:hAnsi="Arial" w:cs="Arial"/>
                <w:spacing w:val="-4"/>
              </w:rPr>
              <w:t>Număr</w:t>
            </w:r>
          </w:p>
        </w:tc>
        <w:tc>
          <w:tcPr>
            <w:tcW w:w="890" w:type="dxa"/>
            <w:shd w:val="clear" w:color="auto" w:fill="DAEEF3"/>
          </w:tcPr>
          <w:p w:rsidR="00B95695" w:rsidRPr="00315335" w:rsidRDefault="00B95695" w:rsidP="00631723">
            <w:pPr>
              <w:pStyle w:val="Style8"/>
              <w:widowControl/>
              <w:spacing w:line="240" w:lineRule="auto"/>
              <w:ind w:firstLine="0"/>
              <w:jc w:val="center"/>
              <w:rPr>
                <w:rStyle w:val="FontStyle22"/>
                <w:rFonts w:ascii="Arial" w:eastAsia="Calibri" w:hAnsi="Arial" w:cs="Arial"/>
                <w:spacing w:val="-4"/>
              </w:rPr>
            </w:pPr>
            <w:r w:rsidRPr="00315335">
              <w:rPr>
                <w:rStyle w:val="FontStyle22"/>
                <w:rFonts w:ascii="Arial" w:eastAsia="Calibri" w:hAnsi="Arial" w:cs="Arial"/>
                <w:spacing w:val="-4"/>
              </w:rPr>
              <w:t>10</w:t>
            </w:r>
          </w:p>
        </w:tc>
        <w:tc>
          <w:tcPr>
            <w:tcW w:w="890" w:type="dxa"/>
            <w:shd w:val="clear" w:color="auto" w:fill="DAEEF3"/>
          </w:tcPr>
          <w:p w:rsidR="00B95695" w:rsidRPr="00315335" w:rsidRDefault="00B95695" w:rsidP="00631723">
            <w:pPr>
              <w:pStyle w:val="Style8"/>
              <w:widowControl/>
              <w:spacing w:line="240" w:lineRule="auto"/>
              <w:ind w:firstLine="0"/>
              <w:jc w:val="center"/>
              <w:rPr>
                <w:rStyle w:val="FontStyle22"/>
                <w:rFonts w:ascii="Arial" w:eastAsia="Calibri" w:hAnsi="Arial" w:cs="Arial"/>
                <w:spacing w:val="-4"/>
              </w:rPr>
            </w:pPr>
            <w:r w:rsidRPr="00315335">
              <w:rPr>
                <w:rStyle w:val="FontStyle22"/>
                <w:rFonts w:ascii="Arial" w:eastAsia="Calibri" w:hAnsi="Arial" w:cs="Arial"/>
                <w:spacing w:val="-4"/>
              </w:rPr>
              <w:t>10</w:t>
            </w:r>
          </w:p>
        </w:tc>
        <w:tc>
          <w:tcPr>
            <w:tcW w:w="890" w:type="dxa"/>
            <w:shd w:val="clear" w:color="auto" w:fill="DAEEF3"/>
          </w:tcPr>
          <w:p w:rsidR="00B95695" w:rsidRPr="00315335" w:rsidRDefault="00B95695" w:rsidP="00631723">
            <w:pPr>
              <w:pStyle w:val="Style8"/>
              <w:widowControl/>
              <w:spacing w:line="240" w:lineRule="auto"/>
              <w:ind w:firstLine="0"/>
              <w:jc w:val="center"/>
              <w:rPr>
                <w:rStyle w:val="FontStyle22"/>
                <w:rFonts w:ascii="Arial" w:eastAsia="Calibri" w:hAnsi="Arial" w:cs="Arial"/>
                <w:spacing w:val="-4"/>
              </w:rPr>
            </w:pPr>
            <w:r w:rsidRPr="00315335">
              <w:rPr>
                <w:rStyle w:val="FontStyle22"/>
                <w:rFonts w:ascii="Arial" w:eastAsia="Calibri" w:hAnsi="Arial" w:cs="Arial"/>
                <w:spacing w:val="-4"/>
              </w:rPr>
              <w:t>10</w:t>
            </w:r>
          </w:p>
        </w:tc>
        <w:tc>
          <w:tcPr>
            <w:tcW w:w="890" w:type="dxa"/>
            <w:shd w:val="clear" w:color="auto" w:fill="DAEEF3"/>
          </w:tcPr>
          <w:p w:rsidR="00B95695" w:rsidRPr="00315335" w:rsidRDefault="00B95695" w:rsidP="00631723">
            <w:pPr>
              <w:pStyle w:val="Style8"/>
              <w:widowControl/>
              <w:spacing w:line="240" w:lineRule="auto"/>
              <w:ind w:firstLine="0"/>
              <w:jc w:val="center"/>
              <w:rPr>
                <w:rStyle w:val="FontStyle22"/>
                <w:rFonts w:ascii="Arial" w:eastAsia="Calibri" w:hAnsi="Arial" w:cs="Arial"/>
                <w:spacing w:val="-4"/>
              </w:rPr>
            </w:pPr>
            <w:r w:rsidRPr="00315335">
              <w:rPr>
                <w:rStyle w:val="FontStyle22"/>
                <w:rFonts w:ascii="Arial" w:eastAsia="Calibri" w:hAnsi="Arial" w:cs="Arial"/>
                <w:spacing w:val="-4"/>
              </w:rPr>
              <w:t>13</w:t>
            </w:r>
          </w:p>
        </w:tc>
        <w:tc>
          <w:tcPr>
            <w:tcW w:w="890" w:type="dxa"/>
            <w:shd w:val="clear" w:color="auto" w:fill="DAEEF3"/>
          </w:tcPr>
          <w:p w:rsidR="00B95695" w:rsidRPr="00315335" w:rsidRDefault="00B95695" w:rsidP="00631723">
            <w:pPr>
              <w:pStyle w:val="Style8"/>
              <w:widowControl/>
              <w:spacing w:line="240" w:lineRule="auto"/>
              <w:ind w:firstLine="0"/>
              <w:jc w:val="center"/>
              <w:rPr>
                <w:rStyle w:val="FontStyle22"/>
                <w:rFonts w:ascii="Arial" w:eastAsia="Calibri" w:hAnsi="Arial" w:cs="Arial"/>
                <w:spacing w:val="-4"/>
              </w:rPr>
            </w:pPr>
            <w:r w:rsidRPr="00315335">
              <w:rPr>
                <w:rStyle w:val="FontStyle22"/>
                <w:rFonts w:ascii="Arial" w:eastAsia="Calibri" w:hAnsi="Arial" w:cs="Arial"/>
                <w:spacing w:val="-4"/>
              </w:rPr>
              <w:t>7</w:t>
            </w:r>
          </w:p>
        </w:tc>
      </w:tr>
    </w:tbl>
    <w:p w:rsidR="00B95695" w:rsidRPr="00315335" w:rsidRDefault="00B95695" w:rsidP="00B95695">
      <w:pPr>
        <w:pStyle w:val="Indentcorptext"/>
        <w:spacing w:after="0"/>
        <w:ind w:left="0"/>
        <w:jc w:val="both"/>
        <w:rPr>
          <w:rFonts w:ascii="Arial" w:hAnsi="Arial" w:cs="Arial"/>
          <w:i/>
          <w:sz w:val="20"/>
          <w:szCs w:val="20"/>
        </w:rPr>
      </w:pPr>
      <w:r w:rsidRPr="00315335">
        <w:rPr>
          <w:rFonts w:ascii="Arial" w:hAnsi="Arial" w:cs="Arial"/>
          <w:i/>
          <w:sz w:val="20"/>
          <w:szCs w:val="20"/>
        </w:rPr>
        <w:t xml:space="preserve">                                  Notă: Informații furnizate de către ISU ,,Dunărea,, al județului Brăila</w:t>
      </w:r>
    </w:p>
    <w:p w:rsidR="00B95695" w:rsidRPr="00315335" w:rsidRDefault="00B95695" w:rsidP="00B95695">
      <w:pPr>
        <w:tabs>
          <w:tab w:val="left" w:leader="dot" w:pos="8640"/>
        </w:tabs>
        <w:ind w:right="360"/>
        <w:jc w:val="both"/>
        <w:rPr>
          <w:rFonts w:ascii="Arial" w:hAnsi="Arial" w:cs="Arial"/>
          <w:b/>
          <w:sz w:val="24"/>
          <w:szCs w:val="24"/>
        </w:rPr>
      </w:pPr>
    </w:p>
    <w:p w:rsidR="00B95695" w:rsidRPr="00315335" w:rsidRDefault="00B95695" w:rsidP="00B95695">
      <w:pPr>
        <w:pStyle w:val="Default"/>
        <w:rPr>
          <w:rFonts w:ascii="Arial" w:hAnsi="Arial" w:cs="Arial"/>
          <w:b/>
          <w:color w:val="auto"/>
          <w:sz w:val="28"/>
          <w:szCs w:val="28"/>
        </w:rPr>
      </w:pPr>
      <w:r w:rsidRPr="00315335">
        <w:rPr>
          <w:rFonts w:ascii="Arial" w:hAnsi="Arial" w:cs="Arial"/>
          <w:color w:val="auto"/>
        </w:rPr>
        <w:t xml:space="preserve"> </w:t>
      </w:r>
      <w:r w:rsidRPr="00315335">
        <w:rPr>
          <w:rFonts w:ascii="Arial" w:hAnsi="Arial" w:cs="Arial"/>
          <w:color w:val="auto"/>
          <w:sz w:val="28"/>
          <w:szCs w:val="28"/>
        </w:rPr>
        <w:t xml:space="preserve"> </w:t>
      </w:r>
      <w:r w:rsidRPr="00315335">
        <w:rPr>
          <w:rFonts w:ascii="Arial" w:hAnsi="Arial" w:cs="Arial"/>
          <w:b/>
          <w:color w:val="auto"/>
          <w:sz w:val="28"/>
          <w:szCs w:val="28"/>
        </w:rPr>
        <w:t>IX.  RADIOACTIVITATEA MEDIULUI</w:t>
      </w:r>
    </w:p>
    <w:p w:rsidR="00B95695" w:rsidRPr="00315335" w:rsidRDefault="00B95695" w:rsidP="00B95695">
      <w:pPr>
        <w:pStyle w:val="Default"/>
        <w:rPr>
          <w:rFonts w:ascii="Arial" w:hAnsi="Arial" w:cs="Arial"/>
          <w:b/>
          <w:color w:val="auto"/>
          <w:sz w:val="28"/>
          <w:szCs w:val="28"/>
        </w:rPr>
      </w:pPr>
    </w:p>
    <w:p w:rsidR="00B95695" w:rsidRPr="00315335" w:rsidRDefault="00B95695" w:rsidP="00B95695">
      <w:pPr>
        <w:tabs>
          <w:tab w:val="left" w:pos="8505"/>
        </w:tabs>
        <w:spacing w:after="0" w:line="240" w:lineRule="auto"/>
        <w:jc w:val="both"/>
        <w:rPr>
          <w:rFonts w:ascii="Arial" w:eastAsia="Calibri" w:hAnsi="Arial" w:cs="Arial"/>
          <w:b/>
          <w:sz w:val="24"/>
          <w:szCs w:val="24"/>
        </w:rPr>
      </w:pPr>
      <w:r w:rsidRPr="00315335">
        <w:rPr>
          <w:rFonts w:ascii="Arial" w:eastAsia="Calibri" w:hAnsi="Arial" w:cs="Arial"/>
          <w:b/>
          <w:sz w:val="24"/>
          <w:szCs w:val="24"/>
        </w:rPr>
        <w:t xml:space="preserve">          IX.1. Monitorizarea radioactivității factorilor de mediu</w:t>
      </w:r>
    </w:p>
    <w:p w:rsidR="00B95695" w:rsidRPr="00315335" w:rsidRDefault="00B95695" w:rsidP="00B95695">
      <w:pPr>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Radioactivitatea este proprietatea unor elemente chimice de a emite prin dezintegrare spontană radiaţii corpusculare şi/sau electromagnetice, fiind un fenomen natural ce se manifestă în mediu.</w:t>
      </w:r>
    </w:p>
    <w:p w:rsidR="00B95695" w:rsidRPr="00315335" w:rsidRDefault="00B95695" w:rsidP="00B95695">
      <w:pPr>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 xml:space="preserve">Radioactivitatea naturală este determinată de substanţele radioactive (radionuclizi) de origine terestră (precum U-238, U-235, Th-232, Ac-228 etc.), la care se adaugă substanţele radioactive de origine cosmogenă (H-3, Be-7, C-14 etc) şi radiaţia cosmică. Substanţele radioactive de origine terestră există în natură din cele mai vechi timpuri, iar abundenţa lor este dependentă de conformaţia geologică a diferitelor zone, variind de la un loc la altul. Substanţele radioactive de origine cosmogenă se formează în straturile înalte ale atmosferei, prin interacţia radiaţiei cosmice cu elemente stabile. </w:t>
      </w:r>
    </w:p>
    <w:p w:rsidR="00B95695" w:rsidRPr="00315335" w:rsidRDefault="00B95695" w:rsidP="00B95695">
      <w:pPr>
        <w:spacing w:after="0" w:line="240" w:lineRule="auto"/>
        <w:ind w:firstLine="720"/>
        <w:jc w:val="both"/>
        <w:rPr>
          <w:rFonts w:ascii="Arial" w:eastAsia="Calibri" w:hAnsi="Arial" w:cs="Arial"/>
          <w:sz w:val="24"/>
          <w:szCs w:val="24"/>
        </w:rPr>
      </w:pPr>
      <w:r w:rsidRPr="00315335">
        <w:rPr>
          <w:rFonts w:ascii="Arial" w:eastAsia="Calibri" w:hAnsi="Arial" w:cs="Arial"/>
          <w:sz w:val="24"/>
          <w:szCs w:val="24"/>
        </w:rPr>
        <w:t>Toate radiaţiile ionizante de origine terestră sau cosmică, constituie fondul natural de radiaţii care acţionează asupra organismelor vii. Alături de radionuclizii naturali se găsesc radionuclizii artificiali care au pătruns în mediu pe diferite căi.</w:t>
      </w:r>
    </w:p>
    <w:p w:rsidR="00B95695" w:rsidRPr="00315335" w:rsidRDefault="00B95695" w:rsidP="00B95695">
      <w:pPr>
        <w:tabs>
          <w:tab w:val="left" w:pos="8505"/>
        </w:tabs>
        <w:spacing w:after="0" w:line="240" w:lineRule="auto"/>
        <w:jc w:val="both"/>
        <w:rPr>
          <w:rFonts w:ascii="Arial" w:eastAsia="Calibri" w:hAnsi="Arial" w:cs="Arial"/>
          <w:b/>
          <w:sz w:val="24"/>
          <w:szCs w:val="24"/>
        </w:rPr>
      </w:pPr>
    </w:p>
    <w:p w:rsidR="00B95695" w:rsidRPr="00315335" w:rsidRDefault="00B95695" w:rsidP="00B95695">
      <w:pPr>
        <w:tabs>
          <w:tab w:val="left" w:pos="8505"/>
        </w:tabs>
        <w:spacing w:after="0" w:line="240" w:lineRule="auto"/>
        <w:ind w:firstLine="567"/>
        <w:jc w:val="both"/>
        <w:rPr>
          <w:rFonts w:ascii="Arial" w:eastAsia="Calibri" w:hAnsi="Arial" w:cs="Arial"/>
          <w:b/>
          <w:i/>
          <w:sz w:val="24"/>
          <w:szCs w:val="24"/>
        </w:rPr>
      </w:pPr>
      <w:r w:rsidRPr="00315335">
        <w:rPr>
          <w:rFonts w:ascii="Arial" w:eastAsia="Calibri" w:hAnsi="Arial" w:cs="Arial"/>
          <w:b/>
          <w:sz w:val="24"/>
          <w:szCs w:val="24"/>
        </w:rPr>
        <w:t xml:space="preserve">IX.1.1. </w:t>
      </w:r>
      <w:r w:rsidRPr="00315335">
        <w:rPr>
          <w:rFonts w:ascii="Arial" w:eastAsia="Calibri" w:hAnsi="Arial" w:cs="Arial"/>
          <w:b/>
          <w:i/>
          <w:sz w:val="24"/>
          <w:szCs w:val="24"/>
        </w:rPr>
        <w:t>Radioactivitatea aerului</w:t>
      </w:r>
    </w:p>
    <w:p w:rsidR="00B95695" w:rsidRPr="00315335" w:rsidRDefault="00B95695" w:rsidP="00B95695">
      <w:pPr>
        <w:tabs>
          <w:tab w:val="left" w:pos="8505"/>
        </w:tabs>
        <w:spacing w:after="0" w:line="240" w:lineRule="auto"/>
        <w:ind w:firstLine="567"/>
        <w:jc w:val="both"/>
        <w:rPr>
          <w:rFonts w:ascii="Arial" w:eastAsia="Calibri" w:hAnsi="Arial" w:cs="Arial"/>
          <w:b/>
          <w:i/>
          <w:sz w:val="24"/>
          <w:szCs w:val="24"/>
        </w:rPr>
      </w:pPr>
    </w:p>
    <w:p w:rsidR="00B95695" w:rsidRPr="00315335" w:rsidRDefault="00B95695" w:rsidP="00B95695">
      <w:pPr>
        <w:tabs>
          <w:tab w:val="left" w:pos="8505"/>
        </w:tabs>
        <w:spacing w:after="0" w:line="240" w:lineRule="auto"/>
        <w:jc w:val="both"/>
        <w:rPr>
          <w:rFonts w:ascii="Arial" w:eastAsia="Calibri" w:hAnsi="Arial" w:cs="Arial"/>
          <w:b/>
          <w:sz w:val="24"/>
          <w:szCs w:val="24"/>
        </w:rPr>
      </w:pPr>
      <w:r w:rsidRPr="00315335">
        <w:rPr>
          <w:rFonts w:ascii="Arial" w:eastAsia="Calibri" w:hAnsi="Arial" w:cs="Arial"/>
          <w:b/>
          <w:sz w:val="24"/>
          <w:szCs w:val="24"/>
        </w:rPr>
        <w:t xml:space="preserve">    Debitul dozei gamma absorbită în aer</w:t>
      </w:r>
    </w:p>
    <w:p w:rsidR="00B95695" w:rsidRPr="00315335" w:rsidRDefault="00B95695" w:rsidP="00B95695">
      <w:pPr>
        <w:spacing w:after="0" w:line="240" w:lineRule="auto"/>
        <w:jc w:val="both"/>
        <w:rPr>
          <w:rFonts w:ascii="Arial" w:eastAsia="SimSun" w:hAnsi="Arial" w:cs="Arial"/>
          <w:sz w:val="24"/>
          <w:szCs w:val="24"/>
          <w:lang w:val="en-GB"/>
        </w:rPr>
      </w:pPr>
      <w:r w:rsidRPr="00315335">
        <w:rPr>
          <w:rFonts w:ascii="Arial" w:eastAsia="SimSun" w:hAnsi="Arial" w:cs="Arial"/>
          <w:sz w:val="24"/>
          <w:szCs w:val="24"/>
          <w:lang w:val="en-GB"/>
        </w:rPr>
        <w:t xml:space="preserve">     Reţeaua Naţională de Supraveghere a Radioactivităţii Mediului (RNSRM) face parte din Sistemul Integrat de Supraveghere a Poluării Mediului pe teritoriul României, din cadrul Ministerului Mediului, Apelor și Pădurilor.</w:t>
      </w:r>
    </w:p>
    <w:p w:rsidR="00B95695" w:rsidRPr="00315335" w:rsidRDefault="00B95695" w:rsidP="00B95695">
      <w:pPr>
        <w:spacing w:after="0" w:line="240" w:lineRule="auto"/>
        <w:jc w:val="both"/>
        <w:rPr>
          <w:rFonts w:ascii="Arial" w:eastAsia="SimSun" w:hAnsi="Arial" w:cs="Arial"/>
          <w:sz w:val="24"/>
          <w:szCs w:val="24"/>
          <w:lang w:val="en-GB"/>
        </w:rPr>
      </w:pPr>
      <w:r w:rsidRPr="00315335">
        <w:rPr>
          <w:rFonts w:ascii="Arial" w:eastAsia="SimSun" w:hAnsi="Arial" w:cs="Arial"/>
          <w:sz w:val="24"/>
          <w:szCs w:val="24"/>
          <w:lang w:val="en-GB"/>
        </w:rPr>
        <w:t xml:space="preserve">   Înfiinţată înanul 1962, RNSRM constituie o componentă specializată a sistemului naţional de radioprotecţie,care realizează supravegherea şi controlul respectării prevederilor legale privind radioprotecţia mediului şi asigură îndeplinirea responsabilităţilor MM privind detectarea, avertizarea şi alarmarea factorilor de decizie în cazul uno revenimente cu impact radiologic asupra mediului şi sănătăţii populaţiei. Coordonarea ştiinţifică, tehnică şi metodologică a RNSRM este asigurată de Laboratorul Naţional de Referinţă pentru Radioactivitate din cadru lAgenţiei Naţionale pentru Protecţia Mediului București.</w:t>
      </w:r>
    </w:p>
    <w:p w:rsidR="00B95695" w:rsidRPr="00315335" w:rsidRDefault="00B95695" w:rsidP="00B95695">
      <w:pPr>
        <w:spacing w:after="0" w:line="240" w:lineRule="auto"/>
        <w:ind w:firstLine="708"/>
        <w:jc w:val="both"/>
        <w:rPr>
          <w:rFonts w:ascii="Arial" w:eastAsia="Calibri" w:hAnsi="Arial" w:cs="Arial"/>
          <w:sz w:val="24"/>
          <w:szCs w:val="24"/>
        </w:rPr>
      </w:pPr>
      <w:r w:rsidRPr="00315335">
        <w:rPr>
          <w:rFonts w:ascii="Arial" w:eastAsia="Calibri" w:hAnsi="Arial" w:cs="Arial"/>
          <w:sz w:val="24"/>
          <w:szCs w:val="24"/>
        </w:rPr>
        <w:t>Staţia automată de monitorizare a debitului de doză gama absorbită în aer în timp real, achiziționată prin proiectul Proiectului PHARE RO2003/005-551.04.11.01 ,,Procurement of the Necessary Equipament for an Adequate Enviromental Radioactivity Monitoring and Reporting System”, face parte din RNSRM. Obiectivul principal al staţiei este detectarea oricăror creşteri cu semnificaţie radiologică a nivelelor de radioactivitate din mediu.</w:t>
      </w:r>
    </w:p>
    <w:p w:rsidR="00B95695" w:rsidRPr="00315335" w:rsidRDefault="00B95695" w:rsidP="00B95695">
      <w:pPr>
        <w:spacing w:after="0" w:line="240" w:lineRule="auto"/>
        <w:ind w:firstLine="708"/>
        <w:jc w:val="both"/>
        <w:rPr>
          <w:rFonts w:ascii="Arial" w:eastAsia="Calibri" w:hAnsi="Arial" w:cs="Arial"/>
          <w:sz w:val="24"/>
          <w:szCs w:val="24"/>
        </w:rPr>
      </w:pPr>
      <w:r w:rsidRPr="00315335">
        <w:rPr>
          <w:rFonts w:ascii="Arial" w:eastAsia="Calibri" w:hAnsi="Arial" w:cs="Arial"/>
          <w:sz w:val="24"/>
          <w:szCs w:val="24"/>
        </w:rPr>
        <w:t xml:space="preserve">Monitorizarea dozei gama în aer se realizează în mod continuu, la distanţă de </w:t>
      </w:r>
      <w:smartTag w:uri="urn:schemas-microsoft-com:office:smarttags" w:element="metricconverter">
        <w:smartTagPr>
          <w:attr w:name="ProductID" w:val="1 metru"/>
        </w:smartTagPr>
        <w:r w:rsidRPr="00315335">
          <w:rPr>
            <w:rFonts w:ascii="Arial" w:eastAsia="Calibri" w:hAnsi="Arial" w:cs="Arial"/>
            <w:sz w:val="24"/>
            <w:szCs w:val="24"/>
          </w:rPr>
          <w:t>1 metru</w:t>
        </w:r>
      </w:smartTag>
      <w:r w:rsidRPr="00315335">
        <w:rPr>
          <w:rFonts w:ascii="Arial" w:eastAsia="Calibri" w:hAnsi="Arial" w:cs="Arial"/>
          <w:sz w:val="24"/>
          <w:szCs w:val="24"/>
        </w:rPr>
        <w:t xml:space="preserve"> faţă de sol, prin măsurătorile debitului echivalentului de doză, înregistrate cu o frecvenţă de 60 minute, stabilită de către Laboratorul Naţional de Referinţă pentru Radioactivitate. Datele achiziţionate de staţie sunt transmise în timp real, printr-un sistem de comunicaţie GPRS/GSM, la serverul ANPM din Laboratorul de Radioactivitatea Mediului unde acestea sunt validate și apoi la serverul Agenţiei pentru Protecţia Mediului Brăila.</w:t>
      </w:r>
    </w:p>
    <w:p w:rsidR="00B95695" w:rsidRPr="00315335" w:rsidRDefault="00B95695" w:rsidP="00B95695">
      <w:pPr>
        <w:tabs>
          <w:tab w:val="left" w:pos="315"/>
          <w:tab w:val="center" w:pos="1080"/>
        </w:tabs>
        <w:spacing w:after="0" w:line="240" w:lineRule="auto"/>
        <w:jc w:val="both"/>
        <w:rPr>
          <w:rFonts w:ascii="Arial" w:eastAsia="Calibri" w:hAnsi="Arial" w:cs="Arial"/>
          <w:bCs/>
          <w:iCs/>
          <w:sz w:val="24"/>
          <w:szCs w:val="24"/>
        </w:rPr>
      </w:pPr>
      <w:r w:rsidRPr="00315335">
        <w:rPr>
          <w:rFonts w:ascii="Arial" w:eastAsia="Calibri" w:hAnsi="Arial" w:cs="Arial"/>
          <w:bCs/>
          <w:iCs/>
          <w:sz w:val="24"/>
          <w:szCs w:val="24"/>
        </w:rPr>
        <w:tab/>
        <w:t>Rezultatele programului de supraveghere a debitului dozei gama în decursul anului 2018 sunt prezentate în tabelul IX.1.1.1. și tabelul IX.1.1.2.</w:t>
      </w:r>
      <w:r w:rsidRPr="00315335">
        <w:rPr>
          <w:rFonts w:ascii="Arial" w:eastAsia="Calibri" w:hAnsi="Arial" w:cs="Arial"/>
          <w:bCs/>
          <w:iCs/>
          <w:sz w:val="24"/>
          <w:szCs w:val="24"/>
        </w:rPr>
        <w:tab/>
      </w:r>
    </w:p>
    <w:p w:rsidR="00B95695" w:rsidRPr="00315335" w:rsidRDefault="00B95695" w:rsidP="00B95695">
      <w:pPr>
        <w:tabs>
          <w:tab w:val="left" w:pos="315"/>
          <w:tab w:val="center" w:pos="1080"/>
        </w:tabs>
        <w:spacing w:after="0" w:line="240" w:lineRule="auto"/>
        <w:jc w:val="both"/>
        <w:rPr>
          <w:rFonts w:ascii="Arial" w:eastAsia="Calibri" w:hAnsi="Arial" w:cs="Arial"/>
          <w:bCs/>
          <w:iCs/>
          <w:sz w:val="24"/>
          <w:szCs w:val="24"/>
        </w:rPr>
      </w:pPr>
    </w:p>
    <w:p w:rsidR="00B95695" w:rsidRPr="00315335" w:rsidRDefault="00B95695" w:rsidP="00B95695">
      <w:pPr>
        <w:tabs>
          <w:tab w:val="left" w:pos="315"/>
          <w:tab w:val="center" w:pos="1080"/>
        </w:tabs>
        <w:spacing w:after="0" w:line="240" w:lineRule="auto"/>
        <w:rPr>
          <w:rFonts w:ascii="Arial" w:eastAsia="Calibri" w:hAnsi="Arial" w:cs="Arial"/>
          <w:b/>
          <w:bCs/>
          <w:iCs/>
          <w:sz w:val="24"/>
          <w:szCs w:val="24"/>
        </w:rPr>
      </w:pPr>
      <w:r w:rsidRPr="00315335">
        <w:rPr>
          <w:rFonts w:ascii="Arial" w:eastAsia="Calibri" w:hAnsi="Arial" w:cs="Arial"/>
          <w:b/>
          <w:bCs/>
          <w:iCs/>
          <w:sz w:val="24"/>
          <w:szCs w:val="24"/>
        </w:rPr>
        <w:t>Tabel IX.1.1.1</w:t>
      </w:r>
      <w:r w:rsidRPr="00315335">
        <w:rPr>
          <w:rFonts w:ascii="Arial" w:eastAsia="Calibri" w:hAnsi="Arial" w:cs="Arial"/>
          <w:bCs/>
          <w:iCs/>
          <w:sz w:val="24"/>
          <w:szCs w:val="24"/>
        </w:rPr>
        <w:t xml:space="preserve"> Maxima și media anuală 2018  la nivelul județului Brăila</w:t>
      </w:r>
      <w:r w:rsidRPr="00315335">
        <w:rPr>
          <w:rFonts w:ascii="Arial" w:eastAsia="Calibri" w:hAnsi="Arial" w:cs="Arial"/>
          <w:b/>
          <w:bCs/>
          <w:iCs/>
          <w:sz w:val="24"/>
          <w:szCs w:val="24"/>
        </w:rPr>
        <w:tab/>
      </w:r>
    </w:p>
    <w:tbl>
      <w:tblPr>
        <w:tblpPr w:leftFromText="180" w:rightFromText="180" w:vertAnchor="text" w:horzAnchor="margin" w:tblpXSpec="center" w:tblpY="2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7"/>
        <w:gridCol w:w="985"/>
        <w:gridCol w:w="1701"/>
        <w:gridCol w:w="1134"/>
        <w:gridCol w:w="1276"/>
        <w:gridCol w:w="1275"/>
      </w:tblGrid>
      <w:tr w:rsidR="00B95695" w:rsidRPr="00315335" w:rsidTr="00631723">
        <w:trPr>
          <w:trHeight w:val="298"/>
        </w:trPr>
        <w:tc>
          <w:tcPr>
            <w:tcW w:w="3127" w:type="dxa"/>
            <w:shd w:val="clear" w:color="auto" w:fill="E6E6E6"/>
            <w:vAlign w:val="center"/>
          </w:tcPr>
          <w:p w:rsidR="00B95695" w:rsidRPr="00315335" w:rsidRDefault="00B95695" w:rsidP="00631723">
            <w:pPr>
              <w:keepNext/>
              <w:spacing w:after="0" w:line="240" w:lineRule="auto"/>
              <w:jc w:val="center"/>
              <w:outlineLvl w:val="1"/>
              <w:rPr>
                <w:rFonts w:ascii="Arial" w:eastAsia="Times New Roman" w:hAnsi="Arial" w:cs="Arial"/>
                <w:i/>
                <w:iCs/>
                <w:sz w:val="24"/>
                <w:szCs w:val="24"/>
                <w:lang w:val="en-GB"/>
              </w:rPr>
            </w:pPr>
            <w:r w:rsidRPr="00315335">
              <w:rPr>
                <w:rFonts w:ascii="Arial" w:eastAsia="Times New Roman" w:hAnsi="Arial" w:cs="Arial"/>
                <w:b/>
                <w:bCs/>
                <w:i/>
                <w:iCs/>
                <w:sz w:val="24"/>
                <w:szCs w:val="24"/>
                <w:lang w:val="en-GB"/>
              </w:rPr>
              <w:t>Factor  de mediu</w:t>
            </w:r>
          </w:p>
        </w:tc>
        <w:tc>
          <w:tcPr>
            <w:tcW w:w="985" w:type="dxa"/>
            <w:shd w:val="clear" w:color="auto" w:fill="E6E6E6"/>
            <w:vAlign w:val="center"/>
          </w:tcPr>
          <w:p w:rsidR="00B95695" w:rsidRPr="00315335" w:rsidRDefault="00B95695" w:rsidP="00631723">
            <w:pPr>
              <w:spacing w:after="0" w:line="240" w:lineRule="auto"/>
              <w:jc w:val="center"/>
              <w:rPr>
                <w:rFonts w:ascii="Arial" w:eastAsia="Calibri" w:hAnsi="Arial" w:cs="Arial"/>
                <w:b/>
                <w:bCs/>
                <w:sz w:val="24"/>
                <w:szCs w:val="24"/>
              </w:rPr>
            </w:pPr>
            <w:r w:rsidRPr="00315335">
              <w:rPr>
                <w:rFonts w:ascii="Arial" w:eastAsia="Calibri" w:hAnsi="Arial" w:cs="Arial"/>
                <w:b/>
                <w:bCs/>
                <w:sz w:val="24"/>
                <w:szCs w:val="24"/>
              </w:rPr>
              <w:t>U.M.</w:t>
            </w:r>
          </w:p>
        </w:tc>
        <w:tc>
          <w:tcPr>
            <w:tcW w:w="1701" w:type="dxa"/>
            <w:shd w:val="clear" w:color="auto" w:fill="E6E6E6"/>
            <w:vAlign w:val="center"/>
          </w:tcPr>
          <w:p w:rsidR="00B95695" w:rsidRPr="00315335" w:rsidRDefault="00B95695" w:rsidP="00631723">
            <w:pPr>
              <w:spacing w:after="0" w:line="240" w:lineRule="auto"/>
              <w:jc w:val="center"/>
              <w:rPr>
                <w:rFonts w:ascii="Arial" w:eastAsia="Calibri" w:hAnsi="Arial" w:cs="Arial"/>
                <w:b/>
                <w:bCs/>
                <w:sz w:val="24"/>
                <w:szCs w:val="24"/>
              </w:rPr>
            </w:pPr>
            <w:r w:rsidRPr="00315335">
              <w:rPr>
                <w:rFonts w:ascii="Arial" w:eastAsia="Calibri" w:hAnsi="Arial" w:cs="Arial"/>
                <w:b/>
                <w:bCs/>
                <w:sz w:val="24"/>
                <w:szCs w:val="24"/>
              </w:rPr>
              <w:t>Limita atenţionare/avertizare</w:t>
            </w:r>
          </w:p>
        </w:tc>
        <w:tc>
          <w:tcPr>
            <w:tcW w:w="1134" w:type="dxa"/>
            <w:shd w:val="clear" w:color="auto" w:fill="E6E6E6"/>
            <w:vAlign w:val="center"/>
          </w:tcPr>
          <w:p w:rsidR="00B95695" w:rsidRPr="00315335" w:rsidRDefault="00B95695" w:rsidP="00631723">
            <w:pPr>
              <w:spacing w:after="0" w:line="240" w:lineRule="auto"/>
              <w:jc w:val="center"/>
              <w:rPr>
                <w:rFonts w:ascii="Arial" w:eastAsia="Calibri" w:hAnsi="Arial" w:cs="Arial"/>
                <w:b/>
                <w:bCs/>
                <w:sz w:val="24"/>
                <w:szCs w:val="24"/>
              </w:rPr>
            </w:pPr>
            <w:r w:rsidRPr="00315335">
              <w:rPr>
                <w:rFonts w:ascii="Arial" w:eastAsia="Calibri" w:hAnsi="Arial" w:cs="Arial"/>
                <w:b/>
                <w:bCs/>
                <w:sz w:val="24"/>
                <w:szCs w:val="24"/>
              </w:rPr>
              <w:t>Media anuală</w:t>
            </w:r>
          </w:p>
        </w:tc>
        <w:tc>
          <w:tcPr>
            <w:tcW w:w="1276" w:type="dxa"/>
            <w:shd w:val="clear" w:color="auto" w:fill="E6E6E6"/>
            <w:vAlign w:val="center"/>
          </w:tcPr>
          <w:p w:rsidR="00B95695" w:rsidRPr="00315335" w:rsidRDefault="00B95695" w:rsidP="00631723">
            <w:pPr>
              <w:spacing w:after="0" w:line="240" w:lineRule="auto"/>
              <w:jc w:val="center"/>
              <w:rPr>
                <w:rFonts w:ascii="Arial" w:eastAsia="Calibri" w:hAnsi="Arial" w:cs="Arial"/>
                <w:b/>
                <w:bCs/>
                <w:sz w:val="24"/>
                <w:szCs w:val="24"/>
              </w:rPr>
            </w:pPr>
            <w:r w:rsidRPr="00315335">
              <w:rPr>
                <w:rFonts w:ascii="Arial" w:eastAsia="Calibri" w:hAnsi="Arial" w:cs="Arial"/>
                <w:b/>
                <w:bCs/>
                <w:sz w:val="24"/>
                <w:szCs w:val="24"/>
              </w:rPr>
              <w:t>Maxima lunară</w:t>
            </w:r>
          </w:p>
        </w:tc>
        <w:tc>
          <w:tcPr>
            <w:tcW w:w="1275" w:type="dxa"/>
            <w:shd w:val="clear" w:color="auto" w:fill="E6E6E6"/>
            <w:vAlign w:val="center"/>
          </w:tcPr>
          <w:p w:rsidR="00B95695" w:rsidRPr="00315335" w:rsidRDefault="00B95695" w:rsidP="00631723">
            <w:pPr>
              <w:spacing w:after="0" w:line="240" w:lineRule="auto"/>
              <w:jc w:val="center"/>
              <w:rPr>
                <w:rFonts w:ascii="Arial" w:eastAsia="Calibri" w:hAnsi="Arial" w:cs="Arial"/>
                <w:b/>
                <w:bCs/>
                <w:sz w:val="24"/>
                <w:szCs w:val="24"/>
              </w:rPr>
            </w:pPr>
            <w:r w:rsidRPr="00315335">
              <w:rPr>
                <w:rFonts w:ascii="Arial" w:eastAsia="Calibri" w:hAnsi="Arial" w:cs="Arial"/>
                <w:b/>
                <w:bCs/>
                <w:sz w:val="24"/>
                <w:szCs w:val="24"/>
              </w:rPr>
              <w:t>Luna maximei</w:t>
            </w:r>
          </w:p>
        </w:tc>
      </w:tr>
      <w:tr w:rsidR="00B95695" w:rsidRPr="00315335" w:rsidTr="00631723">
        <w:trPr>
          <w:trHeight w:val="314"/>
        </w:trPr>
        <w:tc>
          <w:tcPr>
            <w:tcW w:w="3127" w:type="dxa"/>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Debit doză gamma în aer</w:t>
            </w:r>
          </w:p>
        </w:tc>
        <w:tc>
          <w:tcPr>
            <w:tcW w:w="985" w:type="dxa"/>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µSv/h</w:t>
            </w:r>
          </w:p>
        </w:tc>
        <w:tc>
          <w:tcPr>
            <w:tcW w:w="1701" w:type="dxa"/>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0,250/1,0</w:t>
            </w:r>
          </w:p>
        </w:tc>
        <w:tc>
          <w:tcPr>
            <w:tcW w:w="1134" w:type="dxa"/>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0,098</w:t>
            </w:r>
          </w:p>
        </w:tc>
        <w:tc>
          <w:tcPr>
            <w:tcW w:w="1276" w:type="dxa"/>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0,138</w:t>
            </w:r>
          </w:p>
        </w:tc>
        <w:tc>
          <w:tcPr>
            <w:tcW w:w="1275" w:type="dxa"/>
            <w:vAlign w:val="center"/>
          </w:tcPr>
          <w:p w:rsidR="00B95695" w:rsidRPr="00315335" w:rsidRDefault="00B95695" w:rsidP="00631723">
            <w:pPr>
              <w:spacing w:after="0" w:line="240" w:lineRule="auto"/>
              <w:jc w:val="center"/>
              <w:rPr>
                <w:rFonts w:ascii="Arial" w:eastAsia="Calibri" w:hAnsi="Arial" w:cs="Arial"/>
                <w:sz w:val="24"/>
                <w:szCs w:val="24"/>
              </w:rPr>
            </w:pPr>
            <w:r w:rsidRPr="00315335">
              <w:rPr>
                <w:rFonts w:ascii="Arial" w:eastAsia="Calibri" w:hAnsi="Arial" w:cs="Arial"/>
                <w:sz w:val="24"/>
                <w:szCs w:val="24"/>
              </w:rPr>
              <w:t>06</w:t>
            </w:r>
          </w:p>
        </w:tc>
      </w:tr>
    </w:tbl>
    <w:p w:rsidR="00B95695" w:rsidRPr="00315335" w:rsidRDefault="00B95695" w:rsidP="00B95695">
      <w:pPr>
        <w:tabs>
          <w:tab w:val="left" w:pos="315"/>
          <w:tab w:val="center" w:pos="1080"/>
        </w:tabs>
        <w:jc w:val="both"/>
        <w:rPr>
          <w:rFonts w:ascii="Arial" w:eastAsia="Calibri" w:hAnsi="Arial" w:cs="Arial"/>
          <w:b/>
          <w:bCs/>
          <w:iCs/>
          <w:sz w:val="24"/>
          <w:szCs w:val="24"/>
        </w:rPr>
      </w:pPr>
      <w:r w:rsidRPr="00315335">
        <w:rPr>
          <w:rFonts w:ascii="Arial" w:eastAsia="Calibri" w:hAnsi="Arial" w:cs="Arial"/>
          <w:b/>
          <w:bCs/>
          <w:iCs/>
          <w:sz w:val="24"/>
          <w:szCs w:val="24"/>
        </w:rPr>
        <w:lastRenderedPageBreak/>
        <w:tab/>
      </w:r>
    </w:p>
    <w:p w:rsidR="00B95695" w:rsidRPr="00315335" w:rsidRDefault="00B95695" w:rsidP="00B95695">
      <w:pPr>
        <w:tabs>
          <w:tab w:val="left" w:pos="315"/>
          <w:tab w:val="center" w:pos="1080"/>
        </w:tabs>
        <w:spacing w:after="0" w:line="240" w:lineRule="auto"/>
        <w:rPr>
          <w:rFonts w:ascii="Arial" w:eastAsia="Calibri" w:hAnsi="Arial" w:cs="Arial"/>
        </w:rPr>
      </w:pPr>
      <w:r w:rsidRPr="00315335">
        <w:rPr>
          <w:rFonts w:ascii="Arial" w:eastAsia="Calibri" w:hAnsi="Arial" w:cs="Arial"/>
          <w:b/>
          <w:sz w:val="24"/>
          <w:szCs w:val="24"/>
        </w:rPr>
        <w:t xml:space="preserve">Tabel </w:t>
      </w:r>
      <w:r w:rsidRPr="00315335">
        <w:rPr>
          <w:rFonts w:ascii="Arial" w:eastAsia="Calibri" w:hAnsi="Arial" w:cs="Arial"/>
          <w:b/>
          <w:bCs/>
          <w:iCs/>
          <w:sz w:val="24"/>
          <w:szCs w:val="24"/>
        </w:rPr>
        <w:t>IX.1.1.2.</w:t>
      </w:r>
      <w:r w:rsidRPr="00315335">
        <w:rPr>
          <w:rFonts w:ascii="Arial" w:eastAsia="Calibri" w:hAnsi="Arial" w:cs="Arial"/>
          <w:bCs/>
          <w:iCs/>
          <w:sz w:val="24"/>
          <w:szCs w:val="24"/>
        </w:rPr>
        <w:t xml:space="preserve"> </w:t>
      </w:r>
      <w:r w:rsidRPr="00315335">
        <w:rPr>
          <w:rFonts w:ascii="Arial" w:eastAsia="Calibri" w:hAnsi="Arial" w:cs="Arial"/>
          <w:sz w:val="24"/>
          <w:szCs w:val="24"/>
        </w:rPr>
        <w:t>Valorile medii lunare de dozimetrie gamma</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87"/>
        <w:gridCol w:w="787"/>
        <w:gridCol w:w="787"/>
        <w:gridCol w:w="787"/>
        <w:gridCol w:w="788"/>
        <w:gridCol w:w="788"/>
        <w:gridCol w:w="788"/>
        <w:gridCol w:w="788"/>
        <w:gridCol w:w="788"/>
        <w:gridCol w:w="788"/>
        <w:gridCol w:w="788"/>
        <w:gridCol w:w="788"/>
      </w:tblGrid>
      <w:tr w:rsidR="00B95695" w:rsidRPr="00315335" w:rsidTr="00631723">
        <w:trPr>
          <w:trHeight w:val="326"/>
        </w:trPr>
        <w:tc>
          <w:tcPr>
            <w:tcW w:w="828" w:type="dxa"/>
            <w:shd w:val="clear" w:color="auto" w:fill="D9D9D9"/>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 xml:space="preserve">  UNA</w:t>
            </w:r>
          </w:p>
        </w:tc>
        <w:tc>
          <w:tcPr>
            <w:tcW w:w="787"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Ian</w:t>
            </w:r>
          </w:p>
        </w:tc>
        <w:tc>
          <w:tcPr>
            <w:tcW w:w="787"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Feb</w:t>
            </w:r>
          </w:p>
        </w:tc>
        <w:tc>
          <w:tcPr>
            <w:tcW w:w="787"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Mar</w:t>
            </w:r>
          </w:p>
        </w:tc>
        <w:tc>
          <w:tcPr>
            <w:tcW w:w="787"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Apr</w:t>
            </w:r>
          </w:p>
        </w:tc>
        <w:tc>
          <w:tcPr>
            <w:tcW w:w="788"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Mai</w:t>
            </w:r>
          </w:p>
        </w:tc>
        <w:tc>
          <w:tcPr>
            <w:tcW w:w="788"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Iun</w:t>
            </w:r>
          </w:p>
        </w:tc>
        <w:tc>
          <w:tcPr>
            <w:tcW w:w="788"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Iul</w:t>
            </w:r>
          </w:p>
        </w:tc>
        <w:tc>
          <w:tcPr>
            <w:tcW w:w="788"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Aug</w:t>
            </w:r>
          </w:p>
        </w:tc>
        <w:tc>
          <w:tcPr>
            <w:tcW w:w="788"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Sep</w:t>
            </w:r>
          </w:p>
        </w:tc>
        <w:tc>
          <w:tcPr>
            <w:tcW w:w="788"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Oct</w:t>
            </w:r>
          </w:p>
        </w:tc>
        <w:tc>
          <w:tcPr>
            <w:tcW w:w="788"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Nov</w:t>
            </w:r>
          </w:p>
        </w:tc>
        <w:tc>
          <w:tcPr>
            <w:tcW w:w="788" w:type="dxa"/>
            <w:shd w:val="clear" w:color="auto" w:fill="D9D9D9"/>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Dec</w:t>
            </w:r>
          </w:p>
        </w:tc>
      </w:tr>
      <w:tr w:rsidR="00B95695" w:rsidRPr="00315335" w:rsidTr="00631723">
        <w:trPr>
          <w:trHeight w:val="395"/>
        </w:trPr>
        <w:tc>
          <w:tcPr>
            <w:tcW w:w="828"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Medii lunare</w:t>
            </w:r>
          </w:p>
        </w:tc>
        <w:tc>
          <w:tcPr>
            <w:tcW w:w="787"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0,097</w:t>
            </w:r>
          </w:p>
        </w:tc>
        <w:tc>
          <w:tcPr>
            <w:tcW w:w="787"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0,098</w:t>
            </w:r>
          </w:p>
        </w:tc>
        <w:tc>
          <w:tcPr>
            <w:tcW w:w="0"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0,095</w:t>
            </w:r>
          </w:p>
        </w:tc>
        <w:tc>
          <w:tcPr>
            <w:tcW w:w="0"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0,097</w:t>
            </w:r>
          </w:p>
        </w:tc>
        <w:tc>
          <w:tcPr>
            <w:tcW w:w="0"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0,098</w:t>
            </w:r>
          </w:p>
        </w:tc>
        <w:tc>
          <w:tcPr>
            <w:tcW w:w="0"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0,099</w:t>
            </w:r>
          </w:p>
        </w:tc>
        <w:tc>
          <w:tcPr>
            <w:tcW w:w="0"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0,097</w:t>
            </w:r>
          </w:p>
        </w:tc>
        <w:tc>
          <w:tcPr>
            <w:tcW w:w="0"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0,098</w:t>
            </w:r>
          </w:p>
        </w:tc>
        <w:tc>
          <w:tcPr>
            <w:tcW w:w="0"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0,099</w:t>
            </w:r>
          </w:p>
        </w:tc>
        <w:tc>
          <w:tcPr>
            <w:tcW w:w="0"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0,099</w:t>
            </w:r>
          </w:p>
        </w:tc>
        <w:tc>
          <w:tcPr>
            <w:tcW w:w="788"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0,098</w:t>
            </w:r>
          </w:p>
        </w:tc>
        <w:tc>
          <w:tcPr>
            <w:tcW w:w="788" w:type="dxa"/>
            <w:vAlign w:val="center"/>
          </w:tcPr>
          <w:p w:rsidR="00B95695" w:rsidRPr="00315335" w:rsidRDefault="00B95695" w:rsidP="00631723">
            <w:pPr>
              <w:spacing w:after="0" w:line="240" w:lineRule="auto"/>
              <w:jc w:val="both"/>
              <w:rPr>
                <w:rFonts w:ascii="Arial" w:eastAsia="Calibri" w:hAnsi="Arial" w:cs="Arial"/>
              </w:rPr>
            </w:pPr>
            <w:r w:rsidRPr="00315335">
              <w:rPr>
                <w:rFonts w:ascii="Arial" w:eastAsia="Calibri" w:hAnsi="Arial" w:cs="Arial"/>
              </w:rPr>
              <w:t>0,097</w:t>
            </w:r>
          </w:p>
        </w:tc>
      </w:tr>
    </w:tbl>
    <w:p w:rsidR="00B95695" w:rsidRPr="00315335" w:rsidRDefault="00B95695" w:rsidP="00B95695">
      <w:pPr>
        <w:spacing w:after="0" w:line="240" w:lineRule="auto"/>
        <w:ind w:firstLine="708"/>
        <w:jc w:val="both"/>
        <w:rPr>
          <w:rFonts w:ascii="Arial" w:eastAsia="Times New Roman" w:hAnsi="Arial" w:cs="Arial"/>
          <w:sz w:val="24"/>
          <w:szCs w:val="24"/>
          <w:lang w:eastAsia="pl-PL"/>
        </w:rPr>
      </w:pPr>
    </w:p>
    <w:p w:rsidR="00B95695" w:rsidRPr="00315335" w:rsidRDefault="00B95695" w:rsidP="00B95695">
      <w:pPr>
        <w:spacing w:after="0" w:line="240" w:lineRule="auto"/>
        <w:ind w:firstLine="708"/>
        <w:jc w:val="both"/>
        <w:rPr>
          <w:rFonts w:ascii="Arial" w:eastAsia="Times New Roman" w:hAnsi="Arial" w:cs="Arial"/>
          <w:noProof/>
          <w:sz w:val="24"/>
          <w:szCs w:val="24"/>
          <w:lang w:val="pl-PL" w:eastAsia="pl-PL"/>
        </w:rPr>
      </w:pPr>
      <w:r w:rsidRPr="00315335">
        <w:rPr>
          <w:rFonts w:ascii="Arial" w:eastAsia="Times New Roman" w:hAnsi="Arial" w:cs="Arial"/>
          <w:sz w:val="24"/>
          <w:szCs w:val="24"/>
          <w:lang w:eastAsia="pl-PL"/>
        </w:rPr>
        <w:t xml:space="preserve">Valorile orare de dozimetrie gamma nu au prezentat depăşiri ale limitei de atenţionare de 0,250 </w:t>
      </w:r>
      <w:r w:rsidRPr="00315335">
        <w:rPr>
          <w:rFonts w:ascii="Arial" w:eastAsia="Times New Roman" w:hAnsi="Arial" w:cs="Arial"/>
          <w:sz w:val="24"/>
          <w:szCs w:val="24"/>
          <w:lang w:val="pl-PL" w:eastAsia="pl-PL"/>
        </w:rPr>
        <w:t>µS</w:t>
      </w:r>
      <w:r w:rsidR="00B60564">
        <w:rPr>
          <w:rFonts w:ascii="Arial" w:eastAsia="Times New Roman" w:hAnsi="Arial" w:cs="Arial"/>
          <w:sz w:val="24"/>
          <w:szCs w:val="24"/>
          <w:lang w:val="pl-PL" w:eastAsia="pl-PL"/>
        </w:rPr>
        <w:t>v</w:t>
      </w:r>
      <w:r w:rsidRPr="00315335">
        <w:rPr>
          <w:rFonts w:ascii="Arial" w:eastAsia="Times New Roman" w:hAnsi="Arial" w:cs="Arial"/>
          <w:sz w:val="24"/>
          <w:szCs w:val="24"/>
          <w:lang w:val="pl-PL" w:eastAsia="pl-PL"/>
        </w:rPr>
        <w:t>/h</w:t>
      </w:r>
      <w:r w:rsidRPr="00315335">
        <w:rPr>
          <w:rFonts w:ascii="Arial" w:eastAsia="Times New Roman" w:hAnsi="Arial" w:cs="Arial"/>
          <w:sz w:val="24"/>
          <w:szCs w:val="24"/>
          <w:lang w:eastAsia="pl-PL"/>
        </w:rPr>
        <w:t xml:space="preserve">, media anuală fiind de 0,098 </w:t>
      </w:r>
      <w:r w:rsidRPr="00315335">
        <w:rPr>
          <w:rFonts w:ascii="Arial" w:eastAsia="Times New Roman" w:hAnsi="Arial" w:cs="Arial"/>
          <w:sz w:val="24"/>
          <w:szCs w:val="24"/>
          <w:lang w:val="pl-PL" w:eastAsia="pl-PL"/>
        </w:rPr>
        <w:t>µS</w:t>
      </w:r>
      <w:r w:rsidR="00B60564">
        <w:rPr>
          <w:rFonts w:ascii="Arial" w:eastAsia="Times New Roman" w:hAnsi="Arial" w:cs="Arial"/>
          <w:sz w:val="24"/>
          <w:szCs w:val="24"/>
          <w:lang w:val="pl-PL" w:eastAsia="pl-PL"/>
        </w:rPr>
        <w:t>v</w:t>
      </w:r>
      <w:r w:rsidRPr="00315335">
        <w:rPr>
          <w:rFonts w:ascii="Arial" w:eastAsia="Times New Roman" w:hAnsi="Arial" w:cs="Arial"/>
          <w:sz w:val="24"/>
          <w:szCs w:val="24"/>
          <w:lang w:val="pl-PL" w:eastAsia="pl-PL"/>
        </w:rPr>
        <w:t>/h</w:t>
      </w:r>
      <w:r w:rsidRPr="00315335">
        <w:rPr>
          <w:rFonts w:ascii="Arial" w:eastAsia="Times New Roman" w:hAnsi="Arial" w:cs="Arial"/>
          <w:sz w:val="24"/>
          <w:szCs w:val="24"/>
          <w:lang w:eastAsia="pl-PL"/>
        </w:rPr>
        <w:t>.</w:t>
      </w:r>
    </w:p>
    <w:p w:rsidR="00B95695" w:rsidRPr="00315335" w:rsidRDefault="00B95695" w:rsidP="00B95695">
      <w:pPr>
        <w:ind w:firstLine="708"/>
        <w:jc w:val="both"/>
        <w:rPr>
          <w:rFonts w:ascii="Arial" w:eastAsia="Calibri" w:hAnsi="Arial" w:cs="Arial"/>
          <w:noProof/>
          <w:sz w:val="24"/>
          <w:szCs w:val="24"/>
        </w:rPr>
      </w:pPr>
    </w:p>
    <w:p w:rsidR="00B95695" w:rsidRPr="00315335" w:rsidRDefault="00B95695" w:rsidP="00B95695">
      <w:pPr>
        <w:ind w:firstLine="708"/>
        <w:jc w:val="both"/>
        <w:rPr>
          <w:rFonts w:ascii="Arial" w:eastAsia="Calibri" w:hAnsi="Arial" w:cs="Arial"/>
          <w:noProof/>
          <w:sz w:val="24"/>
          <w:szCs w:val="24"/>
        </w:rPr>
      </w:pPr>
      <w:r w:rsidRPr="00315335">
        <w:rPr>
          <w:rFonts w:ascii="Arial" w:eastAsia="Calibri" w:hAnsi="Arial" w:cs="Arial"/>
          <w:noProof/>
          <w:sz w:val="24"/>
          <w:szCs w:val="24"/>
        </w:rPr>
        <w:t xml:space="preserve">Variația mediilor și maximelor anuale ale debitului dozei gama înregistrate în ultimii cinci ani este prezentată </w:t>
      </w:r>
      <w:r w:rsidRPr="00315335">
        <w:rPr>
          <w:rFonts w:ascii="Arial" w:eastAsia="Calibri" w:hAnsi="Arial" w:cs="Arial"/>
          <w:b/>
          <w:noProof/>
          <w:sz w:val="24"/>
          <w:szCs w:val="24"/>
        </w:rPr>
        <w:t>în graficul IX.1.1.1</w:t>
      </w:r>
      <w:r w:rsidRPr="00315335">
        <w:rPr>
          <w:rFonts w:ascii="Arial" w:eastAsia="Calibri" w:hAnsi="Arial" w:cs="Arial"/>
          <w:noProof/>
          <w:sz w:val="24"/>
          <w:szCs w:val="24"/>
        </w:rPr>
        <w:t xml:space="preserve">, după cum urmează.     </w:t>
      </w:r>
    </w:p>
    <w:p w:rsidR="00B95695" w:rsidRPr="00315335" w:rsidRDefault="00B95695" w:rsidP="00B95695">
      <w:pPr>
        <w:ind w:firstLine="708"/>
        <w:jc w:val="both"/>
        <w:rPr>
          <w:rFonts w:ascii="Arial" w:eastAsia="Calibri" w:hAnsi="Arial" w:cs="Arial"/>
          <w:noProof/>
          <w:sz w:val="24"/>
          <w:szCs w:val="24"/>
        </w:rPr>
      </w:pPr>
      <w:r w:rsidRPr="00315335">
        <w:rPr>
          <w:rFonts w:ascii="Arial" w:eastAsia="Calibri" w:hAnsi="Arial" w:cs="Arial"/>
          <w:noProof/>
          <w:sz w:val="24"/>
          <w:szCs w:val="24"/>
        </w:rPr>
        <w:drawing>
          <wp:inline distT="0" distB="0" distL="0" distR="0" wp14:anchorId="61E4FD4A" wp14:editId="28D5F958">
            <wp:extent cx="5353050" cy="3714750"/>
            <wp:effectExtent l="19050" t="0" r="19050" b="0"/>
            <wp:docPr id="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B95695" w:rsidRPr="00315335" w:rsidRDefault="00B95695" w:rsidP="00B95695">
      <w:pPr>
        <w:ind w:firstLine="708"/>
        <w:jc w:val="both"/>
        <w:rPr>
          <w:rFonts w:ascii="Arial" w:eastAsia="Calibri" w:hAnsi="Arial" w:cs="Arial"/>
          <w:b/>
          <w:sz w:val="24"/>
          <w:szCs w:val="24"/>
        </w:rPr>
      </w:pPr>
      <w:r w:rsidRPr="00315335">
        <w:rPr>
          <w:rFonts w:ascii="Arial" w:eastAsia="Calibri" w:hAnsi="Arial" w:cs="Arial"/>
          <w:b/>
          <w:sz w:val="24"/>
          <w:szCs w:val="24"/>
        </w:rPr>
        <w:t>Figura IX.1.1.1</w:t>
      </w:r>
    </w:p>
    <w:p w:rsidR="00B95695" w:rsidRPr="00315335" w:rsidRDefault="00B95695" w:rsidP="00B95695">
      <w:pPr>
        <w:autoSpaceDE w:val="0"/>
        <w:autoSpaceDN w:val="0"/>
        <w:adjustRightInd w:val="0"/>
        <w:spacing w:after="0" w:line="240" w:lineRule="auto"/>
        <w:ind w:firstLine="708"/>
        <w:jc w:val="both"/>
        <w:rPr>
          <w:rFonts w:ascii="Arial" w:eastAsia="Calibri" w:hAnsi="Arial" w:cs="Arial"/>
          <w:sz w:val="24"/>
          <w:szCs w:val="24"/>
        </w:rPr>
      </w:pPr>
      <w:r w:rsidRPr="00315335">
        <w:rPr>
          <w:rFonts w:ascii="Arial" w:eastAsia="Calibri" w:hAnsi="Arial" w:cs="Arial"/>
          <w:sz w:val="24"/>
          <w:szCs w:val="24"/>
        </w:rPr>
        <w:t>Determinările efectuate în ultimii cinci ani au evidenţiat faptul că valoarea medie anuală a debitul dozei gama s-a menținut în același domeniu de variație.</w:t>
      </w:r>
    </w:p>
    <w:p w:rsidR="00B95695" w:rsidRPr="00315335" w:rsidRDefault="00B95695" w:rsidP="00B95695">
      <w:pPr>
        <w:spacing w:after="0" w:line="240" w:lineRule="auto"/>
        <w:jc w:val="both"/>
        <w:rPr>
          <w:rFonts w:ascii="Arial" w:eastAsia="Calibri" w:hAnsi="Arial" w:cs="Arial"/>
          <w:i/>
          <w:sz w:val="24"/>
          <w:szCs w:val="24"/>
        </w:rPr>
      </w:pPr>
      <w:r w:rsidRPr="00315335">
        <w:rPr>
          <w:rFonts w:ascii="Arial" w:eastAsia="Calibri" w:hAnsi="Arial" w:cs="Arial"/>
          <w:i/>
          <w:sz w:val="24"/>
          <w:szCs w:val="24"/>
        </w:rPr>
        <w:t>GLOSAR DE TERMENI</w:t>
      </w:r>
    </w:p>
    <w:p w:rsidR="00B95695" w:rsidRPr="00315335" w:rsidRDefault="00B95695" w:rsidP="00B95695">
      <w:pPr>
        <w:spacing w:after="0" w:line="240" w:lineRule="auto"/>
        <w:jc w:val="both"/>
        <w:rPr>
          <w:rFonts w:ascii="Arial" w:eastAsia="Calibri" w:hAnsi="Arial" w:cs="Arial"/>
          <w:sz w:val="24"/>
          <w:szCs w:val="24"/>
        </w:rPr>
      </w:pPr>
      <w:r w:rsidRPr="00315335">
        <w:rPr>
          <w:rFonts w:ascii="Arial" w:eastAsia="Calibri" w:hAnsi="Arial" w:cs="Arial"/>
          <w:b/>
          <w:sz w:val="24"/>
          <w:szCs w:val="24"/>
        </w:rPr>
        <w:tab/>
        <w:t>Doza absorbită</w:t>
      </w:r>
      <w:r w:rsidRPr="00315335">
        <w:rPr>
          <w:rFonts w:ascii="Arial" w:eastAsia="Calibri" w:hAnsi="Arial" w:cs="Arial"/>
          <w:sz w:val="24"/>
          <w:szCs w:val="24"/>
        </w:rPr>
        <w:t xml:space="preserve"> reprezintă energia cedată de radiaţia ionizantă unităţii de masă a substanţei prin care trece, unitatea de măsură fiind gray (Gy).</w:t>
      </w:r>
    </w:p>
    <w:p w:rsidR="00B95695" w:rsidRPr="00315335" w:rsidRDefault="00B95695" w:rsidP="00D638AC">
      <w:pPr>
        <w:spacing w:after="0" w:line="240" w:lineRule="auto"/>
        <w:jc w:val="both"/>
        <w:rPr>
          <w:rFonts w:ascii="Arial" w:hAnsi="Arial" w:cs="Arial"/>
          <w:b/>
          <w:sz w:val="24"/>
          <w:szCs w:val="24"/>
        </w:rPr>
      </w:pPr>
      <w:r w:rsidRPr="00315335">
        <w:rPr>
          <w:rFonts w:ascii="Arial" w:eastAsia="Calibri" w:hAnsi="Arial" w:cs="Arial"/>
          <w:b/>
          <w:sz w:val="24"/>
          <w:szCs w:val="24"/>
        </w:rPr>
        <w:tab/>
        <w:t>Doza echivalentă</w:t>
      </w:r>
      <w:r w:rsidRPr="00315335">
        <w:rPr>
          <w:rFonts w:ascii="Arial" w:eastAsia="Calibri" w:hAnsi="Arial" w:cs="Arial"/>
          <w:sz w:val="24"/>
          <w:szCs w:val="24"/>
        </w:rPr>
        <w:t xml:space="preserve"> constituie un indicator al riscului de expunere pentru un anumit ţesut la diferite radiaţii şi se defineşte ca fiind doza absorbită într-un ţesut supus la o radiaţie oarecare care produce acelaşi efect biologic ca o doză absorbită corespunzătoare unei radiaţii standard. Unitatea de măsură</w:t>
      </w:r>
      <w:r w:rsidRPr="00315335">
        <w:rPr>
          <w:rFonts w:ascii="Arial" w:eastAsia="Calibri" w:hAnsi="Arial" w:cs="Arial"/>
          <w:i/>
          <w:sz w:val="24"/>
          <w:szCs w:val="24"/>
        </w:rPr>
        <w:t xml:space="preserve"> este sievert. (Sv).</w:t>
      </w:r>
    </w:p>
    <w:p w:rsidR="00B95695" w:rsidRPr="00315335" w:rsidRDefault="00B95695" w:rsidP="00B95695">
      <w:pPr>
        <w:spacing w:after="0"/>
        <w:ind w:firstLine="720"/>
        <w:jc w:val="both"/>
        <w:rPr>
          <w:rFonts w:ascii="Arial" w:hAnsi="Arial" w:cs="Arial"/>
          <w:b/>
          <w:sz w:val="24"/>
          <w:szCs w:val="24"/>
        </w:rPr>
      </w:pPr>
      <w:r w:rsidRPr="00315335">
        <w:rPr>
          <w:rFonts w:ascii="Arial" w:hAnsi="Arial" w:cs="Arial"/>
          <w:b/>
          <w:sz w:val="24"/>
          <w:szCs w:val="24"/>
        </w:rPr>
        <w:t xml:space="preserve">IX.1.2. </w:t>
      </w:r>
      <w:r w:rsidRPr="00315335">
        <w:rPr>
          <w:rFonts w:ascii="Arial" w:hAnsi="Arial" w:cs="Arial"/>
          <w:b/>
          <w:i/>
          <w:sz w:val="24"/>
          <w:szCs w:val="24"/>
        </w:rPr>
        <w:t>Radioactivitatea apelor</w:t>
      </w:r>
      <w:r w:rsidRPr="00315335">
        <w:rPr>
          <w:rFonts w:ascii="Arial" w:hAnsi="Arial" w:cs="Arial"/>
          <w:b/>
          <w:sz w:val="24"/>
          <w:szCs w:val="24"/>
        </w:rPr>
        <w:t xml:space="preserve"> </w:t>
      </w:r>
    </w:p>
    <w:p w:rsidR="00B95695" w:rsidRPr="00315335" w:rsidRDefault="00B95695" w:rsidP="00B95695">
      <w:pPr>
        <w:ind w:firstLine="720"/>
        <w:jc w:val="both"/>
        <w:rPr>
          <w:rFonts w:ascii="Arial" w:hAnsi="Arial" w:cs="Arial"/>
          <w:sz w:val="24"/>
          <w:szCs w:val="24"/>
        </w:rPr>
      </w:pPr>
      <w:r w:rsidRPr="00315335">
        <w:rPr>
          <w:rFonts w:ascii="Arial" w:hAnsi="Arial" w:cs="Arial"/>
          <w:sz w:val="24"/>
          <w:szCs w:val="24"/>
        </w:rPr>
        <w:t>La nivelul județului Brăila nu este cazul.</w:t>
      </w:r>
    </w:p>
    <w:p w:rsidR="00B95695" w:rsidRPr="00315335" w:rsidRDefault="00B95695" w:rsidP="00B95695">
      <w:pPr>
        <w:ind w:firstLine="720"/>
        <w:jc w:val="both"/>
        <w:rPr>
          <w:rFonts w:ascii="Arial" w:hAnsi="Arial" w:cs="Arial"/>
          <w:b/>
          <w:sz w:val="24"/>
          <w:szCs w:val="24"/>
        </w:rPr>
      </w:pPr>
      <w:r w:rsidRPr="00315335">
        <w:rPr>
          <w:rFonts w:ascii="Arial" w:hAnsi="Arial" w:cs="Arial"/>
          <w:b/>
          <w:sz w:val="24"/>
          <w:szCs w:val="24"/>
        </w:rPr>
        <w:t xml:space="preserve">IX. 1.3. </w:t>
      </w:r>
      <w:r w:rsidRPr="00315335">
        <w:rPr>
          <w:rFonts w:ascii="Arial" w:hAnsi="Arial" w:cs="Arial"/>
          <w:b/>
          <w:i/>
          <w:sz w:val="24"/>
          <w:szCs w:val="24"/>
        </w:rPr>
        <w:t>Radioactivitatea solului</w:t>
      </w:r>
    </w:p>
    <w:p w:rsidR="00B95695" w:rsidRPr="00315335" w:rsidRDefault="00B95695" w:rsidP="00B95695">
      <w:pPr>
        <w:ind w:firstLine="720"/>
        <w:jc w:val="both"/>
        <w:rPr>
          <w:rFonts w:ascii="Arial" w:hAnsi="Arial" w:cs="Arial"/>
          <w:sz w:val="24"/>
          <w:szCs w:val="24"/>
        </w:rPr>
      </w:pPr>
      <w:r w:rsidRPr="00315335">
        <w:rPr>
          <w:rFonts w:ascii="Arial" w:hAnsi="Arial" w:cs="Arial"/>
          <w:sz w:val="24"/>
          <w:szCs w:val="24"/>
        </w:rPr>
        <w:t>La nivelul județului Brăila nu este cazul.</w:t>
      </w:r>
    </w:p>
    <w:p w:rsidR="00B95695" w:rsidRPr="00315335" w:rsidRDefault="00B95695" w:rsidP="00B95695">
      <w:pPr>
        <w:ind w:firstLine="720"/>
        <w:jc w:val="both"/>
        <w:rPr>
          <w:rFonts w:ascii="Arial" w:hAnsi="Arial" w:cs="Arial"/>
          <w:b/>
          <w:sz w:val="24"/>
          <w:szCs w:val="24"/>
        </w:rPr>
      </w:pPr>
      <w:r w:rsidRPr="00315335">
        <w:rPr>
          <w:rFonts w:ascii="Arial" w:hAnsi="Arial" w:cs="Arial"/>
          <w:b/>
          <w:sz w:val="24"/>
          <w:szCs w:val="24"/>
        </w:rPr>
        <w:t>IX. 1.4</w:t>
      </w:r>
      <w:r w:rsidRPr="00315335">
        <w:rPr>
          <w:rFonts w:ascii="Arial" w:hAnsi="Arial" w:cs="Arial"/>
          <w:b/>
          <w:i/>
          <w:sz w:val="24"/>
          <w:szCs w:val="24"/>
        </w:rPr>
        <w:t>. Radioactivitatea vegetației</w:t>
      </w:r>
    </w:p>
    <w:p w:rsidR="00B95695" w:rsidRPr="00315335" w:rsidRDefault="00B95695" w:rsidP="00B95695">
      <w:pPr>
        <w:ind w:firstLine="720"/>
        <w:jc w:val="both"/>
        <w:rPr>
          <w:rFonts w:ascii="Arial" w:hAnsi="Arial" w:cs="Arial"/>
          <w:sz w:val="24"/>
          <w:szCs w:val="24"/>
        </w:rPr>
      </w:pPr>
      <w:r w:rsidRPr="00315335">
        <w:rPr>
          <w:rFonts w:ascii="Arial" w:hAnsi="Arial" w:cs="Arial"/>
          <w:sz w:val="24"/>
          <w:szCs w:val="24"/>
        </w:rPr>
        <w:t>La nivelul județului Brăila nu este cazul.</w:t>
      </w:r>
    </w:p>
    <w:p w:rsidR="00B95695" w:rsidRPr="00315335" w:rsidRDefault="00B95695" w:rsidP="00B95695"/>
    <w:p w:rsidR="00B95695" w:rsidRPr="00315335" w:rsidRDefault="00B95695" w:rsidP="00B95695">
      <w:pPr>
        <w:spacing w:after="0" w:line="240" w:lineRule="auto"/>
        <w:rPr>
          <w:rFonts w:ascii="Arial" w:hAnsi="Arial" w:cs="Arial"/>
          <w:b/>
          <w:sz w:val="24"/>
          <w:szCs w:val="24"/>
        </w:rPr>
      </w:pPr>
      <w:r w:rsidRPr="00315335">
        <w:rPr>
          <w:rFonts w:ascii="Arial" w:hAnsi="Arial" w:cs="Arial"/>
          <w:b/>
          <w:sz w:val="24"/>
          <w:szCs w:val="24"/>
        </w:rPr>
        <w:t>X. CONSUMUL ȘI MEDIUL ÎNCONJURĂTOR</w:t>
      </w:r>
    </w:p>
    <w:p w:rsidR="00B95695" w:rsidRPr="00315335" w:rsidRDefault="00B95695" w:rsidP="00B95695">
      <w:pPr>
        <w:spacing w:after="0" w:line="240" w:lineRule="auto"/>
        <w:rPr>
          <w:rFonts w:ascii="Arial" w:hAnsi="Arial" w:cs="Arial"/>
          <w:b/>
          <w:sz w:val="24"/>
          <w:szCs w:val="24"/>
        </w:rPr>
      </w:pPr>
    </w:p>
    <w:p w:rsidR="00B95695" w:rsidRPr="00315335" w:rsidRDefault="00B95695" w:rsidP="00B95695">
      <w:pPr>
        <w:pStyle w:val="Default"/>
        <w:rPr>
          <w:rFonts w:ascii="Arial" w:hAnsi="Arial" w:cs="Arial"/>
          <w:b/>
          <w:color w:val="auto"/>
        </w:rPr>
      </w:pPr>
      <w:r w:rsidRPr="00315335">
        <w:rPr>
          <w:rFonts w:ascii="Arial" w:hAnsi="Arial" w:cs="Arial"/>
          <w:b/>
          <w:bCs/>
          <w:iCs/>
          <w:color w:val="auto"/>
        </w:rPr>
        <w:t xml:space="preserve">     X.1. Tendinţe în consum </w:t>
      </w:r>
      <w:r w:rsidRPr="00315335">
        <w:rPr>
          <w:rFonts w:ascii="Arial" w:hAnsi="Arial" w:cs="Arial"/>
          <w:b/>
          <w:color w:val="auto"/>
        </w:rPr>
        <w:t>la nivel judeţean</w:t>
      </w:r>
    </w:p>
    <w:p w:rsidR="00B95695" w:rsidRPr="00315335" w:rsidRDefault="00B95695" w:rsidP="00B95695">
      <w:pPr>
        <w:pStyle w:val="Default"/>
        <w:rPr>
          <w:rFonts w:ascii="Arial" w:hAnsi="Arial" w:cs="Arial"/>
          <w:b/>
          <w:bCs/>
          <w:color w:val="auto"/>
        </w:rPr>
      </w:pPr>
      <w:r w:rsidRPr="00315335">
        <w:rPr>
          <w:rFonts w:ascii="Arial" w:hAnsi="Arial" w:cs="Arial"/>
          <w:b/>
          <w:bCs/>
          <w:iCs/>
          <w:color w:val="auto"/>
        </w:rPr>
        <w:t xml:space="preserve">        X.1.1. </w:t>
      </w:r>
      <w:r w:rsidRPr="00315335">
        <w:rPr>
          <w:rFonts w:ascii="Arial" w:hAnsi="Arial" w:cs="Arial"/>
          <w:b/>
          <w:bCs/>
          <w:i/>
          <w:iCs/>
          <w:color w:val="auto"/>
        </w:rPr>
        <w:t>Alimente și băuturi</w:t>
      </w:r>
      <w:r w:rsidRPr="00315335">
        <w:rPr>
          <w:rFonts w:ascii="Arial" w:hAnsi="Arial" w:cs="Arial"/>
          <w:b/>
          <w:bCs/>
          <w:iCs/>
          <w:color w:val="auto"/>
        </w:rPr>
        <w:t xml:space="preserve"> – </w:t>
      </w:r>
      <w:r w:rsidRPr="00315335">
        <w:rPr>
          <w:rFonts w:ascii="Arial" w:hAnsi="Arial" w:cs="Arial"/>
          <w:bCs/>
          <w:iCs/>
          <w:color w:val="auto"/>
        </w:rPr>
        <w:t>nu sunt date statistice agregate de nivel județean           (Direcția Regională de Statistică Brăila)</w:t>
      </w:r>
    </w:p>
    <w:p w:rsidR="00B95695" w:rsidRPr="00315335" w:rsidRDefault="00B95695" w:rsidP="00B95695">
      <w:pPr>
        <w:pStyle w:val="Default"/>
        <w:rPr>
          <w:rFonts w:ascii="Arial" w:hAnsi="Arial" w:cs="Arial"/>
          <w:b/>
          <w:bCs/>
          <w:color w:val="auto"/>
        </w:rPr>
      </w:pPr>
      <w:r w:rsidRPr="00315335">
        <w:rPr>
          <w:rFonts w:ascii="Arial" w:hAnsi="Arial" w:cs="Arial"/>
          <w:b/>
          <w:bCs/>
          <w:color w:val="auto"/>
        </w:rPr>
        <w:t xml:space="preserve">       </w:t>
      </w:r>
    </w:p>
    <w:p w:rsidR="00B95695" w:rsidRPr="00315335" w:rsidRDefault="00B95695" w:rsidP="00B95695">
      <w:pPr>
        <w:pStyle w:val="Default"/>
        <w:rPr>
          <w:rFonts w:ascii="Arial" w:hAnsi="Arial" w:cs="Arial"/>
          <w:b/>
          <w:bCs/>
          <w:i/>
          <w:color w:val="auto"/>
          <w:u w:val="single"/>
        </w:rPr>
      </w:pPr>
      <w:r w:rsidRPr="00315335">
        <w:rPr>
          <w:rFonts w:ascii="Arial" w:hAnsi="Arial" w:cs="Arial"/>
          <w:b/>
          <w:bCs/>
          <w:color w:val="auto"/>
        </w:rPr>
        <w:t xml:space="preserve"> X.1.2</w:t>
      </w:r>
      <w:r w:rsidRPr="00315335">
        <w:rPr>
          <w:rFonts w:ascii="Arial" w:hAnsi="Arial" w:cs="Arial"/>
          <w:b/>
          <w:bCs/>
          <w:i/>
          <w:color w:val="auto"/>
        </w:rPr>
        <w:t>. Locuințe</w:t>
      </w:r>
    </w:p>
    <w:p w:rsidR="00B95695" w:rsidRPr="00315335" w:rsidRDefault="00B95695" w:rsidP="00B95695">
      <w:pPr>
        <w:pStyle w:val="Default"/>
        <w:rPr>
          <w:rFonts w:ascii="Arial" w:hAnsi="Arial" w:cs="Arial"/>
          <w:b/>
          <w:bCs/>
          <w:iCs/>
          <w:color w:val="auto"/>
          <w:u w:val="single"/>
        </w:rPr>
      </w:pPr>
      <w:r w:rsidRPr="00315335">
        <w:rPr>
          <w:rFonts w:ascii="Arial" w:hAnsi="Arial" w:cs="Arial"/>
          <w:b/>
          <w:color w:val="auto"/>
        </w:rPr>
        <w:t xml:space="preserve">        Număr mediu de persoane pe locuință</w:t>
      </w:r>
      <w:r w:rsidRPr="00315335">
        <w:rPr>
          <w:rFonts w:ascii="Arial" w:hAnsi="Arial" w:cs="Arial"/>
          <w:b/>
          <w:iCs/>
          <w:color w:val="auto"/>
        </w:rPr>
        <w:t>(persoane/gospodărie) în județul Brăila</w:t>
      </w:r>
    </w:p>
    <w:p w:rsidR="00B95695" w:rsidRPr="00315335" w:rsidRDefault="00B95695" w:rsidP="00B95695">
      <w:pPr>
        <w:pStyle w:val="Default"/>
        <w:rPr>
          <w:rFonts w:ascii="Arial" w:hAnsi="Arial" w:cs="Arial"/>
          <w:b/>
          <w:bCs/>
          <w:color w:val="auto"/>
        </w:rPr>
      </w:pPr>
    </w:p>
    <w:p w:rsidR="00B95695" w:rsidRPr="00315335" w:rsidRDefault="00B95695" w:rsidP="00B95695">
      <w:pPr>
        <w:pStyle w:val="Default"/>
        <w:rPr>
          <w:rFonts w:ascii="Arial" w:hAnsi="Arial" w:cs="Arial"/>
          <w:bCs/>
          <w:color w:val="auto"/>
        </w:rPr>
      </w:pPr>
      <w:r w:rsidRPr="00315335">
        <w:rPr>
          <w:rFonts w:ascii="Arial" w:hAnsi="Arial" w:cs="Arial"/>
          <w:b/>
          <w:bCs/>
          <w:color w:val="auto"/>
        </w:rPr>
        <w:t xml:space="preserve">Tabelul nr. X.1.2. -1 </w:t>
      </w:r>
      <w:r w:rsidRPr="00315335">
        <w:rPr>
          <w:rFonts w:ascii="Arial" w:hAnsi="Arial" w:cs="Arial"/>
          <w:color w:val="auto"/>
          <w:lang w:val="es-ES"/>
        </w:rPr>
        <w:t xml:space="preserve">Locuinţe existente </w:t>
      </w:r>
      <w:r w:rsidRPr="00315335">
        <w:rPr>
          <w:rFonts w:ascii="Arial" w:hAnsi="Arial" w:cs="Arial"/>
          <w:color w:val="auto"/>
          <w:lang w:val="it-IT"/>
        </w:rPr>
        <w:t xml:space="preserve">pe medii </w:t>
      </w:r>
      <w:r w:rsidRPr="00315335">
        <w:rPr>
          <w:rFonts w:ascii="Arial" w:hAnsi="Arial" w:cs="Arial"/>
          <w:color w:val="auto"/>
        </w:rPr>
        <w:t>în perioada 2014 – 2018</w:t>
      </w:r>
    </w:p>
    <w:p w:rsidR="00B95695" w:rsidRPr="00315335" w:rsidRDefault="00B95695" w:rsidP="00B95695">
      <w:pPr>
        <w:spacing w:after="0" w:line="240" w:lineRule="auto"/>
        <w:rPr>
          <w:rFonts w:ascii="Arial" w:hAnsi="Arial" w:cs="Arial"/>
          <w:sz w:val="24"/>
          <w:szCs w:val="24"/>
        </w:rPr>
      </w:pPr>
      <w:r w:rsidRPr="00315335">
        <w:rPr>
          <w:rFonts w:ascii="Arial" w:hAnsi="Arial" w:cs="Arial"/>
          <w:bCs/>
          <w:sz w:val="24"/>
          <w:szCs w:val="24"/>
        </w:rPr>
        <w:t xml:space="preserve">               Număr locuințe</w:t>
      </w:r>
    </w:p>
    <w:tbl>
      <w:tblPr>
        <w:tblW w:w="7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1123"/>
        <w:gridCol w:w="1123"/>
        <w:gridCol w:w="1123"/>
        <w:gridCol w:w="1041"/>
        <w:gridCol w:w="1041"/>
      </w:tblGrid>
      <w:tr w:rsidR="00B95695" w:rsidRPr="00315335" w:rsidTr="00631723">
        <w:trPr>
          <w:trHeight w:val="246"/>
          <w:jc w:val="center"/>
        </w:trPr>
        <w:tc>
          <w:tcPr>
            <w:tcW w:w="1991" w:type="dxa"/>
            <w:shd w:val="clear" w:color="auto" w:fill="F2DBDB" w:themeFill="accent2" w:themeFillTint="33"/>
            <w:noWrap/>
            <w:vAlign w:val="center"/>
          </w:tcPr>
          <w:p w:rsidR="00B95695" w:rsidRPr="00315335" w:rsidRDefault="00B95695" w:rsidP="00631723">
            <w:pPr>
              <w:spacing w:after="0" w:line="240" w:lineRule="auto"/>
              <w:rPr>
                <w:rFonts w:ascii="Arial" w:hAnsi="Arial" w:cs="Arial"/>
                <w:sz w:val="24"/>
                <w:szCs w:val="24"/>
                <w:lang w:val="it-IT"/>
              </w:rPr>
            </w:pPr>
            <w:r w:rsidRPr="00315335">
              <w:rPr>
                <w:rFonts w:ascii="Arial" w:hAnsi="Arial" w:cs="Arial"/>
                <w:b/>
                <w:bCs/>
                <w:sz w:val="24"/>
                <w:szCs w:val="24"/>
              </w:rPr>
              <w:t>Judeţul Brăila</w:t>
            </w:r>
          </w:p>
        </w:tc>
        <w:tc>
          <w:tcPr>
            <w:tcW w:w="1123" w:type="dxa"/>
            <w:shd w:val="clear" w:color="auto" w:fill="F2DBDB" w:themeFill="accent2" w:themeFillTint="33"/>
            <w:noWrap/>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2014</w:t>
            </w:r>
          </w:p>
        </w:tc>
        <w:tc>
          <w:tcPr>
            <w:tcW w:w="1123" w:type="dxa"/>
            <w:shd w:val="clear" w:color="auto" w:fill="F2DBDB" w:themeFill="accent2" w:themeFillTint="33"/>
            <w:noWrap/>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2015</w:t>
            </w:r>
          </w:p>
        </w:tc>
        <w:tc>
          <w:tcPr>
            <w:tcW w:w="1123" w:type="dxa"/>
            <w:shd w:val="clear" w:color="auto" w:fill="F2DBDB" w:themeFill="accent2" w:themeFillTint="33"/>
            <w:noWrap/>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2016</w:t>
            </w:r>
          </w:p>
        </w:tc>
        <w:tc>
          <w:tcPr>
            <w:tcW w:w="1041" w:type="dxa"/>
            <w:shd w:val="clear" w:color="auto" w:fill="F2DBDB" w:themeFill="accent2" w:themeFillTint="33"/>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2017</w:t>
            </w:r>
          </w:p>
        </w:tc>
        <w:tc>
          <w:tcPr>
            <w:tcW w:w="1041" w:type="dxa"/>
            <w:shd w:val="clear" w:color="auto" w:fill="F2DBDB" w:themeFill="accent2" w:themeFillTint="33"/>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2018*</w:t>
            </w:r>
          </w:p>
        </w:tc>
      </w:tr>
      <w:tr w:rsidR="00B95695" w:rsidRPr="00315335" w:rsidTr="00631723">
        <w:trPr>
          <w:trHeight w:val="300"/>
          <w:jc w:val="center"/>
        </w:trPr>
        <w:tc>
          <w:tcPr>
            <w:tcW w:w="1991" w:type="dxa"/>
            <w:shd w:val="clear" w:color="auto" w:fill="DAEEF3" w:themeFill="accent5" w:themeFillTint="33"/>
            <w:noWrap/>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 xml:space="preserve">Total </w:t>
            </w:r>
          </w:p>
        </w:tc>
        <w:tc>
          <w:tcPr>
            <w:tcW w:w="1123" w:type="dxa"/>
            <w:shd w:val="clear" w:color="auto" w:fill="DAEEF3" w:themeFill="accent5" w:themeFillTint="33"/>
            <w:noWrap/>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137698</w:t>
            </w:r>
          </w:p>
        </w:tc>
        <w:tc>
          <w:tcPr>
            <w:tcW w:w="1123" w:type="dxa"/>
            <w:shd w:val="clear" w:color="auto" w:fill="DAEEF3" w:themeFill="accent5" w:themeFillTint="33"/>
            <w:noWrap/>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137883</w:t>
            </w:r>
          </w:p>
        </w:tc>
        <w:tc>
          <w:tcPr>
            <w:tcW w:w="1123" w:type="dxa"/>
            <w:shd w:val="clear" w:color="auto" w:fill="DAEEF3" w:themeFill="accent5" w:themeFillTint="33"/>
            <w:noWrap/>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138072</w:t>
            </w:r>
          </w:p>
        </w:tc>
        <w:tc>
          <w:tcPr>
            <w:tcW w:w="1041" w:type="dxa"/>
            <w:shd w:val="clear" w:color="auto" w:fill="DAEEF3" w:themeFill="accent5"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138397</w:t>
            </w:r>
          </w:p>
        </w:tc>
        <w:tc>
          <w:tcPr>
            <w:tcW w:w="1041" w:type="dxa"/>
            <w:shd w:val="clear" w:color="auto" w:fill="DAEEF3" w:themeFill="accent5"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138574</w:t>
            </w:r>
          </w:p>
        </w:tc>
      </w:tr>
      <w:tr w:rsidR="00B95695" w:rsidRPr="00315335" w:rsidTr="00631723">
        <w:trPr>
          <w:trHeight w:val="300"/>
          <w:jc w:val="center"/>
        </w:trPr>
        <w:tc>
          <w:tcPr>
            <w:tcW w:w="1991" w:type="dxa"/>
            <w:shd w:val="clear" w:color="auto" w:fill="DAEEF3" w:themeFill="accent5" w:themeFillTint="33"/>
            <w:noWrap/>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Urban</w:t>
            </w:r>
          </w:p>
        </w:tc>
        <w:tc>
          <w:tcPr>
            <w:tcW w:w="1123" w:type="dxa"/>
            <w:shd w:val="clear" w:color="auto" w:fill="DAEEF3" w:themeFill="accent5" w:themeFillTint="33"/>
            <w:noWrap/>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87500</w:t>
            </w:r>
          </w:p>
        </w:tc>
        <w:tc>
          <w:tcPr>
            <w:tcW w:w="1123" w:type="dxa"/>
            <w:shd w:val="clear" w:color="auto" w:fill="DAEEF3" w:themeFill="accent5" w:themeFillTint="33"/>
            <w:noWrap/>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87539</w:t>
            </w:r>
          </w:p>
        </w:tc>
        <w:tc>
          <w:tcPr>
            <w:tcW w:w="1123" w:type="dxa"/>
            <w:shd w:val="clear" w:color="auto" w:fill="DAEEF3" w:themeFill="accent5" w:themeFillTint="33"/>
            <w:noWrap/>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87578</w:t>
            </w:r>
          </w:p>
        </w:tc>
        <w:tc>
          <w:tcPr>
            <w:tcW w:w="1041" w:type="dxa"/>
            <w:shd w:val="clear" w:color="auto" w:fill="DAEEF3" w:themeFill="accent5"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87799</w:t>
            </w:r>
          </w:p>
        </w:tc>
        <w:tc>
          <w:tcPr>
            <w:tcW w:w="1041" w:type="dxa"/>
            <w:shd w:val="clear" w:color="auto" w:fill="DAEEF3" w:themeFill="accent5"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87883</w:t>
            </w:r>
          </w:p>
        </w:tc>
      </w:tr>
      <w:tr w:rsidR="00B95695" w:rsidRPr="00315335" w:rsidTr="00631723">
        <w:trPr>
          <w:trHeight w:val="300"/>
          <w:jc w:val="center"/>
        </w:trPr>
        <w:tc>
          <w:tcPr>
            <w:tcW w:w="1991" w:type="dxa"/>
            <w:shd w:val="clear" w:color="auto" w:fill="DAEEF3" w:themeFill="accent5" w:themeFillTint="33"/>
            <w:noWrap/>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Rural</w:t>
            </w:r>
          </w:p>
        </w:tc>
        <w:tc>
          <w:tcPr>
            <w:tcW w:w="1123" w:type="dxa"/>
            <w:shd w:val="clear" w:color="auto" w:fill="DAEEF3" w:themeFill="accent5" w:themeFillTint="33"/>
            <w:noWrap/>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50198</w:t>
            </w:r>
          </w:p>
        </w:tc>
        <w:tc>
          <w:tcPr>
            <w:tcW w:w="1123" w:type="dxa"/>
            <w:shd w:val="clear" w:color="auto" w:fill="DAEEF3" w:themeFill="accent5" w:themeFillTint="33"/>
            <w:noWrap/>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50344</w:t>
            </w:r>
          </w:p>
        </w:tc>
        <w:tc>
          <w:tcPr>
            <w:tcW w:w="1123" w:type="dxa"/>
            <w:shd w:val="clear" w:color="auto" w:fill="DAEEF3" w:themeFill="accent5" w:themeFillTint="33"/>
            <w:noWrap/>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50494</w:t>
            </w:r>
          </w:p>
        </w:tc>
        <w:tc>
          <w:tcPr>
            <w:tcW w:w="1041" w:type="dxa"/>
            <w:shd w:val="clear" w:color="auto" w:fill="DAEEF3" w:themeFill="accent5"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50598</w:t>
            </w:r>
          </w:p>
        </w:tc>
        <w:tc>
          <w:tcPr>
            <w:tcW w:w="1041" w:type="dxa"/>
            <w:shd w:val="clear" w:color="auto" w:fill="DAEEF3" w:themeFill="accent5"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50691</w:t>
            </w:r>
          </w:p>
        </w:tc>
      </w:tr>
    </w:tbl>
    <w:p w:rsidR="00B95695" w:rsidRPr="00315335" w:rsidRDefault="00B95695" w:rsidP="00B95695">
      <w:pPr>
        <w:rPr>
          <w:rFonts w:ascii="Arial" w:hAnsi="Arial" w:cs="Arial"/>
          <w:bCs/>
          <w:sz w:val="20"/>
          <w:szCs w:val="20"/>
        </w:rPr>
      </w:pPr>
      <w:r w:rsidRPr="00315335">
        <w:rPr>
          <w:rFonts w:ascii="Arial" w:hAnsi="Arial" w:cs="Arial"/>
          <w:bCs/>
          <w:sz w:val="20"/>
          <w:szCs w:val="20"/>
        </w:rPr>
        <w:t xml:space="preserve">         *Date provizorii  Notă: Informații furnizate de către Direcția Regională de Statistică Brăila</w:t>
      </w:r>
    </w:p>
    <w:p w:rsidR="00B95695" w:rsidRPr="00315335" w:rsidRDefault="00B95695" w:rsidP="00B95695">
      <w:pPr>
        <w:spacing w:after="0" w:line="240" w:lineRule="auto"/>
        <w:rPr>
          <w:rFonts w:ascii="Arial" w:hAnsi="Arial" w:cs="Arial"/>
          <w:b/>
          <w:bCs/>
          <w:iCs/>
          <w:sz w:val="24"/>
          <w:szCs w:val="24"/>
          <w:u w:val="single"/>
        </w:rPr>
      </w:pPr>
      <w:r w:rsidRPr="00315335">
        <w:rPr>
          <w:rFonts w:ascii="Arial" w:hAnsi="Arial" w:cs="Arial"/>
          <w:b/>
          <w:bCs/>
          <w:sz w:val="24"/>
          <w:szCs w:val="24"/>
        </w:rPr>
        <w:t xml:space="preserve">Tabelul nr. X.1.2.- 2  </w:t>
      </w:r>
      <w:r w:rsidRPr="00315335">
        <w:rPr>
          <w:rFonts w:ascii="Arial" w:hAnsi="Arial" w:cs="Arial"/>
          <w:sz w:val="24"/>
          <w:szCs w:val="24"/>
          <w:lang w:val="it-IT"/>
        </w:rPr>
        <w:t xml:space="preserve">Populaţia după domiciliu, pe medii </w:t>
      </w:r>
      <w:r w:rsidRPr="00315335">
        <w:rPr>
          <w:rFonts w:ascii="Arial" w:hAnsi="Arial" w:cs="Arial"/>
          <w:sz w:val="24"/>
          <w:szCs w:val="24"/>
        </w:rPr>
        <w:t>în perioada 2014 – 2018*(la 01.07.2018)</w:t>
      </w:r>
    </w:p>
    <w:p w:rsidR="00B95695" w:rsidRPr="00315335" w:rsidRDefault="00B95695" w:rsidP="00B95695">
      <w:pPr>
        <w:spacing w:after="0" w:line="240" w:lineRule="auto"/>
        <w:rPr>
          <w:rFonts w:ascii="Arial" w:hAnsi="Arial" w:cs="Arial"/>
          <w:sz w:val="24"/>
          <w:szCs w:val="24"/>
        </w:rPr>
      </w:pPr>
      <w:r w:rsidRPr="00315335">
        <w:rPr>
          <w:rFonts w:ascii="Arial" w:hAnsi="Arial" w:cs="Arial"/>
          <w:bCs/>
          <w:sz w:val="24"/>
          <w:szCs w:val="24"/>
        </w:rPr>
        <w:t xml:space="preserve">                       Număr persoane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1084"/>
        <w:gridCol w:w="1133"/>
        <w:gridCol w:w="1133"/>
        <w:gridCol w:w="1084"/>
        <w:gridCol w:w="1084"/>
      </w:tblGrid>
      <w:tr w:rsidR="00B95695" w:rsidRPr="00315335" w:rsidTr="00631723">
        <w:trPr>
          <w:trHeight w:val="397"/>
          <w:jc w:val="center"/>
        </w:trPr>
        <w:tc>
          <w:tcPr>
            <w:tcW w:w="2013"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Judeţul Brăila</w:t>
            </w:r>
          </w:p>
        </w:tc>
        <w:tc>
          <w:tcPr>
            <w:tcW w:w="1084"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2014</w:t>
            </w:r>
          </w:p>
        </w:tc>
        <w:tc>
          <w:tcPr>
            <w:tcW w:w="1133"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2015</w:t>
            </w:r>
          </w:p>
        </w:tc>
        <w:tc>
          <w:tcPr>
            <w:tcW w:w="1133"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2016</w:t>
            </w:r>
          </w:p>
        </w:tc>
        <w:tc>
          <w:tcPr>
            <w:tcW w:w="1084"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2017</w:t>
            </w:r>
          </w:p>
        </w:tc>
        <w:tc>
          <w:tcPr>
            <w:tcW w:w="1084"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2018</w:t>
            </w:r>
          </w:p>
        </w:tc>
      </w:tr>
      <w:tr w:rsidR="00B95695" w:rsidRPr="00315335" w:rsidTr="00631723">
        <w:trPr>
          <w:trHeight w:val="300"/>
          <w:jc w:val="center"/>
        </w:trPr>
        <w:tc>
          <w:tcPr>
            <w:tcW w:w="2013" w:type="dxa"/>
            <w:shd w:val="clear" w:color="auto" w:fill="EAF1DD" w:themeFill="accent3"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Total populaţie</w:t>
            </w:r>
          </w:p>
        </w:tc>
        <w:tc>
          <w:tcPr>
            <w:tcW w:w="1084" w:type="dxa"/>
            <w:shd w:val="clear" w:color="auto" w:fill="EAF1DD" w:themeFill="accent3" w:themeFillTint="33"/>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361.218</w:t>
            </w:r>
          </w:p>
        </w:tc>
        <w:tc>
          <w:tcPr>
            <w:tcW w:w="1133" w:type="dxa"/>
            <w:shd w:val="clear" w:color="auto" w:fill="EAF1DD" w:themeFill="accent3" w:themeFillTint="33"/>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357.752</w:t>
            </w:r>
          </w:p>
        </w:tc>
        <w:tc>
          <w:tcPr>
            <w:tcW w:w="1133" w:type="dxa"/>
            <w:shd w:val="clear" w:color="auto" w:fill="EAF1DD" w:themeFill="accent3" w:themeFillTint="33"/>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354.275</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352.910</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346773</w:t>
            </w:r>
          </w:p>
        </w:tc>
      </w:tr>
      <w:tr w:rsidR="00B95695" w:rsidRPr="00315335" w:rsidTr="00631723">
        <w:trPr>
          <w:trHeight w:val="300"/>
          <w:jc w:val="center"/>
        </w:trPr>
        <w:tc>
          <w:tcPr>
            <w:tcW w:w="2013" w:type="dxa"/>
            <w:shd w:val="clear" w:color="auto" w:fill="EAF1DD" w:themeFill="accent3"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Urban</w:t>
            </w:r>
          </w:p>
        </w:tc>
        <w:tc>
          <w:tcPr>
            <w:tcW w:w="1084" w:type="dxa"/>
            <w:shd w:val="clear" w:color="auto" w:fill="EAF1DD" w:themeFill="accent3"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236.557</w:t>
            </w:r>
          </w:p>
        </w:tc>
        <w:tc>
          <w:tcPr>
            <w:tcW w:w="1133" w:type="dxa"/>
            <w:shd w:val="clear" w:color="auto" w:fill="EAF1DD" w:themeFill="accent3"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234.055</w:t>
            </w:r>
          </w:p>
        </w:tc>
        <w:tc>
          <w:tcPr>
            <w:tcW w:w="1133"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231.312</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230.259</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225578</w:t>
            </w:r>
          </w:p>
        </w:tc>
      </w:tr>
      <w:tr w:rsidR="00B95695" w:rsidRPr="00315335" w:rsidTr="00631723">
        <w:trPr>
          <w:trHeight w:val="300"/>
          <w:jc w:val="center"/>
        </w:trPr>
        <w:tc>
          <w:tcPr>
            <w:tcW w:w="2013" w:type="dxa"/>
            <w:shd w:val="clear" w:color="auto" w:fill="EAF1DD" w:themeFill="accent3"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Rural</w:t>
            </w:r>
          </w:p>
        </w:tc>
        <w:tc>
          <w:tcPr>
            <w:tcW w:w="1084" w:type="dxa"/>
            <w:shd w:val="clear" w:color="auto" w:fill="EAF1DD" w:themeFill="accent3"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124.661</w:t>
            </w:r>
          </w:p>
        </w:tc>
        <w:tc>
          <w:tcPr>
            <w:tcW w:w="1133" w:type="dxa"/>
            <w:shd w:val="clear" w:color="auto" w:fill="EAF1DD" w:themeFill="accent3"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123.697</w:t>
            </w:r>
          </w:p>
        </w:tc>
        <w:tc>
          <w:tcPr>
            <w:tcW w:w="1133"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122.963</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122.651</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121195</w:t>
            </w:r>
          </w:p>
        </w:tc>
      </w:tr>
    </w:tbl>
    <w:p w:rsidR="00B95695" w:rsidRPr="00315335" w:rsidRDefault="00B95695" w:rsidP="00B95695">
      <w:pPr>
        <w:spacing w:after="0" w:line="240" w:lineRule="auto"/>
        <w:rPr>
          <w:rFonts w:ascii="Arial" w:hAnsi="Arial" w:cs="Arial"/>
          <w:bCs/>
          <w:sz w:val="20"/>
          <w:szCs w:val="20"/>
        </w:rPr>
      </w:pPr>
      <w:r w:rsidRPr="00315335">
        <w:rPr>
          <w:rFonts w:ascii="Arial" w:hAnsi="Arial" w:cs="Arial"/>
          <w:bCs/>
          <w:sz w:val="20"/>
          <w:szCs w:val="20"/>
        </w:rPr>
        <w:t xml:space="preserve">                *Date provizorii   Notă: Informații furnizate de către Direcția Regională de Statistică Brăila</w:t>
      </w:r>
    </w:p>
    <w:p w:rsidR="00B95695" w:rsidRPr="00315335" w:rsidRDefault="00B95695" w:rsidP="00B95695">
      <w:pPr>
        <w:spacing w:after="0" w:line="240" w:lineRule="auto"/>
        <w:rPr>
          <w:rFonts w:ascii="Arial" w:hAnsi="Arial" w:cs="Arial"/>
          <w:b/>
          <w:bCs/>
          <w:sz w:val="20"/>
          <w:szCs w:val="20"/>
        </w:rPr>
      </w:pPr>
    </w:p>
    <w:p w:rsidR="00B95695" w:rsidRPr="00315335" w:rsidRDefault="00B95695" w:rsidP="00B95695">
      <w:pPr>
        <w:spacing w:after="0" w:line="240" w:lineRule="auto"/>
        <w:rPr>
          <w:rFonts w:ascii="Arial" w:hAnsi="Arial" w:cs="Arial"/>
          <w:sz w:val="24"/>
          <w:szCs w:val="24"/>
        </w:rPr>
      </w:pPr>
      <w:r w:rsidRPr="00315335">
        <w:rPr>
          <w:rFonts w:ascii="Arial" w:hAnsi="Arial" w:cs="Arial"/>
          <w:b/>
          <w:bCs/>
          <w:sz w:val="24"/>
          <w:szCs w:val="24"/>
        </w:rPr>
        <w:t xml:space="preserve">Tabelul nr. X.1.2.- 3  </w:t>
      </w:r>
      <w:r w:rsidRPr="00315335">
        <w:rPr>
          <w:rFonts w:ascii="Arial" w:hAnsi="Arial" w:cs="Arial"/>
          <w:sz w:val="24"/>
          <w:szCs w:val="24"/>
        </w:rPr>
        <w:t>Populaţia totală stabilă raportată la numărul total de locuinţe, la nivelul  județului Brăila, pentru perioada 2014 – 2018</w:t>
      </w:r>
    </w:p>
    <w:p w:rsidR="00B95695" w:rsidRPr="00315335" w:rsidRDefault="00B95695" w:rsidP="00B95695">
      <w:pPr>
        <w:spacing w:after="0" w:line="240" w:lineRule="auto"/>
        <w:rPr>
          <w:rFonts w:ascii="Arial" w:hAnsi="Arial" w:cs="Arial"/>
          <w:sz w:val="24"/>
          <w:szCs w:val="24"/>
        </w:rPr>
      </w:pPr>
      <w:r w:rsidRPr="00315335">
        <w:rPr>
          <w:rFonts w:ascii="Arial" w:hAnsi="Arial" w:cs="Arial"/>
          <w:sz w:val="24"/>
          <w:szCs w:val="24"/>
        </w:rPr>
        <w:t xml:space="preserve">                      Număr persoane/gospodărie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3"/>
        <w:gridCol w:w="847"/>
        <w:gridCol w:w="775"/>
        <w:gridCol w:w="775"/>
        <w:gridCol w:w="751"/>
        <w:gridCol w:w="751"/>
      </w:tblGrid>
      <w:tr w:rsidR="00B95695" w:rsidRPr="00315335" w:rsidTr="00631723">
        <w:trPr>
          <w:jc w:val="center"/>
        </w:trPr>
        <w:tc>
          <w:tcPr>
            <w:tcW w:w="3393" w:type="dxa"/>
            <w:shd w:val="clear" w:color="auto" w:fill="F2DBDB" w:themeFill="accent2" w:themeFillTint="33"/>
            <w:vAlign w:val="center"/>
          </w:tcPr>
          <w:p w:rsidR="00B95695" w:rsidRPr="00315335" w:rsidRDefault="00B95695" w:rsidP="00631723">
            <w:pPr>
              <w:pStyle w:val="Default"/>
              <w:rPr>
                <w:rFonts w:ascii="Arial" w:hAnsi="Arial" w:cs="Arial"/>
                <w:b/>
                <w:iCs/>
                <w:color w:val="auto"/>
              </w:rPr>
            </w:pPr>
            <w:r w:rsidRPr="00315335">
              <w:rPr>
                <w:rFonts w:ascii="Arial" w:hAnsi="Arial" w:cs="Arial"/>
                <w:b/>
                <w:iCs/>
                <w:color w:val="auto"/>
              </w:rPr>
              <w:t>JudețulBrăila</w:t>
            </w:r>
          </w:p>
        </w:tc>
        <w:tc>
          <w:tcPr>
            <w:tcW w:w="847" w:type="dxa"/>
            <w:shd w:val="clear" w:color="auto" w:fill="F2DBDB" w:themeFill="accent2" w:themeFillTint="33"/>
            <w:vAlign w:val="center"/>
          </w:tcPr>
          <w:p w:rsidR="00B95695" w:rsidRPr="00315335" w:rsidRDefault="00B95695" w:rsidP="00631723">
            <w:pPr>
              <w:pStyle w:val="Default"/>
              <w:rPr>
                <w:rFonts w:ascii="Arial" w:hAnsi="Arial" w:cs="Arial"/>
                <w:b/>
                <w:iCs/>
                <w:color w:val="auto"/>
              </w:rPr>
            </w:pPr>
            <w:r w:rsidRPr="00315335">
              <w:rPr>
                <w:rFonts w:ascii="Arial" w:hAnsi="Arial" w:cs="Arial"/>
                <w:b/>
                <w:iCs/>
                <w:color w:val="auto"/>
              </w:rPr>
              <w:t>2014</w:t>
            </w:r>
          </w:p>
        </w:tc>
        <w:tc>
          <w:tcPr>
            <w:tcW w:w="775" w:type="dxa"/>
            <w:shd w:val="clear" w:color="auto" w:fill="F2DBDB" w:themeFill="accent2" w:themeFillTint="33"/>
            <w:vAlign w:val="center"/>
          </w:tcPr>
          <w:p w:rsidR="00B95695" w:rsidRPr="00315335" w:rsidRDefault="00B95695" w:rsidP="00631723">
            <w:pPr>
              <w:pStyle w:val="Default"/>
              <w:rPr>
                <w:rFonts w:ascii="Arial" w:hAnsi="Arial" w:cs="Arial"/>
                <w:b/>
                <w:iCs/>
                <w:color w:val="auto"/>
              </w:rPr>
            </w:pPr>
            <w:r w:rsidRPr="00315335">
              <w:rPr>
                <w:rFonts w:ascii="Arial" w:hAnsi="Arial" w:cs="Arial"/>
                <w:b/>
                <w:iCs/>
                <w:color w:val="auto"/>
              </w:rPr>
              <w:t>2015</w:t>
            </w:r>
          </w:p>
        </w:tc>
        <w:tc>
          <w:tcPr>
            <w:tcW w:w="775" w:type="dxa"/>
            <w:shd w:val="clear" w:color="auto" w:fill="F2DBDB" w:themeFill="accent2" w:themeFillTint="33"/>
          </w:tcPr>
          <w:p w:rsidR="00B95695" w:rsidRPr="00315335" w:rsidRDefault="00B95695" w:rsidP="00631723">
            <w:pPr>
              <w:pStyle w:val="Default"/>
              <w:rPr>
                <w:rFonts w:ascii="Arial" w:hAnsi="Arial" w:cs="Arial"/>
                <w:b/>
                <w:iCs/>
                <w:color w:val="auto"/>
              </w:rPr>
            </w:pPr>
            <w:r w:rsidRPr="00315335">
              <w:rPr>
                <w:rFonts w:ascii="Arial" w:hAnsi="Arial" w:cs="Arial"/>
                <w:b/>
                <w:iCs/>
                <w:color w:val="auto"/>
              </w:rPr>
              <w:t>2016</w:t>
            </w:r>
          </w:p>
        </w:tc>
        <w:tc>
          <w:tcPr>
            <w:tcW w:w="751" w:type="dxa"/>
            <w:shd w:val="clear" w:color="auto" w:fill="F2DBDB" w:themeFill="accent2" w:themeFillTint="33"/>
          </w:tcPr>
          <w:p w:rsidR="00B95695" w:rsidRPr="00315335" w:rsidRDefault="00B95695" w:rsidP="00631723">
            <w:pPr>
              <w:pStyle w:val="Default"/>
              <w:rPr>
                <w:rFonts w:ascii="Arial" w:hAnsi="Arial" w:cs="Arial"/>
                <w:b/>
                <w:iCs/>
                <w:color w:val="auto"/>
              </w:rPr>
            </w:pPr>
            <w:r w:rsidRPr="00315335">
              <w:rPr>
                <w:rFonts w:ascii="Arial" w:hAnsi="Arial" w:cs="Arial"/>
                <w:b/>
                <w:iCs/>
                <w:color w:val="auto"/>
              </w:rPr>
              <w:t>2017</w:t>
            </w:r>
          </w:p>
        </w:tc>
        <w:tc>
          <w:tcPr>
            <w:tcW w:w="751" w:type="dxa"/>
            <w:shd w:val="clear" w:color="auto" w:fill="F2DBDB" w:themeFill="accent2" w:themeFillTint="33"/>
          </w:tcPr>
          <w:p w:rsidR="00B95695" w:rsidRPr="00315335" w:rsidRDefault="00B95695" w:rsidP="00631723">
            <w:pPr>
              <w:pStyle w:val="Default"/>
              <w:rPr>
                <w:rFonts w:ascii="Arial" w:hAnsi="Arial" w:cs="Arial"/>
                <w:b/>
                <w:iCs/>
                <w:color w:val="auto"/>
              </w:rPr>
            </w:pPr>
            <w:r w:rsidRPr="00315335">
              <w:rPr>
                <w:rFonts w:ascii="Arial" w:hAnsi="Arial" w:cs="Arial"/>
                <w:b/>
                <w:iCs/>
                <w:color w:val="auto"/>
              </w:rPr>
              <w:t>2018</w:t>
            </w:r>
          </w:p>
        </w:tc>
      </w:tr>
      <w:tr w:rsidR="00B95695" w:rsidRPr="00315335" w:rsidTr="00631723">
        <w:trPr>
          <w:jc w:val="center"/>
        </w:trPr>
        <w:tc>
          <w:tcPr>
            <w:tcW w:w="3393"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Total populațiestabilă/Total gospodării din care</w:t>
            </w:r>
          </w:p>
        </w:tc>
        <w:tc>
          <w:tcPr>
            <w:tcW w:w="847"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2,62</w:t>
            </w:r>
          </w:p>
        </w:tc>
        <w:tc>
          <w:tcPr>
            <w:tcW w:w="775"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2,59</w:t>
            </w:r>
          </w:p>
        </w:tc>
        <w:tc>
          <w:tcPr>
            <w:tcW w:w="775"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2,57</w:t>
            </w:r>
          </w:p>
        </w:tc>
        <w:tc>
          <w:tcPr>
            <w:tcW w:w="751"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2,54</w:t>
            </w:r>
          </w:p>
        </w:tc>
        <w:tc>
          <w:tcPr>
            <w:tcW w:w="751"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2,50</w:t>
            </w:r>
          </w:p>
        </w:tc>
      </w:tr>
      <w:tr w:rsidR="00B95695" w:rsidRPr="00315335" w:rsidTr="00631723">
        <w:trPr>
          <w:jc w:val="center"/>
        </w:trPr>
        <w:tc>
          <w:tcPr>
            <w:tcW w:w="3393"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Total populațiestabilă/Total gospodării Urban</w:t>
            </w:r>
          </w:p>
        </w:tc>
        <w:tc>
          <w:tcPr>
            <w:tcW w:w="847"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2,70</w:t>
            </w:r>
          </w:p>
        </w:tc>
        <w:tc>
          <w:tcPr>
            <w:tcW w:w="775"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2,67</w:t>
            </w:r>
          </w:p>
        </w:tc>
        <w:tc>
          <w:tcPr>
            <w:tcW w:w="775"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2,64</w:t>
            </w:r>
          </w:p>
        </w:tc>
        <w:tc>
          <w:tcPr>
            <w:tcW w:w="751"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2,62</w:t>
            </w:r>
          </w:p>
        </w:tc>
        <w:tc>
          <w:tcPr>
            <w:tcW w:w="751"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2,56</w:t>
            </w:r>
          </w:p>
        </w:tc>
      </w:tr>
      <w:tr w:rsidR="00B95695" w:rsidRPr="00315335" w:rsidTr="00631723">
        <w:trPr>
          <w:jc w:val="center"/>
        </w:trPr>
        <w:tc>
          <w:tcPr>
            <w:tcW w:w="3393"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Total populațiestabilă/Total gospodării Rural</w:t>
            </w:r>
          </w:p>
        </w:tc>
        <w:tc>
          <w:tcPr>
            <w:tcW w:w="847"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2,48</w:t>
            </w:r>
          </w:p>
        </w:tc>
        <w:tc>
          <w:tcPr>
            <w:tcW w:w="775"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2,45</w:t>
            </w:r>
          </w:p>
        </w:tc>
        <w:tc>
          <w:tcPr>
            <w:tcW w:w="775"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2,44</w:t>
            </w:r>
          </w:p>
        </w:tc>
        <w:tc>
          <w:tcPr>
            <w:tcW w:w="751"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2,42</w:t>
            </w:r>
          </w:p>
        </w:tc>
        <w:tc>
          <w:tcPr>
            <w:tcW w:w="751" w:type="dxa"/>
            <w:shd w:val="clear" w:color="auto" w:fill="E5DFEC" w:themeFill="accent4" w:themeFillTint="33"/>
            <w:vAlign w:val="center"/>
          </w:tcPr>
          <w:p w:rsidR="00B95695" w:rsidRPr="00315335" w:rsidRDefault="00B95695" w:rsidP="00631723">
            <w:pPr>
              <w:pStyle w:val="Default"/>
              <w:rPr>
                <w:rFonts w:ascii="Arial" w:hAnsi="Arial" w:cs="Arial"/>
                <w:iCs/>
                <w:color w:val="auto"/>
              </w:rPr>
            </w:pPr>
            <w:r w:rsidRPr="00315335">
              <w:rPr>
                <w:rFonts w:ascii="Arial" w:hAnsi="Arial" w:cs="Arial"/>
                <w:iCs/>
                <w:color w:val="auto"/>
              </w:rPr>
              <w:t>2,39</w:t>
            </w:r>
          </w:p>
        </w:tc>
      </w:tr>
    </w:tbl>
    <w:p w:rsidR="00B95695" w:rsidRPr="00315335" w:rsidRDefault="00B95695" w:rsidP="00B95695">
      <w:pPr>
        <w:spacing w:after="0" w:line="240" w:lineRule="auto"/>
        <w:rPr>
          <w:rFonts w:ascii="Arial" w:hAnsi="Arial" w:cs="Arial"/>
          <w:b/>
          <w:bCs/>
          <w:sz w:val="20"/>
          <w:szCs w:val="20"/>
        </w:rPr>
      </w:pPr>
      <w:r w:rsidRPr="00315335">
        <w:rPr>
          <w:rFonts w:ascii="Arial" w:hAnsi="Arial" w:cs="Arial"/>
          <w:bCs/>
          <w:sz w:val="20"/>
          <w:szCs w:val="20"/>
        </w:rPr>
        <w:t xml:space="preserve">                 Notă: Informații furnizate de către Direcția Regională de Statistică Brăila</w:t>
      </w:r>
    </w:p>
    <w:p w:rsidR="00B95695" w:rsidRPr="00315335" w:rsidRDefault="00B95695" w:rsidP="00B95695">
      <w:pPr>
        <w:spacing w:after="0" w:line="240" w:lineRule="auto"/>
      </w:pPr>
    </w:p>
    <w:p w:rsidR="00B95695" w:rsidRPr="00315335" w:rsidRDefault="00B95695" w:rsidP="00B95695">
      <w:pPr>
        <w:spacing w:after="0" w:line="240" w:lineRule="auto"/>
        <w:jc w:val="center"/>
      </w:pPr>
      <w:r w:rsidRPr="00315335">
        <w:rPr>
          <w:rFonts w:ascii="Arial" w:hAnsi="Arial" w:cs="Arial"/>
          <w:noProof/>
          <w:sz w:val="24"/>
          <w:szCs w:val="24"/>
          <w:shd w:val="clear" w:color="auto" w:fill="FFFF00"/>
        </w:rPr>
        <w:drawing>
          <wp:inline distT="0" distB="0" distL="0" distR="0" wp14:anchorId="33CB694E" wp14:editId="1D93A1FD">
            <wp:extent cx="5667375" cy="2552700"/>
            <wp:effectExtent l="0" t="0" r="9525" b="0"/>
            <wp:docPr id="10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B95695" w:rsidRPr="00315335" w:rsidRDefault="00B95695" w:rsidP="00B95695">
      <w:pPr>
        <w:pStyle w:val="Default"/>
        <w:rPr>
          <w:rFonts w:ascii="Arial" w:hAnsi="Arial" w:cs="Arial"/>
          <w:b/>
          <w:bCs/>
          <w:i/>
          <w:iCs/>
          <w:color w:val="auto"/>
        </w:rPr>
      </w:pPr>
    </w:p>
    <w:p w:rsidR="00B95695" w:rsidRPr="00315335" w:rsidRDefault="00B95695" w:rsidP="00B95695">
      <w:pPr>
        <w:pStyle w:val="Default"/>
        <w:rPr>
          <w:rFonts w:ascii="Arial" w:hAnsi="Arial" w:cs="Arial"/>
          <w:b/>
          <w:bCs/>
          <w:i/>
          <w:iCs/>
          <w:color w:val="auto"/>
        </w:rPr>
      </w:pPr>
    </w:p>
    <w:p w:rsidR="00B95695" w:rsidRPr="00315335" w:rsidRDefault="00B95695" w:rsidP="00B95695">
      <w:pPr>
        <w:pStyle w:val="Default"/>
        <w:tabs>
          <w:tab w:val="left" w:pos="7575"/>
        </w:tabs>
        <w:rPr>
          <w:rFonts w:ascii="Arial" w:hAnsi="Arial" w:cs="Arial"/>
          <w:b/>
          <w:bCs/>
          <w:i/>
          <w:iCs/>
          <w:color w:val="auto"/>
        </w:rPr>
      </w:pPr>
      <w:r w:rsidRPr="00315335">
        <w:rPr>
          <w:rFonts w:ascii="Arial" w:hAnsi="Arial" w:cs="Arial"/>
          <w:b/>
          <w:bCs/>
          <w:i/>
          <w:iCs/>
          <w:color w:val="auto"/>
        </w:rPr>
        <w:t>X.1.3. Mobilitate</w:t>
      </w:r>
      <w:r w:rsidRPr="00315335">
        <w:rPr>
          <w:rFonts w:ascii="Arial" w:hAnsi="Arial" w:cs="Arial"/>
          <w:b/>
          <w:bCs/>
          <w:i/>
          <w:iCs/>
          <w:color w:val="auto"/>
        </w:rPr>
        <w:tab/>
      </w:r>
    </w:p>
    <w:p w:rsidR="00B95695" w:rsidRPr="00315335" w:rsidRDefault="00B95695" w:rsidP="00B95695">
      <w:pPr>
        <w:pStyle w:val="Default"/>
        <w:rPr>
          <w:rFonts w:ascii="Arial" w:hAnsi="Arial" w:cs="Arial"/>
          <w:b/>
          <w:bCs/>
          <w:i/>
          <w:iCs/>
          <w:color w:val="auto"/>
          <w:u w:val="single"/>
        </w:rPr>
      </w:pPr>
    </w:p>
    <w:p w:rsidR="00B95695" w:rsidRPr="00315335" w:rsidRDefault="00B95695" w:rsidP="00B95695">
      <w:pPr>
        <w:pStyle w:val="Default"/>
        <w:rPr>
          <w:rFonts w:ascii="Arial" w:hAnsi="Arial" w:cs="Arial"/>
          <w:b/>
          <w:bCs/>
          <w:iCs/>
          <w:color w:val="auto"/>
          <w:u w:val="single"/>
        </w:rPr>
      </w:pPr>
      <w:r w:rsidRPr="00315335">
        <w:rPr>
          <w:rFonts w:ascii="Arial" w:hAnsi="Arial" w:cs="Arial"/>
          <w:b/>
          <w:bCs/>
          <w:iCs/>
          <w:color w:val="auto"/>
        </w:rPr>
        <w:tab/>
        <w:t>XI.1.3.1. Transportul de pasageri</w:t>
      </w:r>
    </w:p>
    <w:p w:rsidR="00B95695" w:rsidRPr="00315335" w:rsidRDefault="00B95695" w:rsidP="00B95695">
      <w:pPr>
        <w:pStyle w:val="Default"/>
        <w:jc w:val="both"/>
        <w:rPr>
          <w:rFonts w:ascii="Arial" w:hAnsi="Arial" w:cs="Arial"/>
          <w:b/>
          <w:color w:val="auto"/>
        </w:rPr>
      </w:pPr>
      <w:r w:rsidRPr="00315335">
        <w:rPr>
          <w:rFonts w:ascii="Arial" w:hAnsi="Arial" w:cs="Arial"/>
          <w:b/>
          <w:color w:val="auto"/>
        </w:rPr>
        <w:t xml:space="preserve">Tabelul nr. X.1.3.1. - 1 </w:t>
      </w:r>
      <w:r w:rsidRPr="00315335">
        <w:rPr>
          <w:rFonts w:ascii="Arial" w:hAnsi="Arial" w:cs="Arial"/>
          <w:color w:val="auto"/>
          <w:lang w:val="pt-BR"/>
        </w:rPr>
        <w:t xml:space="preserve">Numărul vehiculelor în inventar pentru transport public local  de pasageri, </w:t>
      </w:r>
      <w:r w:rsidRPr="00315335">
        <w:rPr>
          <w:rFonts w:ascii="Arial" w:hAnsi="Arial" w:cs="Arial"/>
          <w:color w:val="auto"/>
        </w:rPr>
        <w:t>pe tipuri de vehicule pentru perioada 2014 – 2018:</w:t>
      </w:r>
    </w:p>
    <w:p w:rsidR="00B95695" w:rsidRPr="00315335" w:rsidRDefault="00B95695" w:rsidP="00B95695">
      <w:pPr>
        <w:pStyle w:val="Listparagraf"/>
        <w:ind w:left="0"/>
        <w:rPr>
          <w:rFonts w:ascii="Arial" w:hAnsi="Arial" w:cs="Arial"/>
        </w:rPr>
      </w:pPr>
      <w:r w:rsidRPr="00315335">
        <w:rPr>
          <w:rFonts w:ascii="Arial" w:hAnsi="Arial" w:cs="Arial"/>
          <w:bCs/>
        </w:rPr>
        <w:t xml:space="preserve">                                                                                                           număr</w:t>
      </w:r>
    </w:p>
    <w:tbl>
      <w:tblPr>
        <w:tblW w:w="6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3"/>
        <w:gridCol w:w="750"/>
        <w:gridCol w:w="750"/>
        <w:gridCol w:w="836"/>
        <w:gridCol w:w="750"/>
        <w:gridCol w:w="832"/>
      </w:tblGrid>
      <w:tr w:rsidR="00B95695" w:rsidRPr="00315335" w:rsidTr="00631723">
        <w:trPr>
          <w:trHeight w:val="511"/>
          <w:jc w:val="center"/>
        </w:trPr>
        <w:tc>
          <w:tcPr>
            <w:tcW w:w="2933"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Judeţul Brăila</w:t>
            </w:r>
          </w:p>
        </w:tc>
        <w:tc>
          <w:tcPr>
            <w:tcW w:w="750"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2014</w:t>
            </w:r>
          </w:p>
        </w:tc>
        <w:tc>
          <w:tcPr>
            <w:tcW w:w="750"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2015</w:t>
            </w:r>
          </w:p>
        </w:tc>
        <w:tc>
          <w:tcPr>
            <w:tcW w:w="836"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2016</w:t>
            </w:r>
          </w:p>
        </w:tc>
        <w:tc>
          <w:tcPr>
            <w:tcW w:w="750"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2017</w:t>
            </w:r>
          </w:p>
        </w:tc>
        <w:tc>
          <w:tcPr>
            <w:tcW w:w="832"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2018</w:t>
            </w:r>
          </w:p>
        </w:tc>
      </w:tr>
      <w:tr w:rsidR="00B95695" w:rsidRPr="00315335" w:rsidTr="00631723">
        <w:trPr>
          <w:trHeight w:val="300"/>
          <w:jc w:val="center"/>
        </w:trPr>
        <w:tc>
          <w:tcPr>
            <w:tcW w:w="2933"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Tramvaie</w:t>
            </w:r>
          </w:p>
        </w:tc>
        <w:tc>
          <w:tcPr>
            <w:tcW w:w="750"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31</w:t>
            </w:r>
          </w:p>
        </w:tc>
        <w:tc>
          <w:tcPr>
            <w:tcW w:w="750"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31</w:t>
            </w:r>
          </w:p>
        </w:tc>
        <w:tc>
          <w:tcPr>
            <w:tcW w:w="836"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38</w:t>
            </w:r>
          </w:p>
        </w:tc>
        <w:tc>
          <w:tcPr>
            <w:tcW w:w="750"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30</w:t>
            </w:r>
          </w:p>
        </w:tc>
        <w:tc>
          <w:tcPr>
            <w:tcW w:w="832"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30</w:t>
            </w:r>
          </w:p>
        </w:tc>
      </w:tr>
      <w:tr w:rsidR="00B95695" w:rsidRPr="00315335" w:rsidTr="00631723">
        <w:trPr>
          <w:trHeight w:val="300"/>
          <w:jc w:val="center"/>
        </w:trPr>
        <w:tc>
          <w:tcPr>
            <w:tcW w:w="2933"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Autobuze si microbuze</w:t>
            </w:r>
          </w:p>
        </w:tc>
        <w:tc>
          <w:tcPr>
            <w:tcW w:w="750"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178</w:t>
            </w:r>
          </w:p>
        </w:tc>
        <w:tc>
          <w:tcPr>
            <w:tcW w:w="750"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176</w:t>
            </w:r>
          </w:p>
        </w:tc>
        <w:tc>
          <w:tcPr>
            <w:tcW w:w="836"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135</w:t>
            </w:r>
          </w:p>
        </w:tc>
        <w:tc>
          <w:tcPr>
            <w:tcW w:w="750"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144</w:t>
            </w:r>
          </w:p>
        </w:tc>
        <w:tc>
          <w:tcPr>
            <w:tcW w:w="832"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103</w:t>
            </w:r>
          </w:p>
        </w:tc>
      </w:tr>
    </w:tbl>
    <w:p w:rsidR="00B95695" w:rsidRPr="00315335" w:rsidRDefault="00B95695" w:rsidP="00B95695">
      <w:pPr>
        <w:spacing w:after="0" w:line="240" w:lineRule="auto"/>
        <w:rPr>
          <w:rFonts w:ascii="Arial" w:hAnsi="Arial" w:cs="Arial"/>
          <w:b/>
          <w:bCs/>
          <w:sz w:val="20"/>
          <w:szCs w:val="20"/>
        </w:rPr>
      </w:pPr>
      <w:r w:rsidRPr="00315335">
        <w:rPr>
          <w:rFonts w:ascii="Arial" w:hAnsi="Arial" w:cs="Arial"/>
          <w:bCs/>
          <w:sz w:val="20"/>
          <w:szCs w:val="20"/>
        </w:rPr>
        <w:t xml:space="preserve">                      Notă: Informații furnizate de către Direcția Regională de Statistică Brăila</w:t>
      </w:r>
    </w:p>
    <w:p w:rsidR="00B95695" w:rsidRPr="00315335" w:rsidRDefault="00B95695" w:rsidP="00B95695">
      <w:pPr>
        <w:pStyle w:val="Default"/>
        <w:rPr>
          <w:rFonts w:ascii="Arial" w:hAnsi="Arial" w:cs="Arial"/>
          <w:b/>
          <w:color w:val="auto"/>
        </w:rPr>
      </w:pPr>
    </w:p>
    <w:p w:rsidR="00B95695" w:rsidRPr="00315335" w:rsidRDefault="00B95695" w:rsidP="00B95695">
      <w:pPr>
        <w:pStyle w:val="Default"/>
        <w:jc w:val="center"/>
        <w:rPr>
          <w:rFonts w:ascii="Arial" w:hAnsi="Arial" w:cs="Arial"/>
          <w:b/>
          <w:color w:val="auto"/>
        </w:rPr>
      </w:pPr>
      <w:r w:rsidRPr="00315335">
        <w:rPr>
          <w:rFonts w:ascii="Arial" w:hAnsi="Arial" w:cs="Arial"/>
          <w:b/>
          <w:noProof/>
          <w:color w:val="auto"/>
          <w:lang w:val="ro-RO" w:eastAsia="ro-RO"/>
        </w:rPr>
        <w:drawing>
          <wp:inline distT="0" distB="0" distL="0" distR="0" wp14:anchorId="43BA39C8" wp14:editId="5A478373">
            <wp:extent cx="4986670" cy="2264734"/>
            <wp:effectExtent l="0" t="0" r="4445" b="2540"/>
            <wp:docPr id="10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B95695" w:rsidRPr="00315335" w:rsidRDefault="00B95695" w:rsidP="00B95695">
      <w:pPr>
        <w:pStyle w:val="Default"/>
        <w:rPr>
          <w:rFonts w:ascii="Arial" w:hAnsi="Arial" w:cs="Arial"/>
          <w:b/>
          <w:color w:val="auto"/>
        </w:rPr>
      </w:pPr>
    </w:p>
    <w:p w:rsidR="00B95695" w:rsidRPr="00315335" w:rsidRDefault="00B95695" w:rsidP="00B95695">
      <w:pPr>
        <w:pStyle w:val="Default"/>
        <w:jc w:val="both"/>
        <w:rPr>
          <w:rFonts w:ascii="Arial" w:hAnsi="Arial" w:cs="Arial"/>
          <w:b/>
          <w:iCs/>
          <w:color w:val="auto"/>
        </w:rPr>
      </w:pPr>
      <w:r w:rsidRPr="00315335">
        <w:rPr>
          <w:rFonts w:ascii="Arial" w:hAnsi="Arial" w:cs="Arial"/>
          <w:b/>
          <w:color w:val="auto"/>
        </w:rPr>
        <w:t>Utilizarea transportului în comun</w:t>
      </w:r>
      <w:r w:rsidRPr="00315335">
        <w:rPr>
          <w:rFonts w:ascii="Arial" w:hAnsi="Arial" w:cs="Arial"/>
          <w:b/>
          <w:iCs/>
          <w:color w:val="auto"/>
        </w:rPr>
        <w:t>(mii pasageri) /(mii pasageri/km) la nivelul județului Brăila pentru perioada 2014 - 2018:</w:t>
      </w:r>
    </w:p>
    <w:p w:rsidR="00B95695" w:rsidRPr="00315335" w:rsidRDefault="00B95695" w:rsidP="00B95695">
      <w:pPr>
        <w:pStyle w:val="Default"/>
        <w:rPr>
          <w:rFonts w:ascii="Arial" w:hAnsi="Arial" w:cs="Arial"/>
          <w:b/>
          <w:iCs/>
          <w:color w:val="auto"/>
        </w:rPr>
      </w:pPr>
    </w:p>
    <w:p w:rsidR="00B95695" w:rsidRPr="00315335" w:rsidRDefault="00B95695" w:rsidP="00B95695">
      <w:pPr>
        <w:pStyle w:val="Default"/>
        <w:rPr>
          <w:rFonts w:ascii="Arial" w:hAnsi="Arial" w:cs="Arial"/>
          <w:color w:val="auto"/>
        </w:rPr>
      </w:pPr>
      <w:r w:rsidRPr="00315335">
        <w:rPr>
          <w:rFonts w:ascii="Arial" w:hAnsi="Arial" w:cs="Arial"/>
          <w:b/>
          <w:color w:val="auto"/>
        </w:rPr>
        <w:t xml:space="preserve">Tabelul nr. X.1.3.1.- 2 </w:t>
      </w:r>
      <w:r w:rsidRPr="00315335">
        <w:rPr>
          <w:rFonts w:ascii="Arial" w:hAnsi="Arial" w:cs="Arial"/>
          <w:color w:val="auto"/>
        </w:rPr>
        <w:t>Numărul pasagerilor transportaţi în transportul public local, pe tipuri de vehicule:</w:t>
      </w:r>
    </w:p>
    <w:p w:rsidR="00B95695" w:rsidRPr="00315335" w:rsidRDefault="00B95695" w:rsidP="00B95695">
      <w:pPr>
        <w:pStyle w:val="Default"/>
        <w:rPr>
          <w:rFonts w:ascii="Arial" w:hAnsi="Arial" w:cs="Arial"/>
          <w:color w:val="auto"/>
        </w:rPr>
      </w:pPr>
    </w:p>
    <w:tbl>
      <w:tblPr>
        <w:tblW w:w="7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218"/>
        <w:gridCol w:w="1179"/>
        <w:gridCol w:w="1218"/>
        <w:gridCol w:w="1218"/>
        <w:gridCol w:w="1175"/>
      </w:tblGrid>
      <w:tr w:rsidR="00B95695" w:rsidRPr="00315335" w:rsidTr="00631723">
        <w:trPr>
          <w:trHeight w:val="601"/>
          <w:jc w:val="center"/>
        </w:trPr>
        <w:tc>
          <w:tcPr>
            <w:tcW w:w="1814" w:type="dxa"/>
            <w:shd w:val="clear" w:color="auto" w:fill="FBD4B4" w:themeFill="accent6" w:themeFillTint="66"/>
            <w:vAlign w:val="center"/>
          </w:tcPr>
          <w:p w:rsidR="00B95695" w:rsidRPr="00315335" w:rsidRDefault="00B95695" w:rsidP="00631723">
            <w:pPr>
              <w:spacing w:after="0" w:line="240" w:lineRule="auto"/>
              <w:jc w:val="center"/>
              <w:rPr>
                <w:rFonts w:ascii="Arial" w:hAnsi="Arial" w:cs="Arial"/>
                <w:b/>
                <w:bCs/>
                <w:sz w:val="24"/>
                <w:szCs w:val="24"/>
              </w:rPr>
            </w:pPr>
            <w:r w:rsidRPr="00315335">
              <w:rPr>
                <w:rFonts w:ascii="Arial" w:hAnsi="Arial" w:cs="Arial"/>
                <w:b/>
                <w:bCs/>
                <w:sz w:val="24"/>
                <w:szCs w:val="24"/>
              </w:rPr>
              <w:t>Judeţul Brăila</w:t>
            </w:r>
          </w:p>
        </w:tc>
        <w:tc>
          <w:tcPr>
            <w:tcW w:w="1216" w:type="dxa"/>
            <w:shd w:val="clear" w:color="auto" w:fill="FBD4B4" w:themeFill="accent6" w:themeFillTint="66"/>
            <w:vAlign w:val="center"/>
          </w:tcPr>
          <w:p w:rsidR="00B95695" w:rsidRPr="00315335" w:rsidRDefault="00B95695" w:rsidP="00631723">
            <w:pPr>
              <w:spacing w:after="0" w:line="240" w:lineRule="auto"/>
              <w:jc w:val="center"/>
              <w:rPr>
                <w:rFonts w:ascii="Arial" w:hAnsi="Arial" w:cs="Arial"/>
                <w:b/>
                <w:bCs/>
                <w:sz w:val="24"/>
                <w:szCs w:val="24"/>
              </w:rPr>
            </w:pPr>
            <w:r w:rsidRPr="00315335">
              <w:rPr>
                <w:rFonts w:ascii="Arial" w:hAnsi="Arial" w:cs="Arial"/>
                <w:b/>
                <w:bCs/>
                <w:sz w:val="24"/>
                <w:szCs w:val="24"/>
              </w:rPr>
              <w:t>2014</w:t>
            </w:r>
          </w:p>
        </w:tc>
        <w:tc>
          <w:tcPr>
            <w:tcW w:w="1213" w:type="dxa"/>
            <w:shd w:val="clear" w:color="auto" w:fill="FBD4B4" w:themeFill="accent6" w:themeFillTint="66"/>
            <w:vAlign w:val="center"/>
          </w:tcPr>
          <w:p w:rsidR="00B95695" w:rsidRPr="00315335" w:rsidRDefault="00B95695" w:rsidP="00631723">
            <w:pPr>
              <w:spacing w:after="0" w:line="240" w:lineRule="auto"/>
              <w:jc w:val="center"/>
              <w:rPr>
                <w:rFonts w:ascii="Arial" w:hAnsi="Arial" w:cs="Arial"/>
                <w:b/>
                <w:bCs/>
                <w:sz w:val="24"/>
                <w:szCs w:val="24"/>
              </w:rPr>
            </w:pPr>
            <w:r w:rsidRPr="00315335">
              <w:rPr>
                <w:rFonts w:ascii="Arial" w:hAnsi="Arial" w:cs="Arial"/>
                <w:b/>
                <w:bCs/>
                <w:sz w:val="24"/>
                <w:szCs w:val="24"/>
              </w:rPr>
              <w:t>2015</w:t>
            </w:r>
          </w:p>
        </w:tc>
        <w:tc>
          <w:tcPr>
            <w:tcW w:w="1084" w:type="dxa"/>
            <w:shd w:val="clear" w:color="auto" w:fill="FBD4B4" w:themeFill="accent6" w:themeFillTint="66"/>
            <w:vAlign w:val="center"/>
          </w:tcPr>
          <w:p w:rsidR="00B95695" w:rsidRPr="00315335" w:rsidRDefault="00B95695" w:rsidP="00631723">
            <w:pPr>
              <w:spacing w:after="0" w:line="240" w:lineRule="auto"/>
              <w:jc w:val="center"/>
              <w:rPr>
                <w:rFonts w:ascii="Arial" w:hAnsi="Arial" w:cs="Arial"/>
                <w:b/>
                <w:bCs/>
                <w:sz w:val="24"/>
                <w:szCs w:val="24"/>
              </w:rPr>
            </w:pPr>
            <w:r w:rsidRPr="00315335">
              <w:rPr>
                <w:rFonts w:ascii="Arial" w:hAnsi="Arial" w:cs="Arial"/>
                <w:b/>
                <w:bCs/>
                <w:sz w:val="24"/>
                <w:szCs w:val="24"/>
              </w:rPr>
              <w:t>2016</w:t>
            </w:r>
          </w:p>
        </w:tc>
        <w:tc>
          <w:tcPr>
            <w:tcW w:w="1216" w:type="dxa"/>
            <w:shd w:val="clear" w:color="auto" w:fill="FBD4B4" w:themeFill="accent6" w:themeFillTint="66"/>
            <w:vAlign w:val="center"/>
          </w:tcPr>
          <w:p w:rsidR="00B95695" w:rsidRPr="00315335" w:rsidRDefault="00B95695" w:rsidP="00631723">
            <w:pPr>
              <w:spacing w:after="0" w:line="240" w:lineRule="auto"/>
              <w:jc w:val="center"/>
              <w:rPr>
                <w:rFonts w:ascii="Arial" w:hAnsi="Arial" w:cs="Arial"/>
                <w:b/>
                <w:bCs/>
                <w:sz w:val="24"/>
                <w:szCs w:val="24"/>
              </w:rPr>
            </w:pPr>
            <w:r w:rsidRPr="00315335">
              <w:rPr>
                <w:rFonts w:ascii="Arial" w:hAnsi="Arial" w:cs="Arial"/>
                <w:b/>
                <w:bCs/>
                <w:sz w:val="24"/>
                <w:szCs w:val="24"/>
              </w:rPr>
              <w:t>2017</w:t>
            </w:r>
          </w:p>
        </w:tc>
        <w:tc>
          <w:tcPr>
            <w:tcW w:w="1209" w:type="dxa"/>
            <w:shd w:val="clear" w:color="auto" w:fill="FBD4B4" w:themeFill="accent6" w:themeFillTint="66"/>
            <w:vAlign w:val="center"/>
          </w:tcPr>
          <w:p w:rsidR="00B95695" w:rsidRPr="00315335" w:rsidRDefault="00B95695" w:rsidP="00631723">
            <w:pPr>
              <w:spacing w:after="0" w:line="240" w:lineRule="auto"/>
              <w:jc w:val="center"/>
              <w:rPr>
                <w:rFonts w:ascii="Arial" w:hAnsi="Arial" w:cs="Arial"/>
                <w:b/>
                <w:bCs/>
                <w:sz w:val="24"/>
                <w:szCs w:val="24"/>
              </w:rPr>
            </w:pPr>
            <w:r w:rsidRPr="00315335">
              <w:rPr>
                <w:rFonts w:ascii="Arial" w:hAnsi="Arial" w:cs="Arial"/>
                <w:b/>
                <w:bCs/>
                <w:sz w:val="24"/>
                <w:szCs w:val="24"/>
              </w:rPr>
              <w:t>2018</w:t>
            </w:r>
          </w:p>
        </w:tc>
      </w:tr>
      <w:tr w:rsidR="00B95695" w:rsidRPr="00315335" w:rsidTr="00631723">
        <w:trPr>
          <w:trHeight w:val="300"/>
          <w:jc w:val="center"/>
        </w:trPr>
        <w:tc>
          <w:tcPr>
            <w:tcW w:w="1814" w:type="dxa"/>
            <w:shd w:val="clear" w:color="auto" w:fill="FFC000"/>
            <w:vAlign w:val="center"/>
          </w:tcPr>
          <w:p w:rsidR="00B95695" w:rsidRPr="00315335" w:rsidRDefault="00B95695" w:rsidP="00631723">
            <w:pPr>
              <w:spacing w:after="0" w:line="240" w:lineRule="auto"/>
              <w:rPr>
                <w:rFonts w:ascii="Arial" w:hAnsi="Arial" w:cs="Arial"/>
                <w:b/>
                <w:bCs/>
                <w:sz w:val="24"/>
                <w:szCs w:val="24"/>
              </w:rPr>
            </w:pPr>
          </w:p>
        </w:tc>
        <w:tc>
          <w:tcPr>
            <w:tcW w:w="5938" w:type="dxa"/>
            <w:gridSpan w:val="5"/>
            <w:shd w:val="clear" w:color="auto" w:fill="FFC000"/>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b/>
                <w:bCs/>
                <w:sz w:val="24"/>
                <w:szCs w:val="24"/>
              </w:rPr>
              <w:t>Mii pasageri</w:t>
            </w:r>
          </w:p>
        </w:tc>
      </w:tr>
      <w:tr w:rsidR="00B95695" w:rsidRPr="00315335" w:rsidTr="00631723">
        <w:trPr>
          <w:trHeight w:val="300"/>
          <w:jc w:val="center"/>
        </w:trPr>
        <w:tc>
          <w:tcPr>
            <w:tcW w:w="1814" w:type="dxa"/>
            <w:shd w:val="clear" w:color="auto" w:fill="FDE9D9" w:themeFill="accent6"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Tramvaie</w:t>
            </w:r>
          </w:p>
        </w:tc>
        <w:tc>
          <w:tcPr>
            <w:tcW w:w="1216" w:type="dxa"/>
            <w:shd w:val="clear" w:color="auto" w:fill="FDE9D9" w:themeFill="accent6" w:themeFillTint="33"/>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6082,0</w:t>
            </w:r>
          </w:p>
        </w:tc>
        <w:tc>
          <w:tcPr>
            <w:tcW w:w="1213" w:type="dxa"/>
            <w:shd w:val="clear" w:color="auto" w:fill="FDE9D9" w:themeFill="accent6" w:themeFillTint="33"/>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11564</w:t>
            </w:r>
          </w:p>
        </w:tc>
        <w:tc>
          <w:tcPr>
            <w:tcW w:w="1084" w:type="dxa"/>
            <w:shd w:val="clear" w:color="auto" w:fill="FDE9D9" w:themeFill="accent6"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11174,0</w:t>
            </w:r>
          </w:p>
        </w:tc>
        <w:tc>
          <w:tcPr>
            <w:tcW w:w="1216" w:type="dxa"/>
            <w:shd w:val="clear" w:color="auto" w:fill="FDE9D9" w:themeFill="accent6" w:themeFillTint="33"/>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10727,0</w:t>
            </w:r>
          </w:p>
        </w:tc>
        <w:tc>
          <w:tcPr>
            <w:tcW w:w="1209" w:type="dxa"/>
            <w:shd w:val="clear" w:color="auto" w:fill="FDE9D9" w:themeFill="accent6" w:themeFillTint="33"/>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10240</w:t>
            </w:r>
          </w:p>
        </w:tc>
      </w:tr>
      <w:tr w:rsidR="00B95695" w:rsidRPr="00315335" w:rsidTr="00631723">
        <w:trPr>
          <w:trHeight w:val="300"/>
          <w:jc w:val="center"/>
        </w:trPr>
        <w:tc>
          <w:tcPr>
            <w:tcW w:w="1814" w:type="dxa"/>
            <w:shd w:val="clear" w:color="auto" w:fill="FDE9D9" w:themeFill="accent6"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Autobuze si microbuze</w:t>
            </w:r>
          </w:p>
        </w:tc>
        <w:tc>
          <w:tcPr>
            <w:tcW w:w="1216"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27069,5</w:t>
            </w:r>
          </w:p>
        </w:tc>
        <w:tc>
          <w:tcPr>
            <w:tcW w:w="1213"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24088</w:t>
            </w:r>
          </w:p>
        </w:tc>
        <w:tc>
          <w:tcPr>
            <w:tcW w:w="10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24017,4</w:t>
            </w:r>
          </w:p>
        </w:tc>
        <w:tc>
          <w:tcPr>
            <w:tcW w:w="1216"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22151,3</w:t>
            </w:r>
          </w:p>
        </w:tc>
        <w:tc>
          <w:tcPr>
            <w:tcW w:w="1209"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22377</w:t>
            </w:r>
          </w:p>
        </w:tc>
      </w:tr>
      <w:tr w:rsidR="00B95695" w:rsidRPr="00315335" w:rsidTr="00631723">
        <w:trPr>
          <w:trHeight w:val="300"/>
          <w:jc w:val="center"/>
        </w:trPr>
        <w:tc>
          <w:tcPr>
            <w:tcW w:w="1814" w:type="dxa"/>
            <w:shd w:val="clear" w:color="auto" w:fill="FFC000"/>
            <w:vAlign w:val="center"/>
          </w:tcPr>
          <w:p w:rsidR="00B95695" w:rsidRPr="00315335" w:rsidRDefault="00B95695" w:rsidP="00631723">
            <w:pPr>
              <w:spacing w:after="0" w:line="240" w:lineRule="auto"/>
              <w:rPr>
                <w:rFonts w:ascii="Arial" w:hAnsi="Arial" w:cs="Arial"/>
                <w:b/>
                <w:bCs/>
                <w:sz w:val="24"/>
                <w:szCs w:val="24"/>
              </w:rPr>
            </w:pPr>
          </w:p>
        </w:tc>
        <w:tc>
          <w:tcPr>
            <w:tcW w:w="5938" w:type="dxa"/>
            <w:gridSpan w:val="5"/>
            <w:shd w:val="clear" w:color="auto" w:fill="FFC000"/>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b/>
                <w:bCs/>
                <w:sz w:val="24"/>
                <w:szCs w:val="24"/>
              </w:rPr>
              <w:t>Mii pasageri- km</w:t>
            </w:r>
          </w:p>
        </w:tc>
      </w:tr>
      <w:tr w:rsidR="00B95695" w:rsidRPr="00315335" w:rsidTr="00631723">
        <w:trPr>
          <w:trHeight w:val="300"/>
          <w:jc w:val="center"/>
        </w:trPr>
        <w:tc>
          <w:tcPr>
            <w:tcW w:w="1814" w:type="dxa"/>
            <w:shd w:val="clear" w:color="auto" w:fill="FDE9D9" w:themeFill="accent6"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Tramvaie</w:t>
            </w:r>
          </w:p>
        </w:tc>
        <w:tc>
          <w:tcPr>
            <w:tcW w:w="1216" w:type="dxa"/>
            <w:shd w:val="clear" w:color="auto" w:fill="FDE9D9" w:themeFill="accent6" w:themeFillTint="33"/>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13379,0</w:t>
            </w:r>
          </w:p>
        </w:tc>
        <w:tc>
          <w:tcPr>
            <w:tcW w:w="1213" w:type="dxa"/>
            <w:shd w:val="clear" w:color="auto" w:fill="FDE9D9" w:themeFill="accent6" w:themeFillTint="33"/>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25440</w:t>
            </w:r>
          </w:p>
        </w:tc>
        <w:tc>
          <w:tcPr>
            <w:tcW w:w="1084" w:type="dxa"/>
            <w:shd w:val="clear" w:color="auto" w:fill="FDE9D9" w:themeFill="accent6"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24582,0</w:t>
            </w:r>
          </w:p>
        </w:tc>
        <w:tc>
          <w:tcPr>
            <w:tcW w:w="1216" w:type="dxa"/>
            <w:shd w:val="clear" w:color="auto" w:fill="FDE9D9" w:themeFill="accent6" w:themeFillTint="33"/>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23567,0</w:t>
            </w:r>
          </w:p>
        </w:tc>
        <w:tc>
          <w:tcPr>
            <w:tcW w:w="1209" w:type="dxa"/>
            <w:shd w:val="clear" w:color="auto" w:fill="FDE9D9" w:themeFill="accent6" w:themeFillTint="33"/>
            <w:vAlign w:val="bottom"/>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22529</w:t>
            </w:r>
          </w:p>
        </w:tc>
      </w:tr>
      <w:tr w:rsidR="00B95695" w:rsidRPr="00315335" w:rsidTr="00631723">
        <w:trPr>
          <w:trHeight w:val="300"/>
          <w:jc w:val="center"/>
        </w:trPr>
        <w:tc>
          <w:tcPr>
            <w:tcW w:w="1814" w:type="dxa"/>
            <w:shd w:val="clear" w:color="auto" w:fill="FDE9D9" w:themeFill="accent6"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Autobuze si microbuze</w:t>
            </w:r>
          </w:p>
        </w:tc>
        <w:tc>
          <w:tcPr>
            <w:tcW w:w="1216"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131151,0</w:t>
            </w:r>
          </w:p>
        </w:tc>
        <w:tc>
          <w:tcPr>
            <w:tcW w:w="1213"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118027</w:t>
            </w:r>
          </w:p>
        </w:tc>
        <w:tc>
          <w:tcPr>
            <w:tcW w:w="10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116097,1</w:t>
            </w:r>
          </w:p>
        </w:tc>
        <w:tc>
          <w:tcPr>
            <w:tcW w:w="1216"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101411,4</w:t>
            </w:r>
          </w:p>
        </w:tc>
        <w:tc>
          <w:tcPr>
            <w:tcW w:w="1209"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101459</w:t>
            </w:r>
          </w:p>
        </w:tc>
      </w:tr>
    </w:tbl>
    <w:p w:rsidR="00B95695" w:rsidRPr="00315335" w:rsidRDefault="00B95695" w:rsidP="00B95695">
      <w:pPr>
        <w:spacing w:after="0" w:line="240" w:lineRule="auto"/>
        <w:rPr>
          <w:rFonts w:ascii="Arial" w:hAnsi="Arial" w:cs="Arial"/>
          <w:b/>
          <w:bCs/>
          <w:sz w:val="20"/>
          <w:szCs w:val="20"/>
        </w:rPr>
      </w:pPr>
      <w:r w:rsidRPr="00315335">
        <w:rPr>
          <w:rFonts w:ascii="Arial" w:hAnsi="Arial" w:cs="Arial"/>
          <w:bCs/>
          <w:sz w:val="20"/>
          <w:szCs w:val="20"/>
        </w:rPr>
        <w:t xml:space="preserve">           Notă: Informații furnizate de către Direcția Regională de Statistică Brăila</w:t>
      </w:r>
    </w:p>
    <w:p w:rsidR="00B95695" w:rsidRPr="00315335" w:rsidRDefault="00B95695" w:rsidP="00B95695">
      <w:pPr>
        <w:pStyle w:val="Default"/>
        <w:rPr>
          <w:rFonts w:ascii="Arial" w:hAnsi="Arial" w:cs="Arial"/>
          <w:color w:val="auto"/>
        </w:rPr>
      </w:pPr>
    </w:p>
    <w:p w:rsidR="00B95695" w:rsidRPr="00315335" w:rsidRDefault="00B95695" w:rsidP="00B95695">
      <w:pPr>
        <w:pStyle w:val="Default"/>
        <w:rPr>
          <w:rFonts w:ascii="Arial" w:hAnsi="Arial" w:cs="Arial"/>
          <w:color w:val="auto"/>
        </w:rPr>
      </w:pPr>
      <w:r w:rsidRPr="00315335">
        <w:rPr>
          <w:rFonts w:ascii="Arial" w:hAnsi="Arial" w:cs="Arial"/>
          <w:color w:val="auto"/>
        </w:rPr>
        <w:t>Transportul public local de pasageri cuprinde transportul, în interiorul zoneiadministrativ -teritoriale a unei localităţi, fără a depăşi limitele acesteia.</w:t>
      </w:r>
    </w:p>
    <w:p w:rsidR="00B95695" w:rsidRPr="00315335" w:rsidRDefault="00B95695" w:rsidP="00B95695">
      <w:pPr>
        <w:pStyle w:val="Default"/>
        <w:rPr>
          <w:rFonts w:ascii="Arial" w:hAnsi="Arial" w:cs="Arial"/>
          <w:color w:val="auto"/>
        </w:rPr>
      </w:pPr>
    </w:p>
    <w:p w:rsidR="00B95695" w:rsidRPr="00315335" w:rsidRDefault="00B95695" w:rsidP="00B95695">
      <w:pPr>
        <w:spacing w:after="0" w:line="240" w:lineRule="auto"/>
        <w:jc w:val="center"/>
        <w:rPr>
          <w:rFonts w:ascii="Arial" w:hAnsi="Arial" w:cs="Arial"/>
          <w:sz w:val="24"/>
          <w:szCs w:val="24"/>
        </w:rPr>
      </w:pPr>
      <w:r w:rsidRPr="00315335">
        <w:rPr>
          <w:rFonts w:ascii="Arial" w:hAnsi="Arial" w:cs="Arial"/>
          <w:noProof/>
          <w:sz w:val="24"/>
          <w:szCs w:val="24"/>
        </w:rPr>
        <w:lastRenderedPageBreak/>
        <w:drawing>
          <wp:inline distT="0" distB="0" distL="0" distR="0" wp14:anchorId="048AABCC" wp14:editId="56ED5C7E">
            <wp:extent cx="5486400" cy="2668772"/>
            <wp:effectExtent l="0" t="0" r="0" b="17780"/>
            <wp:docPr id="1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B95695" w:rsidRPr="00315335" w:rsidRDefault="00B95695" w:rsidP="00B95695">
      <w:pPr>
        <w:pStyle w:val="Default"/>
        <w:rPr>
          <w:rFonts w:ascii="Arial" w:hAnsi="Arial" w:cs="Arial"/>
          <w:color w:val="auto"/>
        </w:rPr>
      </w:pPr>
    </w:p>
    <w:p w:rsidR="00B95695" w:rsidRPr="00315335" w:rsidRDefault="00B95695" w:rsidP="00B95695">
      <w:pPr>
        <w:spacing w:after="0" w:line="240" w:lineRule="auto"/>
        <w:jc w:val="center"/>
        <w:rPr>
          <w:rFonts w:ascii="Arial" w:hAnsi="Arial" w:cs="Arial"/>
          <w:sz w:val="24"/>
          <w:szCs w:val="24"/>
        </w:rPr>
      </w:pPr>
      <w:r w:rsidRPr="00315335">
        <w:rPr>
          <w:rFonts w:ascii="Arial" w:hAnsi="Arial" w:cs="Arial"/>
          <w:noProof/>
          <w:sz w:val="24"/>
          <w:szCs w:val="24"/>
          <w:highlight w:val="yellow"/>
        </w:rPr>
        <w:drawing>
          <wp:inline distT="0" distB="0" distL="0" distR="0" wp14:anchorId="6B022E21" wp14:editId="4DB09875">
            <wp:extent cx="5486400" cy="2147777"/>
            <wp:effectExtent l="0" t="0" r="0" b="5080"/>
            <wp:docPr id="1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B95695" w:rsidRPr="00315335" w:rsidRDefault="00B95695" w:rsidP="00B95695">
      <w:pPr>
        <w:pStyle w:val="Default"/>
        <w:rPr>
          <w:rFonts w:ascii="Arial" w:hAnsi="Arial" w:cs="Arial"/>
          <w:color w:val="auto"/>
        </w:rPr>
      </w:pPr>
    </w:p>
    <w:p w:rsidR="00B95695" w:rsidRPr="00315335" w:rsidRDefault="00B95695" w:rsidP="00B95695">
      <w:pPr>
        <w:spacing w:after="0" w:line="240" w:lineRule="auto"/>
        <w:rPr>
          <w:rFonts w:ascii="Arial" w:hAnsi="Arial" w:cs="Arial"/>
          <w:b/>
          <w:sz w:val="24"/>
          <w:szCs w:val="24"/>
        </w:rPr>
      </w:pPr>
      <w:r w:rsidRPr="00315335">
        <w:rPr>
          <w:rFonts w:ascii="Arial" w:hAnsi="Arial" w:cs="Arial"/>
          <w:b/>
          <w:sz w:val="24"/>
          <w:szCs w:val="24"/>
        </w:rPr>
        <w:t xml:space="preserve">X.1.3.2. Transportul de mărfuri </w:t>
      </w:r>
    </w:p>
    <w:p w:rsidR="00B95695" w:rsidRPr="00315335" w:rsidRDefault="00B95695" w:rsidP="00B95695">
      <w:pPr>
        <w:spacing w:after="0" w:line="240" w:lineRule="auto"/>
        <w:rPr>
          <w:rFonts w:ascii="Arial" w:hAnsi="Arial" w:cs="Arial"/>
          <w:b/>
          <w:sz w:val="24"/>
          <w:szCs w:val="24"/>
        </w:rPr>
      </w:pPr>
      <w:r w:rsidRPr="00315335">
        <w:rPr>
          <w:rFonts w:ascii="Arial" w:hAnsi="Arial" w:cs="Arial"/>
          <w:b/>
          <w:sz w:val="24"/>
          <w:szCs w:val="24"/>
        </w:rPr>
        <w:t>Vehicule rutiere înmatriculate în circulaţie, pe categorii de vehicule</w:t>
      </w:r>
    </w:p>
    <w:p w:rsidR="00B95695" w:rsidRPr="00315335" w:rsidRDefault="00B95695" w:rsidP="00B95695">
      <w:pPr>
        <w:spacing w:after="0" w:line="240" w:lineRule="auto"/>
        <w:rPr>
          <w:rFonts w:ascii="Arial" w:hAnsi="Arial" w:cs="Arial"/>
          <w:b/>
          <w:sz w:val="24"/>
          <w:szCs w:val="24"/>
        </w:rPr>
      </w:pPr>
    </w:p>
    <w:p w:rsidR="00B95695" w:rsidRPr="00315335" w:rsidRDefault="00B95695" w:rsidP="00B95695">
      <w:pPr>
        <w:spacing w:after="0" w:line="240" w:lineRule="auto"/>
        <w:rPr>
          <w:rFonts w:ascii="Arial" w:hAnsi="Arial" w:cs="Arial"/>
          <w:b/>
          <w:bCs/>
          <w:sz w:val="24"/>
          <w:szCs w:val="24"/>
        </w:rPr>
      </w:pPr>
      <w:r w:rsidRPr="00315335">
        <w:rPr>
          <w:rFonts w:ascii="Arial" w:hAnsi="Arial" w:cs="Arial"/>
          <w:b/>
          <w:sz w:val="24"/>
          <w:szCs w:val="24"/>
        </w:rPr>
        <w:t>Tabelul nr. X.1.3.2. -1</w:t>
      </w:r>
      <w:r w:rsidRPr="00315335">
        <w:rPr>
          <w:rFonts w:ascii="Arial" w:hAnsi="Arial" w:cs="Arial"/>
          <w:sz w:val="24"/>
          <w:szCs w:val="24"/>
        </w:rPr>
        <w:t>Vehicule rutiere înmatriculate în circulaţie, pe categorii de vehicule în perioada 2013 - 2017</w:t>
      </w:r>
      <w:r w:rsidRPr="00315335">
        <w:rPr>
          <w:rFonts w:ascii="Arial" w:hAnsi="Arial" w:cs="Arial"/>
          <w:b/>
          <w:bCs/>
          <w:sz w:val="24"/>
          <w:szCs w:val="24"/>
        </w:rPr>
        <w:t xml:space="preserve">     </w:t>
      </w:r>
    </w:p>
    <w:p w:rsidR="00B95695" w:rsidRPr="00315335" w:rsidRDefault="00B95695" w:rsidP="00B95695">
      <w:pPr>
        <w:spacing w:after="0" w:line="240" w:lineRule="auto"/>
        <w:rPr>
          <w:rFonts w:ascii="Arial" w:hAnsi="Arial" w:cs="Arial"/>
          <w:b/>
          <w:sz w:val="24"/>
          <w:szCs w:val="24"/>
        </w:rPr>
      </w:pPr>
      <w:r w:rsidRPr="00315335">
        <w:rPr>
          <w:rFonts w:ascii="Arial" w:hAnsi="Arial" w:cs="Arial"/>
          <w:b/>
          <w:bCs/>
          <w:sz w:val="24"/>
          <w:szCs w:val="24"/>
        </w:rPr>
        <w:t xml:space="preserve">                                                                                                                       ( număr)</w:t>
      </w:r>
    </w:p>
    <w:tbl>
      <w:tblPr>
        <w:tblW w:w="7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6"/>
        <w:gridCol w:w="884"/>
        <w:gridCol w:w="977"/>
        <w:gridCol w:w="992"/>
        <w:gridCol w:w="993"/>
        <w:gridCol w:w="850"/>
      </w:tblGrid>
      <w:tr w:rsidR="00B95695" w:rsidRPr="00315335" w:rsidTr="00631723">
        <w:trPr>
          <w:trHeight w:val="510"/>
          <w:jc w:val="center"/>
        </w:trPr>
        <w:tc>
          <w:tcPr>
            <w:tcW w:w="3166" w:type="dxa"/>
            <w:shd w:val="clear" w:color="auto" w:fill="FABF8F" w:themeFill="accent6" w:themeFillTint="99"/>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Judeţul Brăila</w:t>
            </w:r>
          </w:p>
        </w:tc>
        <w:tc>
          <w:tcPr>
            <w:tcW w:w="884" w:type="dxa"/>
            <w:shd w:val="clear" w:color="auto" w:fill="FABF8F" w:themeFill="accent6" w:themeFillTint="99"/>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2013</w:t>
            </w:r>
          </w:p>
        </w:tc>
        <w:tc>
          <w:tcPr>
            <w:tcW w:w="977" w:type="dxa"/>
            <w:shd w:val="clear" w:color="auto" w:fill="FABF8F" w:themeFill="accent6" w:themeFillTint="99"/>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2014</w:t>
            </w:r>
          </w:p>
        </w:tc>
        <w:tc>
          <w:tcPr>
            <w:tcW w:w="992" w:type="dxa"/>
            <w:shd w:val="clear" w:color="auto" w:fill="FABF8F" w:themeFill="accent6" w:themeFillTint="99"/>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2015</w:t>
            </w:r>
          </w:p>
        </w:tc>
        <w:tc>
          <w:tcPr>
            <w:tcW w:w="993" w:type="dxa"/>
            <w:shd w:val="clear" w:color="auto" w:fill="FABF8F" w:themeFill="accent6" w:themeFillTint="99"/>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2016</w:t>
            </w:r>
          </w:p>
        </w:tc>
        <w:tc>
          <w:tcPr>
            <w:tcW w:w="850" w:type="dxa"/>
            <w:shd w:val="clear" w:color="auto" w:fill="FABF8F" w:themeFill="accent6" w:themeFillTint="99"/>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2017</w:t>
            </w:r>
          </w:p>
        </w:tc>
      </w:tr>
      <w:tr w:rsidR="00B95695" w:rsidRPr="00315335" w:rsidTr="00631723">
        <w:trPr>
          <w:trHeight w:val="284"/>
          <w:jc w:val="center"/>
        </w:trPr>
        <w:tc>
          <w:tcPr>
            <w:tcW w:w="3166"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Autobuze şi microbuze</w:t>
            </w:r>
          </w:p>
        </w:tc>
        <w:tc>
          <w:tcPr>
            <w:tcW w:w="8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695</w:t>
            </w:r>
          </w:p>
        </w:tc>
        <w:tc>
          <w:tcPr>
            <w:tcW w:w="977"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735</w:t>
            </w:r>
          </w:p>
        </w:tc>
        <w:tc>
          <w:tcPr>
            <w:tcW w:w="992"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755</w:t>
            </w:r>
          </w:p>
        </w:tc>
        <w:tc>
          <w:tcPr>
            <w:tcW w:w="993"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787</w:t>
            </w:r>
          </w:p>
        </w:tc>
        <w:tc>
          <w:tcPr>
            <w:tcW w:w="850" w:type="dxa"/>
            <w:shd w:val="clear" w:color="auto" w:fill="FDE9D9" w:themeFill="accent6" w:themeFillTint="33"/>
          </w:tcPr>
          <w:p w:rsidR="00B95695" w:rsidRPr="00315335" w:rsidRDefault="00B95695" w:rsidP="00631723">
            <w:pPr>
              <w:spacing w:after="0" w:line="240" w:lineRule="auto"/>
              <w:rPr>
                <w:rFonts w:ascii="Arial" w:hAnsi="Arial" w:cs="Arial"/>
              </w:rPr>
            </w:pPr>
            <w:r w:rsidRPr="00315335">
              <w:rPr>
                <w:rFonts w:ascii="Arial" w:hAnsi="Arial" w:cs="Arial"/>
              </w:rPr>
              <w:t>809</w:t>
            </w:r>
          </w:p>
        </w:tc>
      </w:tr>
      <w:tr w:rsidR="00B95695" w:rsidRPr="00315335" w:rsidTr="00631723">
        <w:trPr>
          <w:trHeight w:val="284"/>
          <w:jc w:val="center"/>
        </w:trPr>
        <w:tc>
          <w:tcPr>
            <w:tcW w:w="3166"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Autoturisme</w:t>
            </w:r>
          </w:p>
        </w:tc>
        <w:tc>
          <w:tcPr>
            <w:tcW w:w="8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59206</w:t>
            </w:r>
          </w:p>
        </w:tc>
        <w:tc>
          <w:tcPr>
            <w:tcW w:w="977"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62117</w:t>
            </w:r>
          </w:p>
        </w:tc>
        <w:tc>
          <w:tcPr>
            <w:tcW w:w="992"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65294</w:t>
            </w:r>
          </w:p>
        </w:tc>
        <w:tc>
          <w:tcPr>
            <w:tcW w:w="993"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69287</w:t>
            </w:r>
          </w:p>
        </w:tc>
        <w:tc>
          <w:tcPr>
            <w:tcW w:w="850" w:type="dxa"/>
            <w:shd w:val="clear" w:color="auto" w:fill="FDE9D9" w:themeFill="accent6" w:themeFillTint="33"/>
          </w:tcPr>
          <w:p w:rsidR="00B95695" w:rsidRPr="00315335" w:rsidRDefault="00B95695" w:rsidP="00631723">
            <w:pPr>
              <w:spacing w:after="0" w:line="240" w:lineRule="auto"/>
              <w:rPr>
                <w:rFonts w:ascii="Arial" w:hAnsi="Arial" w:cs="Arial"/>
              </w:rPr>
            </w:pPr>
            <w:r w:rsidRPr="00315335">
              <w:rPr>
                <w:rFonts w:ascii="Arial" w:hAnsi="Arial" w:cs="Arial"/>
              </w:rPr>
              <w:t>76617</w:t>
            </w:r>
          </w:p>
        </w:tc>
      </w:tr>
      <w:tr w:rsidR="00B95695" w:rsidRPr="00315335" w:rsidTr="00631723">
        <w:trPr>
          <w:trHeight w:val="284"/>
          <w:jc w:val="center"/>
        </w:trPr>
        <w:tc>
          <w:tcPr>
            <w:tcW w:w="3166"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Mopede şi motociclete (inclusiv mototricicluri şi cvadricicluri)</w:t>
            </w:r>
          </w:p>
        </w:tc>
        <w:tc>
          <w:tcPr>
            <w:tcW w:w="8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874</w:t>
            </w:r>
          </w:p>
        </w:tc>
        <w:tc>
          <w:tcPr>
            <w:tcW w:w="977"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921</w:t>
            </w:r>
          </w:p>
        </w:tc>
        <w:tc>
          <w:tcPr>
            <w:tcW w:w="992"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961</w:t>
            </w:r>
          </w:p>
        </w:tc>
        <w:tc>
          <w:tcPr>
            <w:tcW w:w="993"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1004</w:t>
            </w:r>
          </w:p>
        </w:tc>
        <w:tc>
          <w:tcPr>
            <w:tcW w:w="850" w:type="dxa"/>
            <w:shd w:val="clear" w:color="auto" w:fill="FDE9D9" w:themeFill="accent6" w:themeFillTint="33"/>
          </w:tcPr>
          <w:p w:rsidR="00B95695" w:rsidRPr="00315335" w:rsidRDefault="00B95695" w:rsidP="00631723">
            <w:pPr>
              <w:spacing w:after="0" w:line="240" w:lineRule="auto"/>
              <w:rPr>
                <w:rFonts w:ascii="Arial" w:hAnsi="Arial" w:cs="Arial"/>
              </w:rPr>
            </w:pPr>
            <w:r w:rsidRPr="00315335">
              <w:rPr>
                <w:rFonts w:ascii="Arial" w:hAnsi="Arial" w:cs="Arial"/>
              </w:rPr>
              <w:t>1065</w:t>
            </w:r>
          </w:p>
        </w:tc>
      </w:tr>
      <w:tr w:rsidR="00B95695" w:rsidRPr="00315335" w:rsidTr="00631723">
        <w:trPr>
          <w:trHeight w:val="284"/>
          <w:jc w:val="center"/>
        </w:trPr>
        <w:tc>
          <w:tcPr>
            <w:tcW w:w="3166"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Autovehicule de marfă din care:</w:t>
            </w:r>
          </w:p>
        </w:tc>
        <w:tc>
          <w:tcPr>
            <w:tcW w:w="8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8764</w:t>
            </w:r>
          </w:p>
        </w:tc>
        <w:tc>
          <w:tcPr>
            <w:tcW w:w="977"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9409</w:t>
            </w:r>
          </w:p>
        </w:tc>
        <w:tc>
          <w:tcPr>
            <w:tcW w:w="992"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9961</w:t>
            </w:r>
          </w:p>
        </w:tc>
        <w:tc>
          <w:tcPr>
            <w:tcW w:w="993"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10396</w:t>
            </w:r>
          </w:p>
        </w:tc>
        <w:tc>
          <w:tcPr>
            <w:tcW w:w="850" w:type="dxa"/>
            <w:shd w:val="clear" w:color="auto" w:fill="FDE9D9" w:themeFill="accent6" w:themeFillTint="33"/>
          </w:tcPr>
          <w:p w:rsidR="00B95695" w:rsidRPr="00315335" w:rsidRDefault="00B95695" w:rsidP="00631723">
            <w:pPr>
              <w:spacing w:after="0" w:line="240" w:lineRule="auto"/>
              <w:rPr>
                <w:rFonts w:ascii="Arial" w:hAnsi="Arial" w:cs="Arial"/>
              </w:rPr>
            </w:pPr>
            <w:r w:rsidRPr="00315335">
              <w:rPr>
                <w:rFonts w:ascii="Arial" w:hAnsi="Arial" w:cs="Arial"/>
              </w:rPr>
              <w:t>11033</w:t>
            </w:r>
          </w:p>
        </w:tc>
      </w:tr>
      <w:tr w:rsidR="00B95695" w:rsidRPr="00315335" w:rsidTr="00631723">
        <w:trPr>
          <w:trHeight w:val="284"/>
          <w:jc w:val="center"/>
        </w:trPr>
        <w:tc>
          <w:tcPr>
            <w:tcW w:w="3166"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 Autocamioane</w:t>
            </w:r>
          </w:p>
        </w:tc>
        <w:tc>
          <w:tcPr>
            <w:tcW w:w="8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7830</w:t>
            </w:r>
          </w:p>
        </w:tc>
        <w:tc>
          <w:tcPr>
            <w:tcW w:w="977"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8348</w:t>
            </w:r>
          </w:p>
        </w:tc>
        <w:tc>
          <w:tcPr>
            <w:tcW w:w="992"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8765</w:t>
            </w:r>
          </w:p>
        </w:tc>
        <w:tc>
          <w:tcPr>
            <w:tcW w:w="993"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9121</w:t>
            </w:r>
          </w:p>
        </w:tc>
        <w:tc>
          <w:tcPr>
            <w:tcW w:w="850" w:type="dxa"/>
            <w:shd w:val="clear" w:color="auto" w:fill="FDE9D9" w:themeFill="accent6" w:themeFillTint="33"/>
          </w:tcPr>
          <w:p w:rsidR="00B95695" w:rsidRPr="00315335" w:rsidRDefault="00B95695" w:rsidP="00631723">
            <w:pPr>
              <w:spacing w:after="0" w:line="240" w:lineRule="auto"/>
              <w:rPr>
                <w:rFonts w:ascii="Arial" w:hAnsi="Arial" w:cs="Arial"/>
              </w:rPr>
            </w:pPr>
            <w:r w:rsidRPr="00315335">
              <w:rPr>
                <w:rFonts w:ascii="Arial" w:hAnsi="Arial" w:cs="Arial"/>
              </w:rPr>
              <w:t>9623</w:t>
            </w:r>
          </w:p>
        </w:tc>
      </w:tr>
      <w:tr w:rsidR="00B95695" w:rsidRPr="00315335" w:rsidTr="00631723">
        <w:trPr>
          <w:trHeight w:val="284"/>
          <w:jc w:val="center"/>
        </w:trPr>
        <w:tc>
          <w:tcPr>
            <w:tcW w:w="3166"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 Autotractoare</w:t>
            </w:r>
          </w:p>
        </w:tc>
        <w:tc>
          <w:tcPr>
            <w:tcW w:w="8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934</w:t>
            </w:r>
          </w:p>
        </w:tc>
        <w:tc>
          <w:tcPr>
            <w:tcW w:w="977"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1061</w:t>
            </w:r>
          </w:p>
        </w:tc>
        <w:tc>
          <w:tcPr>
            <w:tcW w:w="992"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1151</w:t>
            </w:r>
          </w:p>
        </w:tc>
        <w:tc>
          <w:tcPr>
            <w:tcW w:w="993"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1275</w:t>
            </w:r>
          </w:p>
        </w:tc>
        <w:tc>
          <w:tcPr>
            <w:tcW w:w="850" w:type="dxa"/>
            <w:shd w:val="clear" w:color="auto" w:fill="FDE9D9" w:themeFill="accent6" w:themeFillTint="33"/>
          </w:tcPr>
          <w:p w:rsidR="00B95695" w:rsidRPr="00315335" w:rsidRDefault="00B95695" w:rsidP="00631723">
            <w:pPr>
              <w:spacing w:after="0" w:line="240" w:lineRule="auto"/>
              <w:rPr>
                <w:rFonts w:ascii="Arial" w:hAnsi="Arial" w:cs="Arial"/>
              </w:rPr>
            </w:pPr>
            <w:r w:rsidRPr="00315335">
              <w:rPr>
                <w:rFonts w:ascii="Arial" w:hAnsi="Arial" w:cs="Arial"/>
              </w:rPr>
              <w:t>1410</w:t>
            </w:r>
          </w:p>
        </w:tc>
      </w:tr>
      <w:tr w:rsidR="00B95695" w:rsidRPr="00315335" w:rsidTr="00631723">
        <w:trPr>
          <w:trHeight w:val="284"/>
          <w:jc w:val="center"/>
        </w:trPr>
        <w:tc>
          <w:tcPr>
            <w:tcW w:w="3166"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lang w:val="it-IT"/>
              </w:rPr>
            </w:pPr>
            <w:r w:rsidRPr="00315335">
              <w:rPr>
                <w:rFonts w:ascii="Arial" w:hAnsi="Arial" w:cs="Arial"/>
                <w:bCs/>
                <w:sz w:val="24"/>
                <w:szCs w:val="24"/>
                <w:lang w:val="it-IT"/>
              </w:rPr>
              <w:t>Vehicule rutiere pentru scopuri speciale</w:t>
            </w:r>
          </w:p>
        </w:tc>
        <w:tc>
          <w:tcPr>
            <w:tcW w:w="8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356</w:t>
            </w:r>
          </w:p>
        </w:tc>
        <w:tc>
          <w:tcPr>
            <w:tcW w:w="977"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361</w:t>
            </w:r>
          </w:p>
        </w:tc>
        <w:tc>
          <w:tcPr>
            <w:tcW w:w="992"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358</w:t>
            </w:r>
          </w:p>
        </w:tc>
        <w:tc>
          <w:tcPr>
            <w:tcW w:w="993"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363</w:t>
            </w:r>
          </w:p>
        </w:tc>
        <w:tc>
          <w:tcPr>
            <w:tcW w:w="850" w:type="dxa"/>
            <w:shd w:val="clear" w:color="auto" w:fill="FDE9D9" w:themeFill="accent6" w:themeFillTint="33"/>
          </w:tcPr>
          <w:p w:rsidR="00B95695" w:rsidRPr="00315335" w:rsidRDefault="00B95695" w:rsidP="00631723">
            <w:pPr>
              <w:spacing w:after="0" w:line="240" w:lineRule="auto"/>
              <w:rPr>
                <w:rFonts w:ascii="Arial" w:hAnsi="Arial" w:cs="Arial"/>
              </w:rPr>
            </w:pPr>
            <w:r w:rsidRPr="00315335">
              <w:rPr>
                <w:rFonts w:ascii="Arial" w:hAnsi="Arial" w:cs="Arial"/>
              </w:rPr>
              <w:t>391</w:t>
            </w:r>
          </w:p>
        </w:tc>
      </w:tr>
      <w:tr w:rsidR="00B95695" w:rsidRPr="00315335" w:rsidTr="00631723">
        <w:trPr>
          <w:trHeight w:val="284"/>
          <w:jc w:val="center"/>
        </w:trPr>
        <w:tc>
          <w:tcPr>
            <w:tcW w:w="3166"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Tractoare</w:t>
            </w:r>
          </w:p>
        </w:tc>
        <w:tc>
          <w:tcPr>
            <w:tcW w:w="8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432</w:t>
            </w:r>
          </w:p>
        </w:tc>
        <w:tc>
          <w:tcPr>
            <w:tcW w:w="977"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424</w:t>
            </w:r>
          </w:p>
        </w:tc>
        <w:tc>
          <w:tcPr>
            <w:tcW w:w="992"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428</w:t>
            </w:r>
          </w:p>
        </w:tc>
        <w:tc>
          <w:tcPr>
            <w:tcW w:w="993"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424</w:t>
            </w:r>
          </w:p>
        </w:tc>
        <w:tc>
          <w:tcPr>
            <w:tcW w:w="850" w:type="dxa"/>
            <w:shd w:val="clear" w:color="auto" w:fill="FDE9D9" w:themeFill="accent6" w:themeFillTint="33"/>
          </w:tcPr>
          <w:p w:rsidR="00B95695" w:rsidRPr="00315335" w:rsidRDefault="00B95695" w:rsidP="00631723">
            <w:pPr>
              <w:spacing w:after="0" w:line="240" w:lineRule="auto"/>
              <w:rPr>
                <w:rFonts w:ascii="Arial" w:hAnsi="Arial" w:cs="Arial"/>
              </w:rPr>
            </w:pPr>
            <w:r w:rsidRPr="00315335">
              <w:rPr>
                <w:rFonts w:ascii="Arial" w:hAnsi="Arial" w:cs="Arial"/>
              </w:rPr>
              <w:t>422</w:t>
            </w:r>
          </w:p>
        </w:tc>
      </w:tr>
      <w:tr w:rsidR="00B95695" w:rsidRPr="00315335" w:rsidTr="00631723">
        <w:trPr>
          <w:trHeight w:val="284"/>
          <w:jc w:val="center"/>
        </w:trPr>
        <w:tc>
          <w:tcPr>
            <w:tcW w:w="3166" w:type="dxa"/>
            <w:shd w:val="clear" w:color="auto" w:fill="FDE9D9" w:themeFill="accent6"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Remorci şi semiremorci</w:t>
            </w:r>
          </w:p>
        </w:tc>
        <w:tc>
          <w:tcPr>
            <w:tcW w:w="884"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4175</w:t>
            </w:r>
          </w:p>
        </w:tc>
        <w:tc>
          <w:tcPr>
            <w:tcW w:w="977"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4459</w:t>
            </w:r>
          </w:p>
        </w:tc>
        <w:tc>
          <w:tcPr>
            <w:tcW w:w="992" w:type="dxa"/>
            <w:shd w:val="clear" w:color="auto" w:fill="FDE9D9" w:themeFill="accent6"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4621</w:t>
            </w:r>
          </w:p>
        </w:tc>
        <w:tc>
          <w:tcPr>
            <w:tcW w:w="993" w:type="dxa"/>
            <w:shd w:val="clear" w:color="auto" w:fill="FDE9D9" w:themeFill="accent6" w:themeFillTint="33"/>
            <w:vAlign w:val="center"/>
          </w:tcPr>
          <w:p w:rsidR="00B95695" w:rsidRPr="00315335" w:rsidRDefault="00B95695" w:rsidP="00631723">
            <w:pPr>
              <w:spacing w:after="0" w:line="240" w:lineRule="auto"/>
              <w:rPr>
                <w:rFonts w:ascii="Arial" w:hAnsi="Arial" w:cs="Arial"/>
              </w:rPr>
            </w:pPr>
            <w:r w:rsidRPr="00315335">
              <w:rPr>
                <w:rFonts w:ascii="Arial" w:hAnsi="Arial" w:cs="Arial"/>
              </w:rPr>
              <w:t>4906</w:t>
            </w:r>
          </w:p>
        </w:tc>
        <w:tc>
          <w:tcPr>
            <w:tcW w:w="850" w:type="dxa"/>
            <w:shd w:val="clear" w:color="auto" w:fill="FDE9D9" w:themeFill="accent6" w:themeFillTint="33"/>
          </w:tcPr>
          <w:p w:rsidR="00B95695" w:rsidRPr="00315335" w:rsidRDefault="00B95695" w:rsidP="00631723">
            <w:pPr>
              <w:spacing w:after="0" w:line="240" w:lineRule="auto"/>
              <w:rPr>
                <w:rFonts w:ascii="Arial" w:hAnsi="Arial" w:cs="Arial"/>
              </w:rPr>
            </w:pPr>
            <w:r w:rsidRPr="00315335">
              <w:rPr>
                <w:rFonts w:ascii="Arial" w:hAnsi="Arial" w:cs="Arial"/>
              </w:rPr>
              <w:t>5132</w:t>
            </w:r>
          </w:p>
        </w:tc>
      </w:tr>
    </w:tbl>
    <w:p w:rsidR="00B95695" w:rsidRPr="00315335" w:rsidRDefault="00B95695" w:rsidP="00B95695">
      <w:pPr>
        <w:spacing w:after="0" w:line="240" w:lineRule="auto"/>
        <w:rPr>
          <w:rFonts w:ascii="Arial" w:hAnsi="Arial" w:cs="Arial"/>
          <w:b/>
          <w:bCs/>
          <w:sz w:val="20"/>
          <w:szCs w:val="20"/>
        </w:rPr>
      </w:pPr>
      <w:r w:rsidRPr="00315335">
        <w:rPr>
          <w:rFonts w:ascii="Arial" w:hAnsi="Arial" w:cs="Arial"/>
          <w:bCs/>
          <w:sz w:val="20"/>
          <w:szCs w:val="20"/>
        </w:rPr>
        <w:t xml:space="preserve">                 Notă: Informații furnizate de către Direcția Regională de Statistică Brăila</w:t>
      </w:r>
    </w:p>
    <w:p w:rsidR="00B95695" w:rsidRPr="00315335" w:rsidRDefault="00B95695" w:rsidP="00B95695">
      <w:pPr>
        <w:pStyle w:val="Default"/>
        <w:rPr>
          <w:rFonts w:ascii="Arial" w:hAnsi="Arial" w:cs="Arial"/>
          <w:color w:val="auto"/>
        </w:rPr>
      </w:pPr>
    </w:p>
    <w:p w:rsidR="00D638AC" w:rsidRDefault="00D638AC" w:rsidP="00B95695">
      <w:pPr>
        <w:spacing w:after="0" w:line="240" w:lineRule="auto"/>
        <w:rPr>
          <w:rFonts w:ascii="Arial" w:hAnsi="Arial" w:cs="Arial"/>
          <w:b/>
          <w:sz w:val="24"/>
          <w:szCs w:val="24"/>
        </w:rPr>
      </w:pPr>
    </w:p>
    <w:p w:rsidR="00D638AC" w:rsidRDefault="00D638AC" w:rsidP="00B95695">
      <w:pPr>
        <w:spacing w:after="0" w:line="240" w:lineRule="auto"/>
        <w:rPr>
          <w:rFonts w:ascii="Arial" w:hAnsi="Arial" w:cs="Arial"/>
          <w:b/>
          <w:sz w:val="24"/>
          <w:szCs w:val="24"/>
        </w:rPr>
      </w:pPr>
    </w:p>
    <w:p w:rsidR="00D638AC" w:rsidRDefault="00D638AC" w:rsidP="00B95695">
      <w:pPr>
        <w:spacing w:after="0" w:line="240" w:lineRule="auto"/>
        <w:rPr>
          <w:rFonts w:ascii="Arial" w:hAnsi="Arial" w:cs="Arial"/>
          <w:b/>
          <w:sz w:val="24"/>
          <w:szCs w:val="24"/>
        </w:rPr>
      </w:pPr>
    </w:p>
    <w:p w:rsidR="00D638AC" w:rsidRDefault="00D638AC" w:rsidP="00B95695">
      <w:pPr>
        <w:spacing w:after="0" w:line="240" w:lineRule="auto"/>
        <w:rPr>
          <w:rFonts w:ascii="Arial" w:hAnsi="Arial" w:cs="Arial"/>
          <w:b/>
          <w:sz w:val="24"/>
          <w:szCs w:val="24"/>
        </w:rPr>
      </w:pPr>
    </w:p>
    <w:p w:rsidR="00B95695" w:rsidRPr="00315335" w:rsidRDefault="00B95695" w:rsidP="00B95695">
      <w:pPr>
        <w:spacing w:after="0" w:line="240" w:lineRule="auto"/>
        <w:rPr>
          <w:rFonts w:ascii="Arial" w:hAnsi="Arial" w:cs="Arial"/>
          <w:b/>
          <w:sz w:val="24"/>
          <w:szCs w:val="24"/>
          <w:u w:val="single"/>
        </w:rPr>
      </w:pPr>
      <w:r w:rsidRPr="00315335">
        <w:rPr>
          <w:rFonts w:ascii="Arial" w:hAnsi="Arial" w:cs="Arial"/>
          <w:b/>
          <w:sz w:val="24"/>
          <w:szCs w:val="24"/>
        </w:rPr>
        <w:lastRenderedPageBreak/>
        <w:t xml:space="preserve">X.2. Factori care influențează consumul </w:t>
      </w:r>
    </w:p>
    <w:p w:rsidR="00B95695" w:rsidRPr="00315335" w:rsidRDefault="00B95695" w:rsidP="00B95695">
      <w:pPr>
        <w:pStyle w:val="Default"/>
        <w:rPr>
          <w:rFonts w:ascii="Arial" w:hAnsi="Arial" w:cs="Arial"/>
          <w:b/>
          <w:color w:val="auto"/>
        </w:rPr>
      </w:pPr>
      <w:r w:rsidRPr="00315335">
        <w:rPr>
          <w:rFonts w:ascii="Arial" w:hAnsi="Arial" w:cs="Arial"/>
          <w:b/>
          <w:color w:val="auto"/>
        </w:rPr>
        <w:t xml:space="preserve">        Influenţele economice</w:t>
      </w:r>
    </w:p>
    <w:p w:rsidR="00B95695" w:rsidRPr="00315335" w:rsidRDefault="00B95695" w:rsidP="00B95695">
      <w:pPr>
        <w:spacing w:after="0" w:line="240" w:lineRule="auto"/>
        <w:rPr>
          <w:rFonts w:ascii="Arial" w:eastAsia="Times New Roman" w:hAnsi="Arial" w:cs="Arial"/>
          <w:b/>
          <w:sz w:val="24"/>
          <w:szCs w:val="24"/>
          <w:lang w:val="en-US"/>
        </w:rPr>
      </w:pPr>
    </w:p>
    <w:p w:rsidR="00B95695" w:rsidRPr="00315335" w:rsidRDefault="00B95695" w:rsidP="00B95695">
      <w:pPr>
        <w:spacing w:after="0" w:line="240" w:lineRule="auto"/>
        <w:rPr>
          <w:rFonts w:ascii="Arial" w:hAnsi="Arial" w:cs="Arial"/>
          <w:bCs/>
          <w:iCs/>
          <w:sz w:val="24"/>
          <w:szCs w:val="24"/>
        </w:rPr>
      </w:pPr>
      <w:r w:rsidRPr="00315335">
        <w:rPr>
          <w:rFonts w:ascii="Arial" w:hAnsi="Arial" w:cs="Arial"/>
          <w:b/>
          <w:bCs/>
          <w:sz w:val="24"/>
          <w:szCs w:val="24"/>
        </w:rPr>
        <w:t xml:space="preserve">Tabelul nr. X.2. </w:t>
      </w:r>
      <w:r w:rsidR="00D638AC">
        <w:rPr>
          <w:rFonts w:ascii="Arial" w:hAnsi="Arial" w:cs="Arial"/>
          <w:b/>
          <w:bCs/>
          <w:sz w:val="24"/>
          <w:szCs w:val="24"/>
        </w:rPr>
        <w:t>–</w:t>
      </w:r>
      <w:r w:rsidRPr="00315335">
        <w:rPr>
          <w:rFonts w:ascii="Arial" w:hAnsi="Arial" w:cs="Arial"/>
          <w:b/>
          <w:bCs/>
          <w:sz w:val="24"/>
          <w:szCs w:val="24"/>
        </w:rPr>
        <w:t xml:space="preserve"> 1</w:t>
      </w:r>
      <w:r w:rsidR="00D638AC">
        <w:rPr>
          <w:rFonts w:ascii="Arial" w:hAnsi="Arial" w:cs="Arial"/>
          <w:b/>
          <w:bCs/>
          <w:sz w:val="24"/>
          <w:szCs w:val="24"/>
        </w:rPr>
        <w:t xml:space="preserve"> </w:t>
      </w:r>
      <w:r w:rsidRPr="00315335">
        <w:rPr>
          <w:rFonts w:ascii="Arial" w:hAnsi="Arial" w:cs="Arial"/>
          <w:sz w:val="24"/>
          <w:szCs w:val="24"/>
          <w:lang w:val="it-IT"/>
        </w:rPr>
        <w:t>Produsul intern brut şi Valoarea adăugată brută,pe ramuri de activitate</w:t>
      </w:r>
      <w:r w:rsidR="00B617F7">
        <w:rPr>
          <w:rFonts w:ascii="Arial" w:hAnsi="Arial" w:cs="Arial"/>
          <w:sz w:val="24"/>
          <w:szCs w:val="24"/>
          <w:lang w:val="it-IT"/>
        </w:rPr>
        <w:t xml:space="preserve"> </w:t>
      </w:r>
      <w:bookmarkStart w:id="6" w:name="_GoBack"/>
      <w:bookmarkEnd w:id="6"/>
      <w:r w:rsidRPr="00315335">
        <w:rPr>
          <w:rFonts w:ascii="Arial" w:hAnsi="Arial" w:cs="Arial"/>
          <w:sz w:val="24"/>
          <w:szCs w:val="24"/>
          <w:lang w:val="it-IT"/>
        </w:rPr>
        <w:t>pentru perioada 2012 – 201</w:t>
      </w:r>
      <w:r w:rsidR="004D0136">
        <w:rPr>
          <w:rFonts w:ascii="Arial" w:hAnsi="Arial" w:cs="Arial"/>
          <w:sz w:val="24"/>
          <w:szCs w:val="24"/>
          <w:lang w:val="it-IT"/>
        </w:rPr>
        <w:t>6</w:t>
      </w:r>
      <w:r w:rsidRPr="00315335">
        <w:rPr>
          <w:rFonts w:ascii="Arial" w:hAnsi="Arial" w:cs="Arial"/>
          <w:sz w:val="24"/>
          <w:szCs w:val="24"/>
          <w:lang w:val="it-IT"/>
        </w:rPr>
        <w:t>:</w:t>
      </w:r>
    </w:p>
    <w:p w:rsidR="00B95695" w:rsidRPr="00315335" w:rsidRDefault="00B95695" w:rsidP="00B95695">
      <w:pPr>
        <w:pStyle w:val="Default"/>
        <w:rPr>
          <w:rFonts w:ascii="Arial" w:hAnsi="Arial" w:cs="Arial"/>
          <w:b/>
          <w:bCs/>
          <w:iCs/>
          <w:color w:val="auto"/>
          <w:u w:val="single"/>
        </w:rPr>
      </w:pPr>
      <w:r w:rsidRPr="00315335">
        <w:rPr>
          <w:rFonts w:ascii="Arial" w:hAnsi="Arial" w:cs="Arial"/>
          <w:color w:val="auto"/>
        </w:rPr>
        <w:t xml:space="preserve">                                                                                      milioane lei – pre</w:t>
      </w:r>
      <w:r w:rsidRPr="00315335">
        <w:rPr>
          <w:rFonts w:ascii="Arial" w:hAnsi="Arial" w:cs="Arial"/>
          <w:color w:val="auto"/>
          <w:lang w:val="ro-RO"/>
        </w:rPr>
        <w:t>ţuri curente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4"/>
        <w:gridCol w:w="1084"/>
        <w:gridCol w:w="1084"/>
        <w:gridCol w:w="1084"/>
        <w:gridCol w:w="1084"/>
        <w:gridCol w:w="1084"/>
      </w:tblGrid>
      <w:tr w:rsidR="00B95695" w:rsidRPr="00315335" w:rsidTr="00631723">
        <w:trPr>
          <w:trHeight w:val="542"/>
          <w:jc w:val="center"/>
        </w:trPr>
        <w:tc>
          <w:tcPr>
            <w:tcW w:w="3934" w:type="dxa"/>
            <w:shd w:val="clear" w:color="auto" w:fill="CCC0D9" w:themeFill="accent4" w:themeFillTint="66"/>
            <w:noWrap/>
            <w:vAlign w:val="center"/>
          </w:tcPr>
          <w:p w:rsidR="00B95695" w:rsidRPr="00315335" w:rsidRDefault="00B95695" w:rsidP="00631723">
            <w:pPr>
              <w:spacing w:after="0" w:line="240" w:lineRule="auto"/>
              <w:jc w:val="center"/>
              <w:rPr>
                <w:rFonts w:ascii="Arial" w:hAnsi="Arial" w:cs="Arial"/>
                <w:b/>
                <w:sz w:val="24"/>
                <w:szCs w:val="24"/>
              </w:rPr>
            </w:pPr>
            <w:r w:rsidRPr="00315335">
              <w:rPr>
                <w:rFonts w:ascii="Arial" w:hAnsi="Arial" w:cs="Arial"/>
                <w:b/>
                <w:bCs/>
                <w:sz w:val="24"/>
                <w:szCs w:val="24"/>
              </w:rPr>
              <w:t>Judeţul Brăila</w:t>
            </w:r>
          </w:p>
        </w:tc>
        <w:tc>
          <w:tcPr>
            <w:tcW w:w="1084" w:type="dxa"/>
            <w:shd w:val="clear" w:color="auto" w:fill="CCC0D9" w:themeFill="accent4" w:themeFillTint="66"/>
            <w:vAlign w:val="center"/>
          </w:tcPr>
          <w:p w:rsidR="00B95695" w:rsidRPr="00315335" w:rsidRDefault="00B95695" w:rsidP="00631723">
            <w:pPr>
              <w:jc w:val="center"/>
              <w:rPr>
                <w:rFonts w:ascii="Arial" w:hAnsi="Arial" w:cs="Arial"/>
                <w:b/>
              </w:rPr>
            </w:pPr>
            <w:r w:rsidRPr="00315335">
              <w:rPr>
                <w:rFonts w:ascii="Arial" w:hAnsi="Arial" w:cs="Arial"/>
                <w:b/>
              </w:rPr>
              <w:t>2012*</w:t>
            </w:r>
          </w:p>
        </w:tc>
        <w:tc>
          <w:tcPr>
            <w:tcW w:w="1084" w:type="dxa"/>
            <w:shd w:val="clear" w:color="auto" w:fill="CCC0D9" w:themeFill="accent4" w:themeFillTint="66"/>
            <w:vAlign w:val="center"/>
          </w:tcPr>
          <w:p w:rsidR="00B95695" w:rsidRPr="00315335" w:rsidRDefault="00B95695" w:rsidP="00631723">
            <w:pPr>
              <w:jc w:val="center"/>
              <w:rPr>
                <w:rFonts w:ascii="Arial" w:hAnsi="Arial" w:cs="Arial"/>
                <w:b/>
              </w:rPr>
            </w:pPr>
            <w:r w:rsidRPr="00315335">
              <w:rPr>
                <w:rFonts w:ascii="Arial" w:hAnsi="Arial" w:cs="Arial"/>
                <w:b/>
              </w:rPr>
              <w:t>2013*</w:t>
            </w:r>
          </w:p>
        </w:tc>
        <w:tc>
          <w:tcPr>
            <w:tcW w:w="1084" w:type="dxa"/>
            <w:shd w:val="clear" w:color="auto" w:fill="CCC0D9" w:themeFill="accent4" w:themeFillTint="66"/>
            <w:vAlign w:val="center"/>
          </w:tcPr>
          <w:p w:rsidR="00B95695" w:rsidRPr="00315335" w:rsidRDefault="00B95695" w:rsidP="00631723">
            <w:pPr>
              <w:jc w:val="center"/>
              <w:rPr>
                <w:rFonts w:ascii="Arial" w:hAnsi="Arial" w:cs="Arial"/>
                <w:b/>
              </w:rPr>
            </w:pPr>
            <w:r w:rsidRPr="00315335">
              <w:rPr>
                <w:rFonts w:ascii="Arial" w:hAnsi="Arial" w:cs="Arial"/>
                <w:b/>
              </w:rPr>
              <w:t>2014*</w:t>
            </w:r>
          </w:p>
        </w:tc>
        <w:tc>
          <w:tcPr>
            <w:tcW w:w="1084" w:type="dxa"/>
            <w:shd w:val="clear" w:color="auto" w:fill="CCC0D9" w:themeFill="accent4" w:themeFillTint="66"/>
            <w:vAlign w:val="center"/>
          </w:tcPr>
          <w:p w:rsidR="00B95695" w:rsidRPr="00315335" w:rsidRDefault="00B95695" w:rsidP="00631723">
            <w:pPr>
              <w:jc w:val="center"/>
              <w:rPr>
                <w:rFonts w:ascii="Arial" w:hAnsi="Arial" w:cs="Arial"/>
                <w:b/>
              </w:rPr>
            </w:pPr>
            <w:r w:rsidRPr="00315335">
              <w:rPr>
                <w:rFonts w:ascii="Arial" w:hAnsi="Arial" w:cs="Arial"/>
                <w:b/>
              </w:rPr>
              <w:t>2015**</w:t>
            </w:r>
          </w:p>
        </w:tc>
        <w:tc>
          <w:tcPr>
            <w:tcW w:w="1084" w:type="dxa"/>
            <w:shd w:val="clear" w:color="auto" w:fill="CCC0D9" w:themeFill="accent4" w:themeFillTint="66"/>
            <w:vAlign w:val="center"/>
          </w:tcPr>
          <w:p w:rsidR="00B95695" w:rsidRPr="00315335" w:rsidRDefault="00B95695" w:rsidP="00631723">
            <w:pPr>
              <w:jc w:val="center"/>
              <w:rPr>
                <w:rFonts w:ascii="Arial" w:hAnsi="Arial" w:cs="Arial"/>
                <w:b/>
              </w:rPr>
            </w:pPr>
            <w:r w:rsidRPr="00315335">
              <w:rPr>
                <w:rFonts w:ascii="Arial" w:hAnsi="Arial" w:cs="Arial"/>
                <w:b/>
              </w:rPr>
              <w:t>2016**</w:t>
            </w:r>
          </w:p>
        </w:tc>
      </w:tr>
      <w:tr w:rsidR="00B95695" w:rsidRPr="00315335" w:rsidTr="00631723">
        <w:trPr>
          <w:trHeight w:val="300"/>
          <w:jc w:val="center"/>
        </w:trPr>
        <w:tc>
          <w:tcPr>
            <w:tcW w:w="3934" w:type="dxa"/>
            <w:shd w:val="clear" w:color="auto" w:fill="E5DFEC" w:themeFill="accent4" w:themeFillTint="33"/>
            <w:noWrap/>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i/>
                <w:iCs/>
                <w:sz w:val="24"/>
                <w:szCs w:val="24"/>
              </w:rPr>
              <w:t xml:space="preserve">Valoarea adăugată brută </w:t>
            </w:r>
            <w:r w:rsidRPr="00315335">
              <w:rPr>
                <w:rFonts w:ascii="Arial" w:hAnsi="Arial" w:cs="Arial"/>
                <w:sz w:val="24"/>
                <w:szCs w:val="24"/>
              </w:rPr>
              <w:t xml:space="preserve"> - </w:t>
            </w:r>
            <w:r w:rsidRPr="00315335">
              <w:rPr>
                <w:rFonts w:ascii="Arial" w:hAnsi="Arial" w:cs="Arial"/>
                <w:b/>
                <w:sz w:val="24"/>
                <w:szCs w:val="24"/>
              </w:rPr>
              <w:t>Total</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6084,1</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6525,9</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6499,4</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6762,6</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7505,5</w:t>
            </w:r>
          </w:p>
        </w:tc>
      </w:tr>
      <w:tr w:rsidR="00B95695" w:rsidRPr="00315335" w:rsidTr="00631723">
        <w:trPr>
          <w:trHeight w:val="315"/>
          <w:jc w:val="center"/>
        </w:trPr>
        <w:tc>
          <w:tcPr>
            <w:tcW w:w="3934" w:type="dxa"/>
            <w:shd w:val="clear" w:color="auto" w:fill="E5DFEC" w:themeFill="accent4" w:themeFillTint="33"/>
            <w:noWrap/>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 xml:space="preserve">Agricultură, silvicultură şi pescuit </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1003,2</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1369,5</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1104,1</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1075,8</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1275,8</w:t>
            </w:r>
          </w:p>
        </w:tc>
      </w:tr>
      <w:tr w:rsidR="00B95695" w:rsidRPr="00315335" w:rsidTr="00631723">
        <w:trPr>
          <w:trHeight w:val="720"/>
          <w:jc w:val="center"/>
        </w:trPr>
        <w:tc>
          <w:tcPr>
            <w:tcW w:w="3934" w:type="dxa"/>
            <w:shd w:val="clear" w:color="auto" w:fill="E5DFEC" w:themeFill="accent4" w:themeFillTint="33"/>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Industria extractivă; industria prelucrătoare; producția și furnizarea de energie electrică și termică, gaze, apă caldă și aer condiționat; distribuția apei; salubritate, gestionarea deșeurilor, activități de decontaminare</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1575,2</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1575,3</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1555,6</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1509,6</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1571,7</w:t>
            </w:r>
          </w:p>
        </w:tc>
      </w:tr>
      <w:tr w:rsidR="00B95695" w:rsidRPr="00315335" w:rsidTr="00631723">
        <w:trPr>
          <w:trHeight w:val="315"/>
          <w:jc w:val="center"/>
        </w:trPr>
        <w:tc>
          <w:tcPr>
            <w:tcW w:w="3934" w:type="dxa"/>
            <w:shd w:val="clear" w:color="auto" w:fill="E5DFEC" w:themeFill="accent4" w:themeFillTint="33"/>
            <w:noWrap/>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Construcţii</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746,4</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735,3</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676,4</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676,1</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795,8</w:t>
            </w:r>
          </w:p>
        </w:tc>
      </w:tr>
      <w:tr w:rsidR="00B95695" w:rsidRPr="00315335" w:rsidTr="00631723">
        <w:trPr>
          <w:trHeight w:val="420"/>
          <w:jc w:val="center"/>
        </w:trPr>
        <w:tc>
          <w:tcPr>
            <w:tcW w:w="3934" w:type="dxa"/>
            <w:shd w:val="clear" w:color="auto" w:fill="E5DFEC" w:themeFill="accent4" w:themeFillTint="33"/>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Comerț cu ridicata și cu amănuntul; repararea autovehiculelor și motocicletelor; transport și depozitare; hoteluri și restaurante</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933,8</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900,0</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1025,1</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1262</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1449,5</w:t>
            </w:r>
          </w:p>
        </w:tc>
      </w:tr>
      <w:tr w:rsidR="00B95695" w:rsidRPr="00315335" w:rsidTr="00631723">
        <w:trPr>
          <w:trHeight w:val="315"/>
          <w:jc w:val="center"/>
        </w:trPr>
        <w:tc>
          <w:tcPr>
            <w:tcW w:w="3934" w:type="dxa"/>
            <w:shd w:val="clear" w:color="auto" w:fill="E5DFEC" w:themeFill="accent4" w:themeFillTint="33"/>
            <w:noWrap/>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Informații și comunicații</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65,0</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94,2</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64,5</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178,5</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88,2</w:t>
            </w:r>
          </w:p>
        </w:tc>
      </w:tr>
      <w:tr w:rsidR="00B95695" w:rsidRPr="00315335" w:rsidTr="00631723">
        <w:trPr>
          <w:trHeight w:val="315"/>
          <w:jc w:val="center"/>
        </w:trPr>
        <w:tc>
          <w:tcPr>
            <w:tcW w:w="3934" w:type="dxa"/>
            <w:shd w:val="clear" w:color="auto" w:fill="E5DFEC" w:themeFill="accent4" w:themeFillTint="33"/>
            <w:noWrap/>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Intermedieri financiare şi asigurări</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86,0</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122,1</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105,9</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107,6</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139,9</w:t>
            </w:r>
          </w:p>
        </w:tc>
      </w:tr>
      <w:tr w:rsidR="00B95695" w:rsidRPr="00315335" w:rsidTr="00631723">
        <w:trPr>
          <w:trHeight w:val="315"/>
          <w:jc w:val="center"/>
        </w:trPr>
        <w:tc>
          <w:tcPr>
            <w:tcW w:w="3934" w:type="dxa"/>
            <w:shd w:val="clear" w:color="auto" w:fill="E5DFEC" w:themeFill="accent4" w:themeFillTint="33"/>
            <w:noWrap/>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Tranzacţii imobiliare</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409,6</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384,7</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378,0</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392,6</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411,3</w:t>
            </w:r>
          </w:p>
        </w:tc>
      </w:tr>
      <w:tr w:rsidR="00B95695" w:rsidRPr="00315335" w:rsidTr="00631723">
        <w:trPr>
          <w:trHeight w:val="435"/>
          <w:jc w:val="center"/>
        </w:trPr>
        <w:tc>
          <w:tcPr>
            <w:tcW w:w="3934" w:type="dxa"/>
            <w:shd w:val="clear" w:color="auto" w:fill="E5DFEC" w:themeFill="accent4" w:themeFillTint="33"/>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Activități profesionale, științifice și tehnice; activități de servicii administrative și activități de servicii suport</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197,5</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270,4</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234,4</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325,6</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336,2</w:t>
            </w:r>
          </w:p>
        </w:tc>
      </w:tr>
      <w:tr w:rsidR="00B95695" w:rsidRPr="00315335" w:rsidTr="00631723">
        <w:trPr>
          <w:trHeight w:val="480"/>
          <w:jc w:val="center"/>
        </w:trPr>
        <w:tc>
          <w:tcPr>
            <w:tcW w:w="3934" w:type="dxa"/>
            <w:shd w:val="clear" w:color="auto" w:fill="E5DFEC" w:themeFill="accent4" w:themeFillTint="33"/>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Administrație publică și apărare; asigurări sociale din sistemul public; învățământ; sănătate și asistență socială</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884,8</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920,1</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1088,3</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926,0</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1157,4</w:t>
            </w:r>
          </w:p>
        </w:tc>
      </w:tr>
      <w:tr w:rsidR="00B95695" w:rsidRPr="00315335" w:rsidTr="00631723">
        <w:trPr>
          <w:trHeight w:val="315"/>
          <w:jc w:val="center"/>
        </w:trPr>
        <w:tc>
          <w:tcPr>
            <w:tcW w:w="3934" w:type="dxa"/>
            <w:shd w:val="clear" w:color="auto" w:fill="E5DFEC" w:themeFill="accent4" w:themeFillTint="33"/>
            <w:vAlign w:val="center"/>
          </w:tcPr>
          <w:p w:rsidR="00B95695" w:rsidRPr="00315335" w:rsidRDefault="00B95695" w:rsidP="00631723">
            <w:pPr>
              <w:spacing w:after="0" w:line="240" w:lineRule="auto"/>
              <w:rPr>
                <w:rFonts w:ascii="Arial" w:hAnsi="Arial" w:cs="Arial"/>
                <w:i/>
                <w:iCs/>
                <w:sz w:val="24"/>
                <w:szCs w:val="24"/>
              </w:rPr>
            </w:pPr>
            <w:r w:rsidRPr="00315335">
              <w:rPr>
                <w:rFonts w:ascii="Arial" w:hAnsi="Arial" w:cs="Arial"/>
                <w:i/>
                <w:iCs/>
                <w:sz w:val="24"/>
                <w:szCs w:val="24"/>
              </w:rPr>
              <w:t>Activități culturale și spectacole; reparații de produse de uz casnic și alte servicii</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182,6</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154,3</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267,1</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308,8</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rPr>
            </w:pPr>
            <w:r w:rsidRPr="00315335">
              <w:rPr>
                <w:rFonts w:ascii="Arial" w:hAnsi="Arial" w:cs="Arial"/>
              </w:rPr>
              <w:t>279,7</w:t>
            </w:r>
          </w:p>
        </w:tc>
      </w:tr>
      <w:tr w:rsidR="00B95695" w:rsidRPr="00315335" w:rsidTr="00631723">
        <w:trPr>
          <w:trHeight w:val="300"/>
          <w:jc w:val="center"/>
        </w:trPr>
        <w:tc>
          <w:tcPr>
            <w:tcW w:w="3934" w:type="dxa"/>
            <w:shd w:val="clear" w:color="auto" w:fill="E5DFEC" w:themeFill="accent4" w:themeFillTint="33"/>
            <w:noWrap/>
            <w:vAlign w:val="center"/>
          </w:tcPr>
          <w:p w:rsidR="00B95695" w:rsidRPr="00315335" w:rsidRDefault="00B95695" w:rsidP="00631723">
            <w:pPr>
              <w:spacing w:after="0" w:line="240" w:lineRule="auto"/>
              <w:rPr>
                <w:rFonts w:ascii="Arial" w:hAnsi="Arial" w:cs="Arial"/>
                <w:b/>
                <w:bCs/>
                <w:i/>
                <w:iCs/>
                <w:sz w:val="24"/>
                <w:szCs w:val="24"/>
              </w:rPr>
            </w:pPr>
            <w:r w:rsidRPr="00315335">
              <w:rPr>
                <w:rFonts w:ascii="Arial" w:hAnsi="Arial" w:cs="Arial"/>
                <w:b/>
                <w:bCs/>
                <w:i/>
                <w:iCs/>
                <w:sz w:val="24"/>
                <w:szCs w:val="24"/>
              </w:rPr>
              <w:t xml:space="preserve">Produsul Intern Brut </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6945,8</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7410,7</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7360,7</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7710,3</w:t>
            </w:r>
          </w:p>
        </w:tc>
        <w:tc>
          <w:tcPr>
            <w:tcW w:w="1084" w:type="dxa"/>
            <w:shd w:val="clear" w:color="auto" w:fill="E5DFEC" w:themeFill="accent4" w:themeFillTint="33"/>
            <w:vAlign w:val="bottom"/>
          </w:tcPr>
          <w:p w:rsidR="00B95695" w:rsidRPr="00315335" w:rsidRDefault="00B95695" w:rsidP="00631723">
            <w:pPr>
              <w:ind w:right="101"/>
              <w:jc w:val="right"/>
              <w:rPr>
                <w:rFonts w:ascii="Arial" w:hAnsi="Arial" w:cs="Arial"/>
                <w:b/>
              </w:rPr>
            </w:pPr>
            <w:r w:rsidRPr="00315335">
              <w:rPr>
                <w:rFonts w:ascii="Arial" w:hAnsi="Arial" w:cs="Arial"/>
                <w:b/>
              </w:rPr>
              <w:t>8382,3</w:t>
            </w:r>
          </w:p>
        </w:tc>
      </w:tr>
    </w:tbl>
    <w:p w:rsidR="00B95695" w:rsidRPr="00315335" w:rsidRDefault="00B95695" w:rsidP="00B95695">
      <w:pPr>
        <w:pStyle w:val="Listparagraf"/>
        <w:ind w:left="0"/>
        <w:rPr>
          <w:rFonts w:ascii="Arial" w:hAnsi="Arial" w:cs="Arial"/>
          <w:sz w:val="20"/>
          <w:szCs w:val="20"/>
        </w:rPr>
      </w:pPr>
      <w:r w:rsidRPr="00315335">
        <w:rPr>
          <w:rFonts w:ascii="Arial" w:hAnsi="Arial" w:cs="Arial"/>
        </w:rPr>
        <w:t xml:space="preserve">* </w:t>
      </w:r>
      <w:r w:rsidRPr="00315335">
        <w:rPr>
          <w:rFonts w:ascii="Arial" w:hAnsi="Arial" w:cs="Arial"/>
          <w:sz w:val="20"/>
          <w:szCs w:val="20"/>
        </w:rPr>
        <w:t>- Date revizuite</w:t>
      </w:r>
    </w:p>
    <w:p w:rsidR="00B95695" w:rsidRPr="00315335" w:rsidRDefault="00B95695" w:rsidP="00B95695">
      <w:pPr>
        <w:pStyle w:val="Listparagraf"/>
        <w:ind w:left="0"/>
        <w:rPr>
          <w:rFonts w:ascii="Arial" w:hAnsi="Arial" w:cs="Arial"/>
          <w:sz w:val="20"/>
          <w:szCs w:val="20"/>
        </w:rPr>
      </w:pPr>
      <w:r w:rsidRPr="00315335">
        <w:rPr>
          <w:rFonts w:ascii="Arial" w:hAnsi="Arial" w:cs="Arial"/>
          <w:sz w:val="20"/>
          <w:szCs w:val="20"/>
        </w:rPr>
        <w:t>** - Date provizorii</w:t>
      </w:r>
    </w:p>
    <w:p w:rsidR="00B95695" w:rsidRPr="00315335" w:rsidRDefault="00B95695" w:rsidP="00B95695">
      <w:pPr>
        <w:pStyle w:val="Listparagraf"/>
        <w:ind w:left="0"/>
        <w:rPr>
          <w:rFonts w:ascii="Arial" w:hAnsi="Arial" w:cs="Arial"/>
        </w:rPr>
      </w:pPr>
      <w:r w:rsidRPr="00315335">
        <w:rPr>
          <w:rFonts w:ascii="Arial" w:hAnsi="Arial" w:cs="Arial"/>
          <w:bCs/>
          <w:sz w:val="20"/>
          <w:szCs w:val="20"/>
        </w:rPr>
        <w:t xml:space="preserve"> Notă: Informații furnizate de către Direcția Regională de Statistică Brăila</w:t>
      </w:r>
    </w:p>
    <w:p w:rsidR="00B95695" w:rsidRPr="00315335" w:rsidRDefault="00B95695" w:rsidP="00B95695">
      <w:pPr>
        <w:pStyle w:val="Default"/>
        <w:rPr>
          <w:rFonts w:ascii="Arial" w:hAnsi="Arial" w:cs="Arial"/>
          <w:b/>
          <w:color w:val="auto"/>
        </w:rPr>
      </w:pPr>
    </w:p>
    <w:p w:rsidR="00B95695" w:rsidRPr="00315335" w:rsidRDefault="00B95695" w:rsidP="00B95695">
      <w:pPr>
        <w:pStyle w:val="Default"/>
        <w:rPr>
          <w:rFonts w:ascii="Arial" w:hAnsi="Arial" w:cs="Arial"/>
          <w:color w:val="auto"/>
        </w:rPr>
      </w:pPr>
      <w:r w:rsidRPr="00315335">
        <w:rPr>
          <w:rFonts w:ascii="Arial" w:hAnsi="Arial" w:cs="Arial"/>
          <w:b/>
          <w:color w:val="auto"/>
        </w:rPr>
        <w:t>Influenţele demografice</w:t>
      </w:r>
    </w:p>
    <w:p w:rsidR="00B95695" w:rsidRPr="00315335" w:rsidRDefault="00B95695" w:rsidP="00B95695">
      <w:pPr>
        <w:pStyle w:val="Default"/>
        <w:rPr>
          <w:rFonts w:ascii="Arial" w:hAnsi="Arial" w:cs="Arial"/>
          <w:color w:val="auto"/>
        </w:rPr>
      </w:pPr>
      <w:r w:rsidRPr="00315335">
        <w:rPr>
          <w:rFonts w:ascii="Arial" w:hAnsi="Arial" w:cs="Arial"/>
          <w:b/>
          <w:i/>
          <w:color w:val="auto"/>
          <w:lang w:val="ro-RO"/>
        </w:rPr>
        <w:t>Modificarea densității populației</w:t>
      </w:r>
    </w:p>
    <w:p w:rsidR="00B95695" w:rsidRPr="00315335" w:rsidRDefault="00B95695" w:rsidP="00B95695">
      <w:pPr>
        <w:spacing w:after="0" w:line="240" w:lineRule="auto"/>
        <w:rPr>
          <w:rFonts w:ascii="Arial" w:hAnsi="Arial" w:cs="Arial"/>
          <w:lang w:val="it-IT"/>
        </w:rPr>
      </w:pPr>
      <w:r w:rsidRPr="00315335">
        <w:rPr>
          <w:rFonts w:ascii="Arial" w:hAnsi="Arial" w:cs="Arial"/>
          <w:b/>
          <w:bCs/>
        </w:rPr>
        <w:t xml:space="preserve">Tabelul nr. X.2.- 2  </w:t>
      </w:r>
      <w:r w:rsidRPr="00315335">
        <w:rPr>
          <w:rFonts w:ascii="Arial" w:hAnsi="Arial" w:cs="Arial"/>
          <w:lang w:val="it-IT"/>
        </w:rPr>
        <w:t xml:space="preserve">Populaţia județului Brăila după domiciliu, pe medii </w:t>
      </w:r>
      <w:r w:rsidRPr="00315335">
        <w:rPr>
          <w:rFonts w:ascii="Arial" w:hAnsi="Arial" w:cs="Arial"/>
        </w:rPr>
        <w:t>în perioada 2014 – 2018</w:t>
      </w:r>
      <w:r w:rsidRPr="00315335">
        <w:rPr>
          <w:rFonts w:ascii="Arial" w:hAnsi="Arial" w:cs="Arial"/>
          <w:lang w:val="it-IT"/>
        </w:rPr>
        <w:t>:</w:t>
      </w:r>
    </w:p>
    <w:p w:rsidR="00B95695" w:rsidRPr="00315335" w:rsidRDefault="00B95695" w:rsidP="00B95695">
      <w:pPr>
        <w:spacing w:after="0" w:line="240" w:lineRule="auto"/>
        <w:rPr>
          <w:rFonts w:ascii="Arial" w:hAnsi="Arial" w:cs="Arial"/>
          <w:lang w:val="it-IT"/>
        </w:rPr>
      </w:pPr>
      <w:r w:rsidRPr="00315335">
        <w:rPr>
          <w:rFonts w:ascii="Arial" w:hAnsi="Arial" w:cs="Arial"/>
          <w:lang w:val="it-IT"/>
        </w:rPr>
        <w:t xml:space="preserve">             </w:t>
      </w:r>
      <w:r w:rsidRPr="00315335">
        <w:rPr>
          <w:rFonts w:ascii="Arial" w:hAnsi="Arial" w:cs="Arial"/>
          <w:bCs/>
        </w:rPr>
        <w:t xml:space="preserve"> Număr persoane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1084"/>
        <w:gridCol w:w="1133"/>
        <w:gridCol w:w="1133"/>
        <w:gridCol w:w="1084"/>
        <w:gridCol w:w="1084"/>
      </w:tblGrid>
      <w:tr w:rsidR="00B95695" w:rsidRPr="00315335" w:rsidTr="00631723">
        <w:trPr>
          <w:trHeight w:val="397"/>
          <w:jc w:val="center"/>
        </w:trPr>
        <w:tc>
          <w:tcPr>
            <w:tcW w:w="2013"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Judeţul Brăila</w:t>
            </w:r>
          </w:p>
        </w:tc>
        <w:tc>
          <w:tcPr>
            <w:tcW w:w="1084"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2014</w:t>
            </w:r>
          </w:p>
        </w:tc>
        <w:tc>
          <w:tcPr>
            <w:tcW w:w="1133"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2015</w:t>
            </w:r>
          </w:p>
        </w:tc>
        <w:tc>
          <w:tcPr>
            <w:tcW w:w="1133"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2016</w:t>
            </w:r>
          </w:p>
        </w:tc>
        <w:tc>
          <w:tcPr>
            <w:tcW w:w="1084"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2017</w:t>
            </w:r>
          </w:p>
        </w:tc>
        <w:tc>
          <w:tcPr>
            <w:tcW w:w="1084" w:type="dxa"/>
            <w:shd w:val="clear" w:color="auto" w:fill="F2DBDB" w:themeFill="accent2"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2018</w:t>
            </w:r>
          </w:p>
        </w:tc>
      </w:tr>
      <w:tr w:rsidR="00B95695" w:rsidRPr="00315335" w:rsidTr="00631723">
        <w:trPr>
          <w:trHeight w:val="300"/>
          <w:jc w:val="center"/>
        </w:trPr>
        <w:tc>
          <w:tcPr>
            <w:tcW w:w="2013" w:type="dxa"/>
            <w:shd w:val="clear" w:color="auto" w:fill="EAF1DD" w:themeFill="accent3" w:themeFillTint="33"/>
            <w:vAlign w:val="center"/>
          </w:tcPr>
          <w:p w:rsidR="00B95695" w:rsidRPr="00315335" w:rsidRDefault="00B95695" w:rsidP="00631723">
            <w:pPr>
              <w:spacing w:after="0" w:line="240" w:lineRule="auto"/>
              <w:rPr>
                <w:rFonts w:ascii="Arial" w:hAnsi="Arial" w:cs="Arial"/>
                <w:b/>
                <w:bCs/>
                <w:sz w:val="24"/>
                <w:szCs w:val="24"/>
              </w:rPr>
            </w:pPr>
            <w:r w:rsidRPr="00315335">
              <w:rPr>
                <w:rFonts w:ascii="Arial" w:hAnsi="Arial" w:cs="Arial"/>
                <w:b/>
                <w:bCs/>
                <w:sz w:val="24"/>
                <w:szCs w:val="24"/>
              </w:rPr>
              <w:t>Total populaţie</w:t>
            </w:r>
          </w:p>
        </w:tc>
        <w:tc>
          <w:tcPr>
            <w:tcW w:w="1084" w:type="dxa"/>
            <w:shd w:val="clear" w:color="auto" w:fill="EAF1DD" w:themeFill="accent3" w:themeFillTint="33"/>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361.218</w:t>
            </w:r>
          </w:p>
        </w:tc>
        <w:tc>
          <w:tcPr>
            <w:tcW w:w="1133" w:type="dxa"/>
            <w:shd w:val="clear" w:color="auto" w:fill="EAF1DD" w:themeFill="accent3" w:themeFillTint="33"/>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357.752</w:t>
            </w:r>
          </w:p>
        </w:tc>
        <w:tc>
          <w:tcPr>
            <w:tcW w:w="1133" w:type="dxa"/>
            <w:shd w:val="clear" w:color="auto" w:fill="EAF1DD" w:themeFill="accent3" w:themeFillTint="33"/>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354.275</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352.910</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346773</w:t>
            </w:r>
          </w:p>
        </w:tc>
      </w:tr>
      <w:tr w:rsidR="00B95695" w:rsidRPr="00315335" w:rsidTr="00631723">
        <w:trPr>
          <w:trHeight w:val="300"/>
          <w:jc w:val="center"/>
        </w:trPr>
        <w:tc>
          <w:tcPr>
            <w:tcW w:w="2013" w:type="dxa"/>
            <w:shd w:val="clear" w:color="auto" w:fill="EAF1DD" w:themeFill="accent3"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Urban</w:t>
            </w:r>
          </w:p>
        </w:tc>
        <w:tc>
          <w:tcPr>
            <w:tcW w:w="1084" w:type="dxa"/>
            <w:shd w:val="clear" w:color="auto" w:fill="EAF1DD" w:themeFill="accent3"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236.557</w:t>
            </w:r>
          </w:p>
        </w:tc>
        <w:tc>
          <w:tcPr>
            <w:tcW w:w="1133" w:type="dxa"/>
            <w:shd w:val="clear" w:color="auto" w:fill="EAF1DD" w:themeFill="accent3"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234.055</w:t>
            </w:r>
          </w:p>
        </w:tc>
        <w:tc>
          <w:tcPr>
            <w:tcW w:w="1133"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231.312</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230.259</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225578</w:t>
            </w:r>
          </w:p>
        </w:tc>
      </w:tr>
      <w:tr w:rsidR="00B95695" w:rsidRPr="00315335" w:rsidTr="00631723">
        <w:trPr>
          <w:trHeight w:val="300"/>
          <w:jc w:val="center"/>
        </w:trPr>
        <w:tc>
          <w:tcPr>
            <w:tcW w:w="2013" w:type="dxa"/>
            <w:shd w:val="clear" w:color="auto" w:fill="EAF1DD" w:themeFill="accent3" w:themeFillTint="33"/>
            <w:vAlign w:val="center"/>
          </w:tcPr>
          <w:p w:rsidR="00B95695" w:rsidRPr="00315335" w:rsidRDefault="00B95695" w:rsidP="00631723">
            <w:pPr>
              <w:spacing w:after="0" w:line="240" w:lineRule="auto"/>
              <w:rPr>
                <w:rFonts w:ascii="Arial" w:hAnsi="Arial" w:cs="Arial"/>
                <w:bCs/>
                <w:sz w:val="24"/>
                <w:szCs w:val="24"/>
              </w:rPr>
            </w:pPr>
            <w:r w:rsidRPr="00315335">
              <w:rPr>
                <w:rFonts w:ascii="Arial" w:hAnsi="Arial" w:cs="Arial"/>
                <w:bCs/>
                <w:sz w:val="24"/>
                <w:szCs w:val="24"/>
              </w:rPr>
              <w:t>Rural</w:t>
            </w:r>
          </w:p>
        </w:tc>
        <w:tc>
          <w:tcPr>
            <w:tcW w:w="1084" w:type="dxa"/>
            <w:shd w:val="clear" w:color="auto" w:fill="EAF1DD" w:themeFill="accent3"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124.661</w:t>
            </w:r>
          </w:p>
        </w:tc>
        <w:tc>
          <w:tcPr>
            <w:tcW w:w="1133" w:type="dxa"/>
            <w:shd w:val="clear" w:color="auto" w:fill="EAF1DD" w:themeFill="accent3" w:themeFillTint="33"/>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123.697</w:t>
            </w:r>
          </w:p>
        </w:tc>
        <w:tc>
          <w:tcPr>
            <w:tcW w:w="1133"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122.963</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122.651</w:t>
            </w:r>
          </w:p>
        </w:tc>
        <w:tc>
          <w:tcPr>
            <w:tcW w:w="1084" w:type="dxa"/>
            <w:shd w:val="clear" w:color="auto" w:fill="EAF1DD" w:themeFill="accent3" w:themeFillTint="33"/>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121195</w:t>
            </w:r>
          </w:p>
        </w:tc>
      </w:tr>
    </w:tbl>
    <w:p w:rsidR="00B95695" w:rsidRPr="00315335" w:rsidRDefault="00B95695" w:rsidP="00B95695">
      <w:pPr>
        <w:pStyle w:val="Listparagraf"/>
        <w:ind w:left="0"/>
        <w:rPr>
          <w:rFonts w:ascii="Arial" w:hAnsi="Arial" w:cs="Arial"/>
        </w:rPr>
      </w:pPr>
      <w:r w:rsidRPr="00315335">
        <w:rPr>
          <w:rFonts w:ascii="Arial" w:hAnsi="Arial" w:cs="Arial"/>
          <w:bCs/>
        </w:rPr>
        <w:lastRenderedPageBreak/>
        <w:t xml:space="preserve">                                                                                           </w:t>
      </w:r>
    </w:p>
    <w:p w:rsidR="00B95695" w:rsidRPr="00315335" w:rsidRDefault="00B95695" w:rsidP="00B95695">
      <w:pPr>
        <w:pStyle w:val="Listparagraf"/>
        <w:ind w:left="0"/>
        <w:rPr>
          <w:rFonts w:ascii="Arial" w:hAnsi="Arial" w:cs="Arial"/>
          <w:b/>
          <w:bCs/>
          <w:sz w:val="20"/>
          <w:szCs w:val="20"/>
        </w:rPr>
      </w:pPr>
      <w:r w:rsidRPr="00315335">
        <w:rPr>
          <w:rFonts w:ascii="Arial" w:hAnsi="Arial" w:cs="Arial"/>
          <w:b/>
          <w:sz w:val="20"/>
          <w:szCs w:val="20"/>
        </w:rPr>
        <w:t xml:space="preserve">        </w:t>
      </w:r>
      <w:r w:rsidRPr="00315335">
        <w:rPr>
          <w:rFonts w:ascii="Arial" w:hAnsi="Arial" w:cs="Arial"/>
          <w:bCs/>
          <w:sz w:val="20"/>
          <w:szCs w:val="20"/>
        </w:rPr>
        <w:t xml:space="preserve">       Notă: Informații furnizate de către Direcția Regională de Statistică Brăila</w:t>
      </w:r>
    </w:p>
    <w:p w:rsidR="00B95695" w:rsidRPr="00315335" w:rsidRDefault="00B95695" w:rsidP="00B95695">
      <w:pPr>
        <w:spacing w:after="0" w:line="240" w:lineRule="auto"/>
        <w:rPr>
          <w:rFonts w:ascii="Arial" w:eastAsia="Times New Roman" w:hAnsi="Arial" w:cs="Arial"/>
          <w:sz w:val="16"/>
          <w:szCs w:val="16"/>
          <w:lang w:eastAsia="en-US"/>
        </w:rPr>
      </w:pPr>
      <w:r w:rsidRPr="00315335">
        <w:rPr>
          <w:rFonts w:ascii="Arial" w:hAnsi="Arial" w:cs="Arial"/>
          <w:b/>
          <w:sz w:val="16"/>
          <w:szCs w:val="16"/>
        </w:rPr>
        <w:t xml:space="preserve">Notă: </w:t>
      </w:r>
      <w:r w:rsidRPr="00315335">
        <w:rPr>
          <w:rFonts w:ascii="Arial" w:eastAsia="Times New Roman" w:hAnsi="Arial" w:cs="Arial"/>
          <w:sz w:val="16"/>
          <w:szCs w:val="16"/>
          <w:lang w:eastAsia="en-US"/>
        </w:rPr>
        <w:t xml:space="preserve">Populaţia după domiciliu reprezintă numărul persoanelor cu cetăţenie română şi domiciliu pe teritoriul României, delimitat după criterii administrativ-teritoriale. Domiciliul persoanei este adresa la care aceasta declară că are locuinţa principală, trecută în actul </w:t>
      </w:r>
      <w:r w:rsidRPr="00315335">
        <w:rPr>
          <w:rFonts w:ascii="Arial" w:eastAsia="Times New Roman" w:hAnsi="Arial" w:cs="Arial"/>
          <w:i/>
          <w:sz w:val="16"/>
          <w:szCs w:val="16"/>
          <w:lang w:eastAsia="en-US"/>
        </w:rPr>
        <w:t>de identitate</w:t>
      </w:r>
      <w:r w:rsidRPr="00315335">
        <w:rPr>
          <w:rFonts w:ascii="Arial" w:eastAsia="Times New Roman" w:hAnsi="Arial" w:cs="Arial"/>
          <w:sz w:val="16"/>
          <w:szCs w:val="16"/>
          <w:lang w:eastAsia="en-US"/>
        </w:rPr>
        <w:t xml:space="preserve"> (CI, BI), aşa cum este luată în evidenţa organelor administrative ale statului. În stabilirea valorii acestui indicator nu se ţine cont de reşedinţa obişnuită, de perioada şi/sau de motivul absenţei de la domiciliu.  Datele sunt disponibile în profil teritorial până la nivel de localitate (municipiu, oraş, comună).</w:t>
      </w:r>
    </w:p>
    <w:p w:rsidR="00B95695" w:rsidRPr="00315335" w:rsidRDefault="00B95695" w:rsidP="00B95695">
      <w:pPr>
        <w:spacing w:after="0" w:line="240" w:lineRule="auto"/>
        <w:rPr>
          <w:rFonts w:ascii="Arial" w:eastAsia="Times New Roman" w:hAnsi="Arial" w:cs="Arial"/>
          <w:sz w:val="16"/>
          <w:szCs w:val="16"/>
          <w:lang w:eastAsia="en-US"/>
        </w:rPr>
      </w:pPr>
    </w:p>
    <w:p w:rsidR="00B95695" w:rsidRPr="00315335" w:rsidRDefault="00B95695" w:rsidP="00B95695">
      <w:pPr>
        <w:pStyle w:val="Listparagraf"/>
        <w:ind w:left="0"/>
        <w:rPr>
          <w:rFonts w:ascii="Arial" w:hAnsi="Arial" w:cs="Arial"/>
          <w:bCs/>
          <w:sz w:val="20"/>
          <w:szCs w:val="20"/>
        </w:rPr>
      </w:pPr>
      <w:r w:rsidRPr="00315335">
        <w:rPr>
          <w:rFonts w:ascii="Arial" w:hAnsi="Arial" w:cs="Arial"/>
          <w:b/>
          <w:sz w:val="20"/>
          <w:szCs w:val="20"/>
        </w:rPr>
        <w:t xml:space="preserve">            la o suprafață a  județului Brăila de 4.766 km</w:t>
      </w:r>
      <w:r w:rsidRPr="00315335">
        <w:rPr>
          <w:rFonts w:ascii="Arial" w:hAnsi="Arial" w:cs="Arial"/>
          <w:b/>
          <w:sz w:val="20"/>
          <w:szCs w:val="20"/>
          <w:vertAlign w:val="superscript"/>
        </w:rPr>
        <w:t>2</w:t>
      </w:r>
    </w:p>
    <w:p w:rsidR="00B95695" w:rsidRPr="00315335" w:rsidRDefault="00B95695" w:rsidP="00B95695">
      <w:pPr>
        <w:pStyle w:val="Default"/>
        <w:rPr>
          <w:rFonts w:ascii="Arial" w:hAnsi="Arial" w:cs="Arial"/>
          <w:b/>
          <w:color w:val="auto"/>
        </w:rPr>
      </w:pPr>
    </w:p>
    <w:p w:rsidR="00B95695" w:rsidRPr="00315335" w:rsidRDefault="00B95695" w:rsidP="00B95695">
      <w:pPr>
        <w:pStyle w:val="Default"/>
        <w:jc w:val="center"/>
        <w:rPr>
          <w:rFonts w:ascii="Arial" w:hAnsi="Arial" w:cs="Arial"/>
          <w:b/>
          <w:color w:val="auto"/>
        </w:rPr>
      </w:pPr>
      <w:r w:rsidRPr="00315335">
        <w:rPr>
          <w:rFonts w:ascii="Arial" w:hAnsi="Arial" w:cs="Arial"/>
          <w:b/>
          <w:noProof/>
          <w:color w:val="auto"/>
          <w:lang w:val="ro-RO" w:eastAsia="ro-RO"/>
        </w:rPr>
        <w:drawing>
          <wp:inline distT="0" distB="0" distL="0" distR="0" wp14:anchorId="0AD58CB6" wp14:editId="3D83CB2E">
            <wp:extent cx="5486400" cy="2349796"/>
            <wp:effectExtent l="0" t="0" r="0" b="12700"/>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B95695" w:rsidRPr="00315335" w:rsidRDefault="00B95695" w:rsidP="00B95695">
      <w:pPr>
        <w:pStyle w:val="Default"/>
        <w:rPr>
          <w:rFonts w:ascii="Arial" w:hAnsi="Arial" w:cs="Arial"/>
          <w:b/>
          <w:color w:val="auto"/>
        </w:rPr>
      </w:pPr>
    </w:p>
    <w:p w:rsidR="00B95695" w:rsidRPr="00315335" w:rsidRDefault="00B95695" w:rsidP="00B95695">
      <w:pPr>
        <w:pStyle w:val="Indentcorptext2"/>
        <w:spacing w:after="0" w:line="240" w:lineRule="auto"/>
        <w:ind w:left="0"/>
        <w:rPr>
          <w:rFonts w:ascii="Arial" w:hAnsi="Arial" w:cs="Arial"/>
          <w:lang w:val="ro-RO"/>
        </w:rPr>
      </w:pPr>
      <w:r w:rsidRPr="00315335">
        <w:rPr>
          <w:rFonts w:ascii="Arial" w:hAnsi="Arial" w:cs="Arial"/>
          <w:b/>
          <w:bCs/>
        </w:rPr>
        <w:t>Tabelul nr. X.2.- 3</w:t>
      </w:r>
      <w:r w:rsidRPr="00315335">
        <w:rPr>
          <w:rFonts w:ascii="Arial" w:hAnsi="Arial" w:cs="Arial"/>
          <w:lang w:val="ro-RO"/>
        </w:rPr>
        <w:t>- Evoluţia populaţiei rezidente a judeţului Brăila pe medii (urban și rural) în perioada 2014– 2018</w:t>
      </w:r>
    </w:p>
    <w:p w:rsidR="00B95695" w:rsidRPr="00315335" w:rsidRDefault="00B95695" w:rsidP="00B95695">
      <w:pPr>
        <w:pStyle w:val="Default"/>
        <w:rPr>
          <w:rFonts w:ascii="Arial" w:hAnsi="Arial" w:cs="Arial"/>
          <w:b/>
          <w:color w:val="auto"/>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018"/>
        <w:gridCol w:w="1355"/>
        <w:gridCol w:w="1304"/>
        <w:gridCol w:w="1247"/>
      </w:tblGrid>
      <w:tr w:rsidR="00B95695" w:rsidRPr="00315335" w:rsidTr="00631723">
        <w:trPr>
          <w:trHeight w:val="611"/>
          <w:jc w:val="center"/>
        </w:trPr>
        <w:tc>
          <w:tcPr>
            <w:tcW w:w="1001" w:type="dxa"/>
            <w:tcBorders>
              <w:bottom w:val="single" w:sz="4" w:space="0" w:color="auto"/>
            </w:tcBorders>
            <w:shd w:val="clear" w:color="auto" w:fill="D9D9D9"/>
            <w:vAlign w:val="center"/>
          </w:tcPr>
          <w:p w:rsidR="00B95695" w:rsidRPr="00315335" w:rsidRDefault="00B95695" w:rsidP="00631723">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Anul</w:t>
            </w:r>
          </w:p>
        </w:tc>
        <w:tc>
          <w:tcPr>
            <w:tcW w:w="1018" w:type="dxa"/>
            <w:tcBorders>
              <w:bottom w:val="single" w:sz="4" w:space="0" w:color="auto"/>
            </w:tcBorders>
            <w:shd w:val="clear" w:color="auto" w:fill="D9D9D9"/>
            <w:vAlign w:val="center"/>
          </w:tcPr>
          <w:p w:rsidR="00B95695" w:rsidRPr="00315335" w:rsidRDefault="00B95695" w:rsidP="00631723">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Total</w:t>
            </w:r>
          </w:p>
        </w:tc>
        <w:tc>
          <w:tcPr>
            <w:tcW w:w="1355" w:type="dxa"/>
            <w:tcBorders>
              <w:bottom w:val="single" w:sz="4" w:space="0" w:color="auto"/>
            </w:tcBorders>
            <w:shd w:val="clear" w:color="auto" w:fill="D9D9D9"/>
            <w:vAlign w:val="center"/>
          </w:tcPr>
          <w:p w:rsidR="00B95695" w:rsidRPr="00315335" w:rsidRDefault="00B95695" w:rsidP="00631723">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Urban</w:t>
            </w:r>
          </w:p>
        </w:tc>
        <w:tc>
          <w:tcPr>
            <w:tcW w:w="1304" w:type="dxa"/>
            <w:tcBorders>
              <w:bottom w:val="single" w:sz="4" w:space="0" w:color="auto"/>
            </w:tcBorders>
            <w:shd w:val="clear" w:color="auto" w:fill="D9D9D9"/>
            <w:vAlign w:val="center"/>
          </w:tcPr>
          <w:p w:rsidR="00B95695" w:rsidRPr="00315335" w:rsidRDefault="00B95695" w:rsidP="00631723">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Rural</w:t>
            </w:r>
          </w:p>
        </w:tc>
        <w:tc>
          <w:tcPr>
            <w:tcW w:w="1247" w:type="dxa"/>
            <w:tcBorders>
              <w:bottom w:val="single" w:sz="4" w:space="0" w:color="auto"/>
            </w:tcBorders>
            <w:shd w:val="clear" w:color="auto" w:fill="D9D9D9"/>
            <w:vAlign w:val="center"/>
          </w:tcPr>
          <w:p w:rsidR="00B95695" w:rsidRPr="00315335" w:rsidRDefault="00B95695" w:rsidP="00631723">
            <w:pPr>
              <w:tabs>
                <w:tab w:val="left" w:pos="2160"/>
                <w:tab w:val="left" w:leader="dot" w:pos="8820"/>
              </w:tabs>
              <w:spacing w:after="0" w:line="240" w:lineRule="auto"/>
              <w:rPr>
                <w:rFonts w:ascii="Arial" w:hAnsi="Arial" w:cs="Arial"/>
                <w:b/>
                <w:sz w:val="24"/>
                <w:szCs w:val="24"/>
              </w:rPr>
            </w:pPr>
            <w:r w:rsidRPr="00315335">
              <w:rPr>
                <w:rFonts w:ascii="Arial" w:hAnsi="Arial" w:cs="Arial"/>
                <w:b/>
                <w:sz w:val="24"/>
                <w:szCs w:val="24"/>
              </w:rPr>
              <w:t>Locuitori /km</w:t>
            </w:r>
            <w:r w:rsidRPr="00315335">
              <w:rPr>
                <w:rFonts w:ascii="Arial" w:hAnsi="Arial" w:cs="Arial"/>
                <w:b/>
                <w:sz w:val="24"/>
                <w:szCs w:val="24"/>
                <w:vertAlign w:val="superscript"/>
              </w:rPr>
              <w:t>2</w:t>
            </w:r>
          </w:p>
        </w:tc>
      </w:tr>
      <w:tr w:rsidR="00B95695" w:rsidRPr="00315335" w:rsidTr="00631723">
        <w:trPr>
          <w:trHeight w:val="270"/>
          <w:jc w:val="center"/>
        </w:trPr>
        <w:tc>
          <w:tcPr>
            <w:tcW w:w="1001" w:type="dxa"/>
            <w:shd w:val="clear" w:color="auto" w:fill="FFFFDD"/>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2014</w:t>
            </w:r>
          </w:p>
        </w:tc>
        <w:tc>
          <w:tcPr>
            <w:tcW w:w="1018"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312089</w:t>
            </w:r>
          </w:p>
        </w:tc>
        <w:tc>
          <w:tcPr>
            <w:tcW w:w="1355"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194025</w:t>
            </w:r>
          </w:p>
        </w:tc>
        <w:tc>
          <w:tcPr>
            <w:tcW w:w="1304"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118064</w:t>
            </w:r>
          </w:p>
        </w:tc>
        <w:tc>
          <w:tcPr>
            <w:tcW w:w="1247"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65,49</w:t>
            </w:r>
          </w:p>
        </w:tc>
      </w:tr>
      <w:tr w:rsidR="00B95695" w:rsidRPr="00315335" w:rsidTr="00631723">
        <w:trPr>
          <w:trHeight w:val="270"/>
          <w:jc w:val="center"/>
        </w:trPr>
        <w:tc>
          <w:tcPr>
            <w:tcW w:w="1001" w:type="dxa"/>
            <w:shd w:val="clear" w:color="auto" w:fill="FFFFDD"/>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2015</w:t>
            </w:r>
          </w:p>
        </w:tc>
        <w:tc>
          <w:tcPr>
            <w:tcW w:w="1018"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308176</w:t>
            </w:r>
          </w:p>
        </w:tc>
        <w:tc>
          <w:tcPr>
            <w:tcW w:w="1355"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191230</w:t>
            </w:r>
          </w:p>
        </w:tc>
        <w:tc>
          <w:tcPr>
            <w:tcW w:w="1304"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116946</w:t>
            </w:r>
          </w:p>
        </w:tc>
        <w:tc>
          <w:tcPr>
            <w:tcW w:w="1247"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64,65</w:t>
            </w:r>
          </w:p>
        </w:tc>
      </w:tr>
      <w:tr w:rsidR="00B95695" w:rsidRPr="00315335" w:rsidTr="00631723">
        <w:trPr>
          <w:trHeight w:val="270"/>
          <w:jc w:val="center"/>
        </w:trPr>
        <w:tc>
          <w:tcPr>
            <w:tcW w:w="1001" w:type="dxa"/>
            <w:shd w:val="clear" w:color="auto" w:fill="FFFFDD"/>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2016</w:t>
            </w:r>
          </w:p>
        </w:tc>
        <w:tc>
          <w:tcPr>
            <w:tcW w:w="1018"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303622</w:t>
            </w:r>
          </w:p>
        </w:tc>
        <w:tc>
          <w:tcPr>
            <w:tcW w:w="1355"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187956</w:t>
            </w:r>
          </w:p>
        </w:tc>
        <w:tc>
          <w:tcPr>
            <w:tcW w:w="1304"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115666</w:t>
            </w:r>
          </w:p>
        </w:tc>
        <w:tc>
          <w:tcPr>
            <w:tcW w:w="1247"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63,71</w:t>
            </w:r>
          </w:p>
        </w:tc>
      </w:tr>
      <w:tr w:rsidR="00B95695" w:rsidRPr="00315335" w:rsidTr="00631723">
        <w:trPr>
          <w:trHeight w:val="270"/>
          <w:jc w:val="center"/>
        </w:trPr>
        <w:tc>
          <w:tcPr>
            <w:tcW w:w="1001" w:type="dxa"/>
            <w:shd w:val="clear" w:color="auto" w:fill="FFFFDD"/>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2017</w:t>
            </w:r>
          </w:p>
        </w:tc>
        <w:tc>
          <w:tcPr>
            <w:tcW w:w="1018"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299125</w:t>
            </w:r>
          </w:p>
        </w:tc>
        <w:tc>
          <w:tcPr>
            <w:tcW w:w="1355"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184693</w:t>
            </w:r>
          </w:p>
        </w:tc>
        <w:tc>
          <w:tcPr>
            <w:tcW w:w="1304"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114432</w:t>
            </w:r>
          </w:p>
        </w:tc>
        <w:tc>
          <w:tcPr>
            <w:tcW w:w="1247"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62,76</w:t>
            </w:r>
          </w:p>
        </w:tc>
      </w:tr>
      <w:tr w:rsidR="00B95695" w:rsidRPr="00315335" w:rsidTr="00631723">
        <w:trPr>
          <w:trHeight w:val="270"/>
          <w:jc w:val="center"/>
        </w:trPr>
        <w:tc>
          <w:tcPr>
            <w:tcW w:w="1001" w:type="dxa"/>
            <w:shd w:val="clear" w:color="auto" w:fill="FFFFDD"/>
            <w:vAlign w:val="center"/>
          </w:tcPr>
          <w:p w:rsidR="00B95695" w:rsidRPr="00315335" w:rsidRDefault="00B95695" w:rsidP="00631723">
            <w:pPr>
              <w:spacing w:after="0" w:line="240" w:lineRule="auto"/>
              <w:rPr>
                <w:rFonts w:ascii="Arial" w:hAnsi="Arial" w:cs="Arial"/>
                <w:b/>
                <w:sz w:val="24"/>
                <w:szCs w:val="24"/>
              </w:rPr>
            </w:pPr>
            <w:r w:rsidRPr="00315335">
              <w:rPr>
                <w:rFonts w:ascii="Arial" w:hAnsi="Arial" w:cs="Arial"/>
                <w:b/>
                <w:sz w:val="24"/>
                <w:szCs w:val="24"/>
              </w:rPr>
              <w:t>2018</w:t>
            </w:r>
          </w:p>
        </w:tc>
        <w:tc>
          <w:tcPr>
            <w:tcW w:w="1018"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294143</w:t>
            </w:r>
          </w:p>
        </w:tc>
        <w:tc>
          <w:tcPr>
            <w:tcW w:w="1355"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181077</w:t>
            </w:r>
          </w:p>
        </w:tc>
        <w:tc>
          <w:tcPr>
            <w:tcW w:w="1304"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113066</w:t>
            </w:r>
          </w:p>
        </w:tc>
        <w:tc>
          <w:tcPr>
            <w:tcW w:w="1247" w:type="dxa"/>
            <w:shd w:val="clear" w:color="auto" w:fill="FFFFDD"/>
            <w:vAlign w:val="center"/>
          </w:tcPr>
          <w:p w:rsidR="00B95695" w:rsidRPr="00315335" w:rsidRDefault="00B95695" w:rsidP="00631723">
            <w:pPr>
              <w:spacing w:after="0" w:line="240" w:lineRule="auto"/>
              <w:rPr>
                <w:rFonts w:ascii="Arial" w:hAnsi="Arial" w:cs="Arial"/>
                <w:sz w:val="24"/>
                <w:szCs w:val="24"/>
              </w:rPr>
            </w:pPr>
            <w:r w:rsidRPr="00315335">
              <w:rPr>
                <w:rFonts w:ascii="Arial" w:hAnsi="Arial" w:cs="Arial"/>
                <w:sz w:val="24"/>
                <w:szCs w:val="24"/>
              </w:rPr>
              <w:t>61,71</w:t>
            </w:r>
          </w:p>
        </w:tc>
      </w:tr>
    </w:tbl>
    <w:p w:rsidR="00B95695" w:rsidRPr="00315335" w:rsidRDefault="00B95695" w:rsidP="00B95695">
      <w:pPr>
        <w:spacing w:after="0" w:line="240" w:lineRule="auto"/>
        <w:rPr>
          <w:rFonts w:ascii="Arial" w:hAnsi="Arial" w:cs="Arial"/>
          <w:b/>
          <w:sz w:val="20"/>
          <w:szCs w:val="20"/>
          <w:vertAlign w:val="superscript"/>
        </w:rPr>
      </w:pPr>
      <w:r w:rsidRPr="00315335">
        <w:rPr>
          <w:rFonts w:ascii="Arial" w:hAnsi="Arial" w:cs="Arial"/>
          <w:b/>
          <w:sz w:val="20"/>
          <w:szCs w:val="20"/>
        </w:rPr>
        <w:t>- la o suprafață a  județului Brăila de 4.766 km</w:t>
      </w:r>
      <w:r w:rsidRPr="00315335">
        <w:rPr>
          <w:rFonts w:ascii="Arial" w:hAnsi="Arial" w:cs="Arial"/>
          <w:b/>
          <w:sz w:val="20"/>
          <w:szCs w:val="20"/>
          <w:vertAlign w:val="superscript"/>
        </w:rPr>
        <w:t>2</w:t>
      </w:r>
    </w:p>
    <w:p w:rsidR="00B95695" w:rsidRPr="00315335" w:rsidRDefault="00B95695" w:rsidP="00B95695">
      <w:pPr>
        <w:spacing w:after="0" w:line="240" w:lineRule="auto"/>
        <w:rPr>
          <w:rFonts w:ascii="Arial" w:eastAsia="Times New Roman" w:hAnsi="Arial" w:cs="Arial"/>
          <w:sz w:val="16"/>
          <w:szCs w:val="16"/>
        </w:rPr>
      </w:pPr>
      <w:r w:rsidRPr="00315335">
        <w:rPr>
          <w:rFonts w:ascii="Arial" w:hAnsi="Arial" w:cs="Arial"/>
          <w:sz w:val="16"/>
          <w:szCs w:val="16"/>
        </w:rPr>
        <w:t xml:space="preserve">Notă : </w:t>
      </w:r>
      <w:r w:rsidRPr="00315335">
        <w:rPr>
          <w:rFonts w:ascii="Arial" w:eastAsia="Times New Roman" w:hAnsi="Arial" w:cs="Arial"/>
          <w:sz w:val="16"/>
          <w:szCs w:val="16"/>
        </w:rPr>
        <w:t>Populaţia rezidentă reprezintă totalitatea persoanelor cu cetăţenie română, străini şi fără cetăţenie, care au reşedinţa obişnuită pe teritoriul României. Se calculează conform regulamentelor europene (Regulamentul nr. 1260/2013 al Parlamentului European şi al Consiliului privind statisticile europene pe demografie și Regulamentul nr. 205/2014 al Comisiei de implementare a Regulamentului nr. 1260/2013 privind statisticile europene pe demografie referitor la defalcare date, termene, revizuiri de date).</w:t>
      </w:r>
    </w:p>
    <w:p w:rsidR="00B95695" w:rsidRPr="00315335" w:rsidRDefault="00B95695" w:rsidP="00B95695">
      <w:pPr>
        <w:spacing w:after="0" w:line="240" w:lineRule="auto"/>
        <w:rPr>
          <w:rFonts w:ascii="Arial" w:hAnsi="Arial" w:cs="Arial"/>
          <w:bCs/>
          <w:sz w:val="16"/>
          <w:szCs w:val="16"/>
        </w:rPr>
      </w:pPr>
      <w:r w:rsidRPr="00315335">
        <w:rPr>
          <w:rFonts w:ascii="Arial" w:hAnsi="Arial" w:cs="Arial"/>
          <w:b/>
          <w:bCs/>
          <w:sz w:val="16"/>
          <w:szCs w:val="16"/>
        </w:rPr>
        <w:t>Notă</w:t>
      </w:r>
      <w:r w:rsidRPr="00315335">
        <w:rPr>
          <w:rFonts w:ascii="Arial" w:hAnsi="Arial" w:cs="Arial"/>
          <w:bCs/>
          <w:sz w:val="16"/>
          <w:szCs w:val="16"/>
        </w:rPr>
        <w:t>: Informații furnizate de către Direcția Regională de Statistică Brăila</w:t>
      </w:r>
    </w:p>
    <w:p w:rsidR="00B95695" w:rsidRPr="00315335" w:rsidRDefault="00B95695" w:rsidP="00B95695">
      <w:pPr>
        <w:spacing w:after="0" w:line="240" w:lineRule="auto"/>
        <w:rPr>
          <w:rFonts w:ascii="Arial" w:hAnsi="Arial" w:cs="Arial"/>
          <w:bCs/>
          <w:sz w:val="20"/>
          <w:szCs w:val="20"/>
        </w:rPr>
      </w:pPr>
    </w:p>
    <w:p w:rsidR="00B95695" w:rsidRPr="00315335" w:rsidRDefault="00B95695" w:rsidP="00B95695">
      <w:pPr>
        <w:spacing w:after="0" w:line="240" w:lineRule="auto"/>
        <w:jc w:val="center"/>
        <w:rPr>
          <w:rFonts w:ascii="Arial" w:hAnsi="Arial" w:cs="Arial"/>
          <w:bCs/>
          <w:sz w:val="20"/>
          <w:szCs w:val="20"/>
        </w:rPr>
      </w:pPr>
      <w:r w:rsidRPr="00315335">
        <w:rPr>
          <w:rFonts w:ascii="Arial" w:hAnsi="Arial" w:cs="Arial"/>
          <w:bCs/>
          <w:noProof/>
          <w:sz w:val="20"/>
          <w:szCs w:val="20"/>
          <w:shd w:val="clear" w:color="auto" w:fill="DAEEF3" w:themeFill="accent5" w:themeFillTint="33"/>
        </w:rPr>
        <w:drawing>
          <wp:inline distT="0" distB="0" distL="0" distR="0" wp14:anchorId="04166BDF" wp14:editId="6B34FA6A">
            <wp:extent cx="4752754" cy="2860158"/>
            <wp:effectExtent l="0" t="0" r="10160" b="16510"/>
            <wp:docPr id="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B95695" w:rsidRPr="00315335" w:rsidRDefault="00B95695" w:rsidP="00B95695">
      <w:pPr>
        <w:pStyle w:val="Default"/>
        <w:rPr>
          <w:rFonts w:ascii="Arial" w:hAnsi="Arial" w:cs="Arial"/>
          <w:b/>
          <w:color w:val="auto"/>
        </w:rPr>
      </w:pPr>
    </w:p>
    <w:p w:rsidR="00B95695" w:rsidRPr="00315335" w:rsidRDefault="00B95695" w:rsidP="00B95695">
      <w:pPr>
        <w:tabs>
          <w:tab w:val="left" w:pos="2160"/>
          <w:tab w:val="left" w:leader="dot" w:pos="8820"/>
        </w:tabs>
        <w:spacing w:after="0" w:line="240" w:lineRule="auto"/>
        <w:rPr>
          <w:rFonts w:ascii="Arial" w:hAnsi="Arial" w:cs="Arial"/>
          <w:sz w:val="24"/>
          <w:szCs w:val="24"/>
        </w:rPr>
      </w:pPr>
      <w:r w:rsidRPr="00315335">
        <w:rPr>
          <w:rFonts w:ascii="Arial" w:hAnsi="Arial" w:cs="Arial"/>
          <w:sz w:val="24"/>
          <w:szCs w:val="24"/>
        </w:rPr>
        <w:lastRenderedPageBreak/>
        <w:t xml:space="preserve">În perioada </w:t>
      </w:r>
      <w:r w:rsidRPr="00315335">
        <w:rPr>
          <w:rFonts w:ascii="Arial" w:hAnsi="Arial" w:cs="Arial"/>
          <w:b/>
          <w:sz w:val="24"/>
          <w:szCs w:val="24"/>
        </w:rPr>
        <w:t>2014 - 2018</w:t>
      </w:r>
      <w:r w:rsidRPr="00315335">
        <w:rPr>
          <w:rFonts w:ascii="Arial" w:hAnsi="Arial" w:cs="Arial"/>
          <w:sz w:val="24"/>
          <w:szCs w:val="24"/>
        </w:rPr>
        <w:t xml:space="preserve"> populaţia judeţului Brăila s-a aflat într-o continuă scădere, atât în ceea ce privește populația cu domiciliul stabil declarat în județul Brăila,cât și în ceea ce privește populația rezidentă pe raza județului Brăila.</w:t>
      </w:r>
    </w:p>
    <w:p w:rsidR="00B95695" w:rsidRPr="00315335" w:rsidRDefault="00B95695" w:rsidP="00B95695">
      <w:pPr>
        <w:pStyle w:val="Default"/>
        <w:rPr>
          <w:rFonts w:ascii="Arial" w:hAnsi="Arial" w:cs="Arial"/>
          <w:b/>
          <w:color w:val="auto"/>
        </w:rPr>
      </w:pPr>
    </w:p>
    <w:p w:rsidR="00B95695" w:rsidRPr="00315335" w:rsidRDefault="00B95695" w:rsidP="00B95695">
      <w:pPr>
        <w:pStyle w:val="Default"/>
        <w:rPr>
          <w:rFonts w:ascii="Arial" w:hAnsi="Arial" w:cs="Arial"/>
          <w:b/>
          <w:color w:val="auto"/>
        </w:rPr>
      </w:pPr>
      <w:r w:rsidRPr="00315335">
        <w:rPr>
          <w:rFonts w:ascii="Arial" w:hAnsi="Arial" w:cs="Arial"/>
          <w:b/>
          <w:color w:val="auto"/>
        </w:rPr>
        <w:t>X.3. Presiunile asupra mediului cauzate de consum</w:t>
      </w:r>
    </w:p>
    <w:p w:rsidR="00B95695" w:rsidRPr="00315335" w:rsidRDefault="00B95695" w:rsidP="00B95695">
      <w:pPr>
        <w:pStyle w:val="Default"/>
        <w:rPr>
          <w:rFonts w:ascii="Arial" w:hAnsi="Arial" w:cs="Arial"/>
          <w:b/>
          <w:color w:val="auto"/>
        </w:rPr>
      </w:pPr>
    </w:p>
    <w:p w:rsidR="00B95695" w:rsidRPr="00315335" w:rsidRDefault="00B95695" w:rsidP="00B95695">
      <w:pPr>
        <w:tabs>
          <w:tab w:val="left" w:pos="1425"/>
        </w:tabs>
        <w:rPr>
          <w:rFonts w:ascii="Arial" w:hAnsi="Arial" w:cs="Arial"/>
          <w:b/>
          <w:sz w:val="24"/>
          <w:szCs w:val="24"/>
          <w:lang w:val="fr-BE"/>
        </w:rPr>
      </w:pPr>
      <w:r w:rsidRPr="00315335">
        <w:rPr>
          <w:rFonts w:ascii="Arial" w:hAnsi="Arial" w:cs="Arial"/>
          <w:b/>
          <w:sz w:val="24"/>
          <w:szCs w:val="24"/>
          <w:lang w:val="fr-BE"/>
        </w:rPr>
        <w:t xml:space="preserve">         X.3.1. Emisiile de gaze cu efect de seră din sectorul rezidențial</w:t>
      </w:r>
    </w:p>
    <w:p w:rsidR="00B95695" w:rsidRPr="00315335" w:rsidRDefault="00B95695" w:rsidP="00B95695">
      <w:pPr>
        <w:tabs>
          <w:tab w:val="left" w:pos="1425"/>
        </w:tabs>
        <w:rPr>
          <w:rFonts w:ascii="Arial" w:hAnsi="Arial" w:cs="Arial"/>
          <w:sz w:val="24"/>
          <w:szCs w:val="24"/>
          <w:lang w:val="fr-BE"/>
        </w:rPr>
      </w:pPr>
      <w:r w:rsidRPr="00315335">
        <w:rPr>
          <w:rFonts w:ascii="Arial" w:hAnsi="Arial" w:cs="Arial"/>
          <w:sz w:val="24"/>
          <w:szCs w:val="24"/>
          <w:lang w:val="fr-BE"/>
        </w:rPr>
        <w:t xml:space="preserve">             Cod indicator România RO 10</w:t>
      </w:r>
    </w:p>
    <w:p w:rsidR="00B95695" w:rsidRPr="00315335" w:rsidRDefault="00B95695" w:rsidP="00B95695">
      <w:pPr>
        <w:tabs>
          <w:tab w:val="left" w:pos="1425"/>
        </w:tabs>
        <w:spacing w:after="0" w:line="240" w:lineRule="auto"/>
        <w:jc w:val="both"/>
        <w:rPr>
          <w:rFonts w:ascii="Arial" w:hAnsi="Arial" w:cs="Arial"/>
          <w:b/>
          <w:i/>
          <w:sz w:val="24"/>
          <w:szCs w:val="24"/>
          <w:lang w:val="fr-BE"/>
        </w:rPr>
      </w:pPr>
      <w:r w:rsidRPr="00315335">
        <w:rPr>
          <w:rFonts w:ascii="Arial" w:hAnsi="Arial" w:cs="Arial"/>
          <w:sz w:val="24"/>
          <w:szCs w:val="24"/>
          <w:lang w:val="fr-BE"/>
        </w:rPr>
        <w:t xml:space="preserve">Tendința emisiilor de gaze cu efect de seră – </w:t>
      </w:r>
      <w:r w:rsidRPr="00315335">
        <w:rPr>
          <w:rFonts w:ascii="Arial" w:hAnsi="Arial" w:cs="Arial"/>
          <w:b/>
          <w:i/>
          <w:sz w:val="24"/>
          <w:szCs w:val="24"/>
          <w:lang w:val="fr-BE"/>
        </w:rPr>
        <w:t>nu sunt date disponibile la acest moment din inventarul național.</w:t>
      </w:r>
    </w:p>
    <w:p w:rsidR="00B95695" w:rsidRPr="00315335" w:rsidRDefault="00B95695" w:rsidP="00B95695">
      <w:pPr>
        <w:pStyle w:val="Default"/>
        <w:rPr>
          <w:rFonts w:ascii="Arial" w:hAnsi="Arial" w:cs="Arial"/>
          <w:i/>
          <w:color w:val="auto"/>
          <w:lang w:val="fr-BE"/>
        </w:rPr>
      </w:pPr>
    </w:p>
    <w:p w:rsidR="00B95695" w:rsidRPr="00315335" w:rsidRDefault="00B95695" w:rsidP="00B95695">
      <w:pPr>
        <w:pStyle w:val="Default"/>
        <w:rPr>
          <w:rFonts w:ascii="Arial" w:hAnsi="Arial" w:cs="Arial"/>
          <w:i/>
          <w:color w:val="auto"/>
          <w:u w:val="single"/>
        </w:rPr>
      </w:pPr>
      <w:r w:rsidRPr="00315335">
        <w:rPr>
          <w:rFonts w:ascii="Arial" w:hAnsi="Arial" w:cs="Arial"/>
          <w:b/>
          <w:color w:val="auto"/>
        </w:rPr>
        <w:t xml:space="preserve">         X.3.2. </w:t>
      </w:r>
      <w:r w:rsidRPr="00315335">
        <w:rPr>
          <w:rFonts w:ascii="Arial" w:hAnsi="Arial" w:cs="Arial"/>
          <w:b/>
          <w:i/>
          <w:color w:val="auto"/>
        </w:rPr>
        <w:t>Consumul de energie pe locuitor</w:t>
      </w:r>
      <w:r w:rsidRPr="00315335">
        <w:rPr>
          <w:rFonts w:ascii="Arial" w:hAnsi="Arial" w:cs="Arial"/>
          <w:b/>
          <w:i/>
          <w:color w:val="auto"/>
          <w:u w:val="single"/>
        </w:rPr>
        <w:t xml:space="preserve">- </w:t>
      </w:r>
      <w:r w:rsidRPr="00315335">
        <w:rPr>
          <w:rFonts w:ascii="Arial" w:hAnsi="Arial" w:cs="Arial"/>
          <w:i/>
          <w:color w:val="auto"/>
          <w:u w:val="single"/>
        </w:rPr>
        <w:t>nu sunt date la nivel județean (DRS Brăila)</w:t>
      </w:r>
    </w:p>
    <w:p w:rsidR="00B95695" w:rsidRPr="00315335" w:rsidRDefault="00B95695" w:rsidP="00B95695">
      <w:pPr>
        <w:pStyle w:val="Default"/>
        <w:rPr>
          <w:rFonts w:ascii="Arial" w:hAnsi="Arial" w:cs="Arial"/>
          <w:i/>
          <w:color w:val="auto"/>
          <w:u w:val="single"/>
        </w:rPr>
      </w:pPr>
    </w:p>
    <w:p w:rsidR="00B95695" w:rsidRPr="00315335" w:rsidRDefault="00B95695" w:rsidP="00B95695">
      <w:pPr>
        <w:pStyle w:val="Default"/>
        <w:rPr>
          <w:rFonts w:ascii="Arial" w:hAnsi="Arial" w:cs="Arial"/>
          <w:b/>
          <w:i/>
          <w:color w:val="auto"/>
        </w:rPr>
      </w:pPr>
      <w:r w:rsidRPr="00315335">
        <w:rPr>
          <w:rFonts w:ascii="Arial" w:hAnsi="Arial" w:cs="Arial"/>
          <w:b/>
          <w:color w:val="auto"/>
        </w:rPr>
        <w:t xml:space="preserve">         X.3.3. </w:t>
      </w:r>
      <w:r w:rsidRPr="00315335">
        <w:rPr>
          <w:rFonts w:ascii="Arial" w:hAnsi="Arial" w:cs="Arial"/>
          <w:b/>
          <w:i/>
          <w:color w:val="auto"/>
        </w:rPr>
        <w:t>Utilizarea materialelor</w:t>
      </w:r>
    </w:p>
    <w:p w:rsidR="00B95695" w:rsidRPr="00315335" w:rsidRDefault="00B95695" w:rsidP="00B95695">
      <w:pPr>
        <w:pStyle w:val="Default"/>
        <w:rPr>
          <w:rFonts w:ascii="Arial" w:hAnsi="Arial" w:cs="Arial"/>
          <w:b/>
          <w:bCs/>
          <w:color w:val="auto"/>
        </w:rPr>
      </w:pPr>
    </w:p>
    <w:p w:rsidR="00B95695" w:rsidRPr="00315335" w:rsidRDefault="00B95695" w:rsidP="00B95695">
      <w:pPr>
        <w:pStyle w:val="Default"/>
        <w:rPr>
          <w:rFonts w:ascii="Arial" w:hAnsi="Arial" w:cs="Arial"/>
          <w:b/>
          <w:bCs/>
          <w:color w:val="auto"/>
        </w:rPr>
      </w:pPr>
      <w:r w:rsidRPr="00315335">
        <w:rPr>
          <w:rFonts w:ascii="Arial" w:hAnsi="Arial" w:cs="Arial"/>
          <w:b/>
          <w:bCs/>
          <w:color w:val="auto"/>
        </w:rPr>
        <w:t xml:space="preserve">Resurse </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Principalele </w:t>
      </w:r>
      <w:r w:rsidRPr="00315335">
        <w:rPr>
          <w:rFonts w:ascii="Arial" w:hAnsi="Arial" w:cs="Arial"/>
          <w:b/>
          <w:bCs/>
          <w:color w:val="auto"/>
        </w:rPr>
        <w:t xml:space="preserve">zăcăminte </w:t>
      </w:r>
      <w:r w:rsidRPr="00315335">
        <w:rPr>
          <w:rFonts w:ascii="Arial" w:hAnsi="Arial" w:cs="Arial"/>
          <w:color w:val="auto"/>
        </w:rPr>
        <w:t xml:space="preserve">din judeţul Brăila sunt: </w:t>
      </w:r>
    </w:p>
    <w:p w:rsidR="00B95695" w:rsidRPr="00315335" w:rsidRDefault="00B95695" w:rsidP="00B95695">
      <w:pPr>
        <w:pStyle w:val="Default"/>
        <w:rPr>
          <w:rFonts w:ascii="Arial" w:hAnsi="Arial" w:cs="Arial"/>
          <w:color w:val="auto"/>
        </w:rPr>
      </w:pPr>
      <w:r w:rsidRPr="00315335">
        <w:rPr>
          <w:rFonts w:ascii="Arial" w:hAnsi="Arial" w:cs="Arial"/>
          <w:b/>
          <w:bCs/>
          <w:color w:val="auto"/>
        </w:rPr>
        <w:t xml:space="preserve">Zăcămintele de ţiţei şi gaze </w:t>
      </w:r>
      <w:r w:rsidRPr="00315335">
        <w:rPr>
          <w:rFonts w:ascii="Arial" w:hAnsi="Arial" w:cs="Arial"/>
          <w:color w:val="auto"/>
        </w:rPr>
        <w:t xml:space="preserve">se află situate în două unităţi geologice distincte şi anume: </w:t>
      </w:r>
    </w:p>
    <w:p w:rsidR="00B95695" w:rsidRPr="00315335" w:rsidRDefault="00B95695" w:rsidP="00B95695">
      <w:pPr>
        <w:pStyle w:val="Default"/>
        <w:numPr>
          <w:ilvl w:val="0"/>
          <w:numId w:val="40"/>
        </w:numPr>
        <w:rPr>
          <w:rFonts w:ascii="Arial" w:hAnsi="Arial" w:cs="Arial"/>
          <w:color w:val="auto"/>
        </w:rPr>
      </w:pPr>
      <w:r w:rsidRPr="00315335">
        <w:rPr>
          <w:rFonts w:ascii="Arial" w:hAnsi="Arial" w:cs="Arial"/>
          <w:color w:val="auto"/>
        </w:rPr>
        <w:t xml:space="preserve">În cadrul zonei sud-estice a Platformei Moesice sunt puse în evidenţă şi se află în exploatare o serie de zăcăminte de ţiţei şi gaze pe aliniamentul structural orientat sud-vest nord-est Urziceni-Gârbova-BRăgăneasa-Padina-Jugureanu-Oprişeneşti-Plopu-Bordei Verde- Lişcoteanca-Stăncuţa-Berteşti. </w:t>
      </w:r>
    </w:p>
    <w:p w:rsidR="00B95695" w:rsidRPr="00315335" w:rsidRDefault="00B95695" w:rsidP="00B95695">
      <w:pPr>
        <w:pStyle w:val="Default"/>
        <w:numPr>
          <w:ilvl w:val="0"/>
          <w:numId w:val="40"/>
        </w:numPr>
        <w:rPr>
          <w:rFonts w:ascii="Arial" w:hAnsi="Arial" w:cs="Arial"/>
          <w:color w:val="auto"/>
        </w:rPr>
      </w:pPr>
      <w:r w:rsidRPr="00315335">
        <w:rPr>
          <w:rFonts w:ascii="Arial" w:hAnsi="Arial" w:cs="Arial"/>
          <w:color w:val="auto"/>
        </w:rPr>
        <w:t xml:space="preserve">În zona vestică a ridicării Bordei Verde-Însurăţei, într-o zonă delimitată convenţional, între această ridicare şi râul Dâmboviţa, se întâlnesc zăcăminte de ţiţei şi gaze asociate în lungul anticlinalului principal Moara Vlăsiei-Urziceni-Jugureanu. Dintre acestea sunt exploatate zacămintele de ţiţei Jugureanu şi Padina. </w:t>
      </w:r>
    </w:p>
    <w:p w:rsidR="00B95695" w:rsidRPr="00315335" w:rsidRDefault="00B95695" w:rsidP="00B95695">
      <w:pPr>
        <w:pStyle w:val="Default"/>
        <w:rPr>
          <w:rFonts w:ascii="Arial" w:hAnsi="Arial" w:cs="Arial"/>
          <w:color w:val="auto"/>
        </w:rPr>
      </w:pPr>
      <w:r w:rsidRPr="00315335">
        <w:rPr>
          <w:rFonts w:ascii="Arial" w:hAnsi="Arial" w:cs="Arial"/>
          <w:b/>
          <w:bCs/>
          <w:color w:val="auto"/>
        </w:rPr>
        <w:t xml:space="preserve">Zăcămintele de gaze libere </w:t>
      </w:r>
      <w:r w:rsidRPr="00315335">
        <w:rPr>
          <w:rFonts w:ascii="Arial" w:hAnsi="Arial" w:cs="Arial"/>
          <w:color w:val="auto"/>
        </w:rPr>
        <w:t xml:space="preserve">în zona de sud-est a Platformei Moesice au fost puse în evidenţă şi se află în exploatare la Oprişeneşti, Bordei Verde, Lişcoteanca, Berteşti, Stăncuţa, Jugureanu, Padina, Gardiştea, Balta Albă. </w:t>
      </w:r>
    </w:p>
    <w:p w:rsidR="00B95695" w:rsidRPr="00315335" w:rsidRDefault="00B95695" w:rsidP="00B95695">
      <w:pPr>
        <w:pStyle w:val="Default"/>
        <w:rPr>
          <w:rFonts w:ascii="Arial" w:hAnsi="Arial" w:cs="Arial"/>
          <w:color w:val="auto"/>
        </w:rPr>
      </w:pPr>
      <w:r w:rsidRPr="00315335">
        <w:rPr>
          <w:rFonts w:ascii="Arial" w:hAnsi="Arial" w:cs="Arial"/>
          <w:b/>
          <w:bCs/>
          <w:color w:val="auto"/>
        </w:rPr>
        <w:t xml:space="preserve">Zăcămintele de balast </w:t>
      </w:r>
      <w:r w:rsidRPr="00315335">
        <w:rPr>
          <w:rFonts w:ascii="Arial" w:hAnsi="Arial" w:cs="Arial"/>
          <w:color w:val="auto"/>
        </w:rPr>
        <w:t xml:space="preserve">din judeţul Brăila apar la Gradiştea şi Ibrianu, în albia majoră a râului Buzău. S-au utilizat pentru amenajări de drumuri şi în construcţii. </w:t>
      </w:r>
    </w:p>
    <w:p w:rsidR="00B95695" w:rsidRPr="00315335" w:rsidRDefault="00B95695" w:rsidP="00B95695">
      <w:pPr>
        <w:pStyle w:val="Default"/>
        <w:rPr>
          <w:rFonts w:ascii="Arial" w:hAnsi="Arial" w:cs="Arial"/>
          <w:color w:val="auto"/>
        </w:rPr>
      </w:pPr>
      <w:r w:rsidRPr="00315335">
        <w:rPr>
          <w:rFonts w:ascii="Arial" w:hAnsi="Arial" w:cs="Arial"/>
          <w:b/>
          <w:bCs/>
          <w:color w:val="auto"/>
        </w:rPr>
        <w:t xml:space="preserve">Zăcăminte de argilă aluvionară </w:t>
      </w:r>
      <w:r w:rsidRPr="00315335">
        <w:rPr>
          <w:rFonts w:ascii="Arial" w:hAnsi="Arial" w:cs="Arial"/>
          <w:color w:val="auto"/>
        </w:rPr>
        <w:t xml:space="preserve">cu intercalaţii nisipoase şi granule de CaCO3 la Baldovineşti, argilă prăfoasă nisipoasă la Brăila, cu rezerve de bilanţ de circa 1200 mii t şi argilă marnoasă cu înalt grad de refractaritate la Făurei-rezerve de bilanţ de circa 8200 mii t. Depunerile loessoide formează materia primă pentru ceramică inferioară, aceste argile fiind utilizate la faBRicarea cărămizilor. </w:t>
      </w:r>
    </w:p>
    <w:p w:rsidR="00B95695" w:rsidRPr="00315335" w:rsidRDefault="00B95695" w:rsidP="00B95695">
      <w:pPr>
        <w:pStyle w:val="Default"/>
        <w:rPr>
          <w:rFonts w:ascii="Arial" w:hAnsi="Arial" w:cs="Arial"/>
          <w:color w:val="auto"/>
        </w:rPr>
      </w:pPr>
      <w:r w:rsidRPr="00315335">
        <w:rPr>
          <w:rFonts w:ascii="Arial" w:hAnsi="Arial" w:cs="Arial"/>
          <w:b/>
          <w:bCs/>
          <w:color w:val="auto"/>
        </w:rPr>
        <w:t xml:space="preserve">Ape minerale şi termale </w:t>
      </w:r>
    </w:p>
    <w:p w:rsidR="00B95695" w:rsidRPr="00315335" w:rsidRDefault="00B95695" w:rsidP="00B95695">
      <w:pPr>
        <w:pStyle w:val="Default"/>
        <w:ind w:firstLine="708"/>
        <w:rPr>
          <w:rFonts w:ascii="Arial" w:hAnsi="Arial" w:cs="Arial"/>
          <w:color w:val="auto"/>
        </w:rPr>
      </w:pPr>
      <w:r w:rsidRPr="00315335">
        <w:rPr>
          <w:rFonts w:ascii="Arial" w:hAnsi="Arial" w:cs="Arial"/>
          <w:color w:val="auto"/>
        </w:rPr>
        <w:t xml:space="preserve">În judeţul Brăila există patru sonde cu ape geotermale, două la Însurăţei, una la Mihai Bravu şi alta la Victoria. Apa are o temperatură la gura sondei de 90-95oC. Sondele aparţin S.C. FORADEX S.A. Bucureşti şi sunt în custodia primăriilor locale. Apa are un puternic caracter clorurat-sodic-sulfatic-potasic-magnezianocalcic. </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Actualmente nu sunt utilizate. În trecut a fost utilizată o singura sondă în Însurăţei pentru preparare agent termic pentru locuinţe. </w:t>
      </w:r>
    </w:p>
    <w:p w:rsidR="00EF7A8A" w:rsidRDefault="00EF7A8A" w:rsidP="00B95695">
      <w:pPr>
        <w:rPr>
          <w:rFonts w:ascii="Arial" w:hAnsi="Arial" w:cs="Arial"/>
          <w:b/>
          <w:sz w:val="24"/>
          <w:szCs w:val="24"/>
        </w:rPr>
      </w:pPr>
    </w:p>
    <w:p w:rsidR="00B95695" w:rsidRPr="00315335" w:rsidRDefault="00B95695" w:rsidP="00B95695">
      <w:pPr>
        <w:rPr>
          <w:rFonts w:ascii="Arial" w:hAnsi="Arial" w:cs="Arial"/>
          <w:b/>
          <w:sz w:val="24"/>
          <w:szCs w:val="24"/>
        </w:rPr>
      </w:pPr>
      <w:r w:rsidRPr="00315335">
        <w:rPr>
          <w:rFonts w:ascii="Arial" w:hAnsi="Arial" w:cs="Arial"/>
          <w:b/>
          <w:sz w:val="24"/>
          <w:szCs w:val="24"/>
        </w:rPr>
        <w:t xml:space="preserve">Presiunile asupra mediului cauzate de deșeuri </w:t>
      </w:r>
    </w:p>
    <w:p w:rsidR="00B95695" w:rsidRPr="00315335" w:rsidRDefault="00B95695" w:rsidP="00B95695">
      <w:pPr>
        <w:rPr>
          <w:rFonts w:ascii="Arial" w:hAnsi="Arial" w:cs="Arial"/>
          <w:b/>
          <w:bCs/>
        </w:rPr>
      </w:pPr>
      <w:r w:rsidRPr="00315335">
        <w:rPr>
          <w:rFonts w:ascii="Arial" w:hAnsi="Arial" w:cs="Arial"/>
          <w:b/>
          <w:bCs/>
        </w:rPr>
        <w:t xml:space="preserve">    Evaluarea situaţiei actuale şi a situaţiei prognozate </w:t>
      </w:r>
    </w:p>
    <w:p w:rsidR="00B95695" w:rsidRPr="00315335" w:rsidRDefault="00B95695" w:rsidP="00B95695">
      <w:pPr>
        <w:pStyle w:val="Default"/>
        <w:rPr>
          <w:rFonts w:ascii="Arial" w:hAnsi="Arial" w:cs="Arial"/>
          <w:color w:val="auto"/>
        </w:rPr>
      </w:pPr>
      <w:r w:rsidRPr="00315335">
        <w:rPr>
          <w:rFonts w:ascii="Arial" w:hAnsi="Arial" w:cs="Arial"/>
          <w:b/>
          <w:bCs/>
          <w:color w:val="auto"/>
        </w:rPr>
        <w:t xml:space="preserve">Date generale </w:t>
      </w:r>
    </w:p>
    <w:p w:rsidR="00B95695" w:rsidRPr="00315335" w:rsidRDefault="00B95695" w:rsidP="00B95695">
      <w:pPr>
        <w:pStyle w:val="Default"/>
        <w:rPr>
          <w:rFonts w:ascii="Arial" w:hAnsi="Arial" w:cs="Arial"/>
          <w:color w:val="auto"/>
        </w:rPr>
      </w:pPr>
      <w:r w:rsidRPr="00315335">
        <w:rPr>
          <w:rFonts w:ascii="Arial" w:hAnsi="Arial" w:cs="Arial"/>
          <w:b/>
          <w:bCs/>
          <w:color w:val="auto"/>
        </w:rPr>
        <w:t xml:space="preserve">Sursele generatoare </w:t>
      </w:r>
      <w:r w:rsidRPr="00315335">
        <w:rPr>
          <w:rFonts w:ascii="Arial" w:hAnsi="Arial" w:cs="Arial"/>
          <w:color w:val="auto"/>
        </w:rPr>
        <w:t xml:space="preserve">pe categorii de deșeuri sunt următoarele: </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 </w:t>
      </w:r>
      <w:r w:rsidRPr="00315335">
        <w:rPr>
          <w:rFonts w:ascii="Arial" w:hAnsi="Arial" w:cs="Arial"/>
          <w:b/>
          <w:bCs/>
          <w:color w:val="auto"/>
        </w:rPr>
        <w:t>gospodăriile</w:t>
      </w:r>
      <w:r w:rsidRPr="00315335">
        <w:rPr>
          <w:rFonts w:ascii="Arial" w:hAnsi="Arial" w:cs="Arial"/>
          <w:color w:val="auto"/>
        </w:rPr>
        <w:t xml:space="preserve">: generează deșeuri menajere colectate în amestec (fiind principalul flux de deșeuri, cu un conținut important al fracției biodegradabile), deșeuri menajere colectate separat (în vederea reciclării-recuperării de material: hârtie și carton, plastic, sticlă, metal, lemn), deșeuri voluminoase, deșeuri menajere periculoase (reprezentate de mici cantități de baterii pentru </w:t>
      </w:r>
      <w:r w:rsidRPr="00315335">
        <w:rPr>
          <w:rFonts w:ascii="Arial" w:hAnsi="Arial" w:cs="Arial"/>
          <w:color w:val="auto"/>
        </w:rPr>
        <w:lastRenderedPageBreak/>
        <w:t xml:space="preserve">aparataj electronic, medicamente expirate, resturi de vopsele și diluanți, etc), deșeuri menajere necolectate generate în general în mediul rural de către populația nedeservită de operatori de salubritate și depozitate ilegal). </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 </w:t>
      </w:r>
      <w:r w:rsidRPr="00315335">
        <w:rPr>
          <w:rFonts w:ascii="Arial" w:hAnsi="Arial" w:cs="Arial"/>
          <w:b/>
          <w:bCs/>
          <w:color w:val="auto"/>
        </w:rPr>
        <w:t>sectorul industrial</w:t>
      </w:r>
      <w:r w:rsidRPr="00315335">
        <w:rPr>
          <w:rFonts w:ascii="Arial" w:hAnsi="Arial" w:cs="Arial"/>
          <w:color w:val="auto"/>
        </w:rPr>
        <w:t xml:space="preserve">: generează deșeuri similare în compoziția celor menajere, provenite din diferite activități ale industriei (clădiri administrative, cantine, etc), deșeuri industriale ne-periculoase (deșeuri în general depozitate în depozite proprii); </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 </w:t>
      </w:r>
      <w:r w:rsidRPr="00315335">
        <w:rPr>
          <w:rFonts w:ascii="Arial" w:hAnsi="Arial" w:cs="Arial"/>
          <w:b/>
          <w:bCs/>
          <w:color w:val="auto"/>
        </w:rPr>
        <w:t>sectorul comercial şi instituţional</w:t>
      </w:r>
      <w:r w:rsidRPr="00315335">
        <w:rPr>
          <w:rFonts w:ascii="Arial" w:hAnsi="Arial" w:cs="Arial"/>
          <w:color w:val="auto"/>
        </w:rPr>
        <w:t>: generează deșeuri similare ăn compozița celor menajere, deșeuri din ambalaje (parte din aceste deșeuri sânt reciclate și recuperate, returnate producătorilor sau sunt depuse la depozit), deșeuri voluminoase, deșeuri medicale periculoase si deșeuri periculoase,</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 • </w:t>
      </w:r>
      <w:r w:rsidRPr="00315335">
        <w:rPr>
          <w:rFonts w:ascii="Arial" w:hAnsi="Arial" w:cs="Arial"/>
          <w:b/>
          <w:bCs/>
          <w:color w:val="auto"/>
        </w:rPr>
        <w:t>sectorul de construcţii</w:t>
      </w:r>
      <w:r w:rsidRPr="00315335">
        <w:rPr>
          <w:rFonts w:ascii="Arial" w:hAnsi="Arial" w:cs="Arial"/>
          <w:color w:val="auto"/>
        </w:rPr>
        <w:t xml:space="preserve">: fluxul principal este constituit de deșeuri din construcții și demolări (includ diverse cantități de lemn, metal, sticlă, plastic, etc – mare parte a acestor materiale sunt recuperate, restul constiuie un refuz inert, care de obicei se depozitează); </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 </w:t>
      </w:r>
      <w:r w:rsidRPr="00315335">
        <w:rPr>
          <w:rFonts w:ascii="Arial" w:hAnsi="Arial" w:cs="Arial"/>
          <w:b/>
          <w:bCs/>
          <w:color w:val="auto"/>
        </w:rPr>
        <w:t>sectorul municipal</w:t>
      </w:r>
      <w:r w:rsidRPr="00315335">
        <w:rPr>
          <w:rFonts w:ascii="Arial" w:hAnsi="Arial" w:cs="Arial"/>
          <w:color w:val="auto"/>
        </w:rPr>
        <w:t xml:space="preserve">: este reprezentat de diverse tipuri de deșeuri rezultate din activitățile de curățenie și întreținere a infrastructurii municipale(deșeuri stradale, deșeuri din pieț , deșeuri verzi, fractii biodegradabile, ambalaje, etc), deșeuri din parcuri și grădini </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 </w:t>
      </w:r>
      <w:r w:rsidRPr="00315335">
        <w:rPr>
          <w:rFonts w:ascii="Arial" w:hAnsi="Arial" w:cs="Arial"/>
          <w:b/>
          <w:bCs/>
          <w:color w:val="auto"/>
        </w:rPr>
        <w:t>activităţi cu impact asupra mediului</w:t>
      </w:r>
      <w:r w:rsidRPr="00315335">
        <w:rPr>
          <w:rFonts w:ascii="Arial" w:hAnsi="Arial" w:cs="Arial"/>
          <w:color w:val="auto"/>
        </w:rPr>
        <w:t>: nămoluri (provenite din stațiile de tratare ape uzate menajere).</w:t>
      </w:r>
    </w:p>
    <w:p w:rsidR="00B95695" w:rsidRPr="00315335" w:rsidRDefault="00B95695" w:rsidP="00B95695">
      <w:pPr>
        <w:rPr>
          <w:rFonts w:ascii="Arial" w:hAnsi="Arial" w:cs="Arial"/>
          <w:sz w:val="24"/>
          <w:szCs w:val="24"/>
        </w:rPr>
      </w:pPr>
      <w:r w:rsidRPr="00315335">
        <w:rPr>
          <w:rFonts w:ascii="Arial" w:hAnsi="Arial" w:cs="Arial"/>
          <w:sz w:val="24"/>
          <w:szCs w:val="24"/>
        </w:rPr>
        <w:t xml:space="preserve">• </w:t>
      </w:r>
      <w:r w:rsidRPr="00315335">
        <w:rPr>
          <w:rFonts w:ascii="Arial" w:hAnsi="Arial" w:cs="Arial"/>
          <w:b/>
          <w:bCs/>
          <w:sz w:val="24"/>
          <w:szCs w:val="24"/>
        </w:rPr>
        <w:t>fluxuri speciale de deşeuri</w:t>
      </w:r>
      <w:r w:rsidRPr="00315335">
        <w:rPr>
          <w:rFonts w:ascii="Arial" w:hAnsi="Arial" w:cs="Arial"/>
          <w:sz w:val="24"/>
          <w:szCs w:val="24"/>
        </w:rPr>
        <w:t>: deșeuri periculoase, deșeuri provenite din echipamente electrice și electronice, deșeuri rezultate din scoterea din uz a autovehicolelor, deșeuri de anvelope uzate.</w:t>
      </w:r>
    </w:p>
    <w:p w:rsidR="00B95695" w:rsidRPr="00315335" w:rsidRDefault="00B95695" w:rsidP="00B95695">
      <w:pPr>
        <w:rPr>
          <w:rFonts w:ascii="Arial" w:hAnsi="Arial" w:cs="Arial"/>
          <w:b/>
          <w:sz w:val="24"/>
          <w:szCs w:val="24"/>
          <w:lang w:val="it-IT"/>
        </w:rPr>
      </w:pPr>
      <w:r w:rsidRPr="00315335">
        <w:rPr>
          <w:rFonts w:ascii="Arial" w:hAnsi="Arial" w:cs="Arial"/>
          <w:b/>
          <w:sz w:val="24"/>
          <w:szCs w:val="24"/>
        </w:rPr>
        <w:t>X.4. Prognoze, politici și măsuri privind consumul și mediul</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La nivelul judetului Brăila a fost elaborat Proiectul </w:t>
      </w:r>
      <w:r w:rsidRPr="00315335">
        <w:rPr>
          <w:rFonts w:ascii="Arial" w:hAnsi="Arial" w:cs="Arial"/>
          <w:b/>
          <w:bCs/>
          <w:color w:val="auto"/>
        </w:rPr>
        <w:t xml:space="preserve">„Sistem de management integrat al deşeurilor în judeţul Brăila” </w:t>
      </w:r>
      <w:r w:rsidRPr="00315335">
        <w:rPr>
          <w:rFonts w:ascii="Arial" w:hAnsi="Arial" w:cs="Arial"/>
          <w:color w:val="auto"/>
        </w:rPr>
        <w:t>care se află în faza de implementare fizică prin POS Mediu.</w:t>
      </w:r>
    </w:p>
    <w:p w:rsidR="00B95695" w:rsidRPr="00315335" w:rsidRDefault="00B95695" w:rsidP="00B95695">
      <w:pPr>
        <w:pStyle w:val="Default"/>
        <w:rPr>
          <w:rFonts w:ascii="Arial" w:hAnsi="Arial" w:cs="Arial"/>
          <w:color w:val="auto"/>
        </w:rPr>
      </w:pPr>
      <w:r w:rsidRPr="00315335">
        <w:rPr>
          <w:rFonts w:ascii="Arial" w:hAnsi="Arial" w:cs="Arial"/>
          <w:b/>
          <w:color w:val="auto"/>
        </w:rPr>
        <w:t>Scopul acestui proiect</w:t>
      </w:r>
      <w:r w:rsidRPr="00315335">
        <w:rPr>
          <w:rFonts w:ascii="Arial" w:hAnsi="Arial" w:cs="Arial"/>
          <w:color w:val="auto"/>
        </w:rPr>
        <w:t xml:space="preserve"> îl reprezintă identificarea  măsurilor, care trebuie îndeplinite pentru dezvoltarea unui sistem de management integrat al deșeurilor solide în județul Brăila, în conformitate cu obligațiile legale. </w:t>
      </w:r>
    </w:p>
    <w:p w:rsidR="00B95695" w:rsidRPr="00315335" w:rsidRDefault="00B95695" w:rsidP="00B95695">
      <w:pPr>
        <w:pStyle w:val="Default"/>
        <w:rPr>
          <w:rFonts w:ascii="Arial" w:hAnsi="Arial" w:cs="Arial"/>
          <w:color w:val="auto"/>
        </w:rPr>
      </w:pPr>
      <w:r w:rsidRPr="00315335">
        <w:rPr>
          <w:rFonts w:ascii="Arial" w:hAnsi="Arial" w:cs="Arial"/>
          <w:b/>
          <w:bCs/>
          <w:color w:val="auto"/>
        </w:rPr>
        <w:t xml:space="preserve">Obiectivele generale </w:t>
      </w:r>
      <w:r w:rsidRPr="00315335">
        <w:rPr>
          <w:rFonts w:ascii="Arial" w:hAnsi="Arial" w:cs="Arial"/>
          <w:color w:val="auto"/>
        </w:rPr>
        <w:t xml:space="preserve">ale proiectului sunt urmatoarele: </w:t>
      </w:r>
    </w:p>
    <w:p w:rsidR="00B95695" w:rsidRPr="00315335" w:rsidRDefault="00B95695" w:rsidP="00B95695">
      <w:pPr>
        <w:pStyle w:val="Default"/>
        <w:numPr>
          <w:ilvl w:val="0"/>
          <w:numId w:val="43"/>
        </w:numPr>
        <w:rPr>
          <w:rFonts w:ascii="Arial" w:hAnsi="Arial" w:cs="Arial"/>
          <w:color w:val="auto"/>
        </w:rPr>
      </w:pPr>
      <w:r w:rsidRPr="00315335">
        <w:rPr>
          <w:rFonts w:ascii="Arial" w:hAnsi="Arial" w:cs="Arial"/>
          <w:color w:val="auto"/>
        </w:rPr>
        <w:t xml:space="preserve">Creșterea standardelor de viață și de mediu din județul Brăila, vizând, în principal, respectarea acquis-ului comunitar de mediu; </w:t>
      </w:r>
    </w:p>
    <w:p w:rsidR="00B95695" w:rsidRPr="00315335" w:rsidRDefault="00B95695" w:rsidP="00B95695">
      <w:pPr>
        <w:pStyle w:val="Default"/>
        <w:numPr>
          <w:ilvl w:val="0"/>
          <w:numId w:val="43"/>
        </w:numPr>
        <w:rPr>
          <w:rFonts w:ascii="Arial" w:hAnsi="Arial" w:cs="Arial"/>
          <w:color w:val="auto"/>
        </w:rPr>
      </w:pPr>
      <w:r w:rsidRPr="00315335">
        <w:rPr>
          <w:rFonts w:ascii="Arial" w:hAnsi="Arial" w:cs="Arial"/>
          <w:color w:val="auto"/>
        </w:rPr>
        <w:t xml:space="preserve">Dezvoltarea unui sistem durabil de management al deșeurilor în judetul Brăila, prin îmbunătățirea managementului deșeurilor și reducerea numărului de zone poluate din județ. </w:t>
      </w:r>
    </w:p>
    <w:p w:rsidR="00B95695" w:rsidRPr="00315335" w:rsidRDefault="00B95695" w:rsidP="00B95695">
      <w:pPr>
        <w:pStyle w:val="Default"/>
        <w:rPr>
          <w:rFonts w:ascii="Arial" w:hAnsi="Arial" w:cs="Arial"/>
          <w:color w:val="auto"/>
        </w:rPr>
      </w:pPr>
      <w:r w:rsidRPr="00315335">
        <w:rPr>
          <w:rFonts w:ascii="Arial" w:hAnsi="Arial" w:cs="Arial"/>
          <w:b/>
          <w:bCs/>
          <w:color w:val="auto"/>
        </w:rPr>
        <w:t xml:space="preserve">Obiectivele specifice </w:t>
      </w:r>
      <w:r w:rsidRPr="00315335">
        <w:rPr>
          <w:rFonts w:ascii="Arial" w:hAnsi="Arial" w:cs="Arial"/>
          <w:color w:val="auto"/>
        </w:rPr>
        <w:t xml:space="preserve">ale proiectului sunt definite pe baza obiectivelor din cadrul POS Mediu și vizează: </w:t>
      </w:r>
    </w:p>
    <w:p w:rsidR="00B95695" w:rsidRPr="00315335" w:rsidRDefault="00B95695" w:rsidP="00B95695">
      <w:pPr>
        <w:pStyle w:val="Default"/>
        <w:numPr>
          <w:ilvl w:val="0"/>
          <w:numId w:val="41"/>
        </w:numPr>
        <w:rPr>
          <w:rFonts w:ascii="Arial" w:hAnsi="Arial" w:cs="Arial"/>
          <w:color w:val="auto"/>
        </w:rPr>
      </w:pPr>
      <w:r w:rsidRPr="00315335">
        <w:rPr>
          <w:rFonts w:ascii="Arial" w:hAnsi="Arial" w:cs="Arial"/>
          <w:color w:val="auto"/>
        </w:rPr>
        <w:t xml:space="preserve">Creșterea gradului de acoperire cu servicii de salubritate la nivelul judeului Brăila, prin îmbunătățirea managementului deșeurilor; </w:t>
      </w:r>
    </w:p>
    <w:p w:rsidR="00B95695" w:rsidRPr="00315335" w:rsidRDefault="00B95695" w:rsidP="00B95695">
      <w:pPr>
        <w:pStyle w:val="Default"/>
        <w:numPr>
          <w:ilvl w:val="0"/>
          <w:numId w:val="41"/>
        </w:numPr>
        <w:rPr>
          <w:rFonts w:ascii="Arial" w:hAnsi="Arial" w:cs="Arial"/>
          <w:color w:val="auto"/>
        </w:rPr>
      </w:pPr>
      <w:r w:rsidRPr="00315335">
        <w:rPr>
          <w:rFonts w:ascii="Arial" w:hAnsi="Arial" w:cs="Arial"/>
          <w:color w:val="auto"/>
        </w:rPr>
        <w:t xml:space="preserve">Asigurarea unor servicii de salubritate la standarde europene, percepând tarife acceptabile pentru populatia din judet; </w:t>
      </w:r>
    </w:p>
    <w:p w:rsidR="00B95695" w:rsidRPr="00315335" w:rsidRDefault="00B95695" w:rsidP="00B95695">
      <w:pPr>
        <w:pStyle w:val="Default"/>
        <w:numPr>
          <w:ilvl w:val="0"/>
          <w:numId w:val="41"/>
        </w:numPr>
        <w:rPr>
          <w:rFonts w:ascii="Arial" w:hAnsi="Arial" w:cs="Arial"/>
          <w:color w:val="auto"/>
        </w:rPr>
      </w:pPr>
      <w:r w:rsidRPr="00315335">
        <w:rPr>
          <w:rFonts w:ascii="Arial" w:hAnsi="Arial" w:cs="Arial"/>
          <w:color w:val="auto"/>
        </w:rPr>
        <w:t xml:space="preserve">Reducerea cantității de deșeuri depozitate pe suprafața judetului Brăila; </w:t>
      </w:r>
    </w:p>
    <w:p w:rsidR="00B95695" w:rsidRPr="00315335" w:rsidRDefault="00B95695" w:rsidP="00B95695">
      <w:pPr>
        <w:pStyle w:val="Default"/>
        <w:numPr>
          <w:ilvl w:val="0"/>
          <w:numId w:val="41"/>
        </w:numPr>
        <w:rPr>
          <w:rFonts w:ascii="Arial" w:hAnsi="Arial" w:cs="Arial"/>
          <w:color w:val="auto"/>
        </w:rPr>
      </w:pPr>
      <w:r w:rsidRPr="00315335">
        <w:rPr>
          <w:rFonts w:ascii="Arial" w:hAnsi="Arial" w:cs="Arial"/>
          <w:color w:val="auto"/>
        </w:rPr>
        <w:t xml:space="preserve">Creșterea cantității de deșeuri reciclate si valorificate la nivelul judetului Brăila; </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Înființarea la nivelul județului Brăila a unor structuri eficiente de management al deșeurilor. </w:t>
      </w:r>
    </w:p>
    <w:p w:rsidR="00B95695" w:rsidRPr="00315335" w:rsidRDefault="00B95695" w:rsidP="00B95695">
      <w:pPr>
        <w:pStyle w:val="Default"/>
        <w:rPr>
          <w:rFonts w:ascii="Arial" w:hAnsi="Arial" w:cs="Arial"/>
          <w:color w:val="auto"/>
        </w:rPr>
      </w:pPr>
      <w:r w:rsidRPr="00315335">
        <w:rPr>
          <w:rFonts w:ascii="Arial" w:hAnsi="Arial" w:cs="Arial"/>
          <w:color w:val="auto"/>
        </w:rPr>
        <w:t xml:space="preserve">Implementarea proiectului în județul Brăila permite  atingerea următoarelor obiective: </w:t>
      </w:r>
    </w:p>
    <w:p w:rsidR="00B95695" w:rsidRPr="00315335" w:rsidRDefault="00B95695" w:rsidP="00B95695">
      <w:pPr>
        <w:pStyle w:val="Default"/>
        <w:numPr>
          <w:ilvl w:val="0"/>
          <w:numId w:val="42"/>
        </w:numPr>
        <w:rPr>
          <w:rFonts w:ascii="Arial" w:hAnsi="Arial" w:cs="Arial"/>
          <w:color w:val="auto"/>
        </w:rPr>
      </w:pPr>
      <w:r w:rsidRPr="00315335">
        <w:rPr>
          <w:rFonts w:ascii="Arial" w:hAnsi="Arial" w:cs="Arial"/>
          <w:color w:val="auto"/>
        </w:rPr>
        <w:t xml:space="preserve">asigurarea unui grad de acoperire cu servicii de salubritate de 100%, atât în mediul urban, cât și în mediul rural; </w:t>
      </w:r>
    </w:p>
    <w:p w:rsidR="00B95695" w:rsidRPr="00315335" w:rsidRDefault="00B95695" w:rsidP="00B95695">
      <w:pPr>
        <w:pStyle w:val="Default"/>
        <w:numPr>
          <w:ilvl w:val="0"/>
          <w:numId w:val="42"/>
        </w:numPr>
        <w:rPr>
          <w:rFonts w:ascii="Arial" w:hAnsi="Arial" w:cs="Arial"/>
          <w:color w:val="auto"/>
        </w:rPr>
      </w:pPr>
      <w:r w:rsidRPr="00315335">
        <w:rPr>
          <w:rFonts w:ascii="Arial" w:hAnsi="Arial" w:cs="Arial"/>
          <w:color w:val="auto"/>
        </w:rPr>
        <w:t xml:space="preserve">atingerea țintelor de reciclare/valorificare a deșeurilor din ambalaje. </w:t>
      </w:r>
    </w:p>
    <w:p w:rsidR="00B95695" w:rsidRPr="00315335" w:rsidRDefault="00B95695" w:rsidP="00B95695">
      <w:pPr>
        <w:pStyle w:val="Default"/>
        <w:numPr>
          <w:ilvl w:val="0"/>
          <w:numId w:val="42"/>
        </w:numPr>
        <w:rPr>
          <w:rFonts w:ascii="Arial" w:hAnsi="Arial" w:cs="Arial"/>
          <w:color w:val="auto"/>
        </w:rPr>
      </w:pPr>
      <w:r w:rsidRPr="00315335">
        <w:rPr>
          <w:rFonts w:ascii="Arial" w:hAnsi="Arial" w:cs="Arial"/>
          <w:color w:val="auto"/>
        </w:rPr>
        <w:t xml:space="preserve">conformarea cu privire la Directiva UE privind depozitarea deșeurilor biodegradabile </w:t>
      </w:r>
    </w:p>
    <w:p w:rsidR="00B95695" w:rsidRPr="00315335" w:rsidRDefault="00B95695" w:rsidP="00B95695">
      <w:pPr>
        <w:pStyle w:val="Default"/>
        <w:numPr>
          <w:ilvl w:val="0"/>
          <w:numId w:val="42"/>
        </w:numPr>
        <w:rPr>
          <w:rFonts w:ascii="Arial" w:hAnsi="Arial" w:cs="Arial"/>
          <w:color w:val="auto"/>
        </w:rPr>
      </w:pPr>
      <w:r w:rsidRPr="00315335">
        <w:rPr>
          <w:rFonts w:ascii="Arial" w:hAnsi="Arial" w:cs="Arial"/>
          <w:color w:val="auto"/>
        </w:rPr>
        <w:t xml:space="preserve">reducerea impactului de mediu aferente depozitărilor neconforme. </w:t>
      </w:r>
    </w:p>
    <w:p w:rsidR="00EF7A8A" w:rsidRDefault="00EF7A8A" w:rsidP="00B95695">
      <w:pPr>
        <w:rPr>
          <w:rFonts w:ascii="Arial" w:hAnsi="Arial" w:cs="Arial"/>
          <w:sz w:val="24"/>
          <w:szCs w:val="24"/>
        </w:rPr>
      </w:pPr>
    </w:p>
    <w:p w:rsidR="00B95695" w:rsidRPr="00315335" w:rsidRDefault="00B95695" w:rsidP="00B95695">
      <w:pPr>
        <w:rPr>
          <w:rFonts w:ascii="Arial" w:hAnsi="Arial" w:cs="Arial"/>
          <w:sz w:val="24"/>
          <w:szCs w:val="24"/>
        </w:rPr>
      </w:pPr>
      <w:r w:rsidRPr="00315335">
        <w:rPr>
          <w:rFonts w:ascii="Arial" w:hAnsi="Arial" w:cs="Arial"/>
          <w:sz w:val="24"/>
          <w:szCs w:val="24"/>
        </w:rPr>
        <w:t>La finele anului 2018 infrastructura sistemului a fost realizată , cu excepția stației de tratare mecano – biologică de la Vădeni care are termen de finalizare și recepție luna iunie 2019.</w:t>
      </w:r>
    </w:p>
    <w:p w:rsidR="00F5465F" w:rsidRDefault="00F5465F" w:rsidP="00A7312F">
      <w:pPr>
        <w:spacing w:after="0" w:line="240" w:lineRule="auto"/>
        <w:jc w:val="both"/>
        <w:rPr>
          <w:rFonts w:ascii="Arial" w:eastAsia="Calibri" w:hAnsi="Arial" w:cs="Arial"/>
          <w:b/>
          <w:sz w:val="24"/>
          <w:szCs w:val="24"/>
        </w:rPr>
      </w:pPr>
    </w:p>
    <w:sectPr w:rsidR="00F5465F" w:rsidSect="00EF7A8A">
      <w:footerReference w:type="default" r:id="rId168"/>
      <w:type w:val="continuous"/>
      <w:pgSz w:w="11907" w:h="16840" w:code="9"/>
      <w:pgMar w:top="567" w:right="567" w:bottom="567" w:left="1134"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E6F" w:rsidRDefault="00CA4E6F" w:rsidP="00E927D6">
      <w:pPr>
        <w:spacing w:after="0" w:line="240" w:lineRule="auto"/>
      </w:pPr>
      <w:r>
        <w:separator/>
      </w:r>
    </w:p>
  </w:endnote>
  <w:endnote w:type="continuationSeparator" w:id="0">
    <w:p w:rsidR="00CA4E6F" w:rsidRDefault="00CA4E6F" w:rsidP="00E92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Univers Cd (WE)">
    <w:altName w:val="Arial"/>
    <w:panose1 w:val="00000000000000000000"/>
    <w:charset w:val="EE"/>
    <w:family w:val="swiss"/>
    <w:notTrueType/>
    <w:pitch w:val="variable"/>
    <w:sig w:usb0="00000005" w:usb1="00000000" w:usb2="00000000" w:usb3="00000000" w:csb0="00000002"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font>
  <w:font w:name="Ro Times New Roman">
    <w:altName w:val="Times New Roman"/>
    <w:charset w:val="00"/>
    <w:family w:val="roman"/>
    <w:pitch w:val="variable"/>
    <w:sig w:usb0="00000007" w:usb1="00000000" w:usb2="00000000" w:usb3="00000000" w:csb0="00000003"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0291"/>
      <w:docPartObj>
        <w:docPartGallery w:val="Page Numbers (Bottom of Page)"/>
        <w:docPartUnique/>
      </w:docPartObj>
    </w:sdtPr>
    <w:sdtEndPr/>
    <w:sdtContent>
      <w:p w:rsidR="00631723" w:rsidRDefault="00631723">
        <w:pPr>
          <w:pStyle w:val="Subsol"/>
          <w:jc w:val="center"/>
        </w:pPr>
        <w:r>
          <w:t>[</w:t>
        </w:r>
        <w:r>
          <w:fldChar w:fldCharType="begin"/>
        </w:r>
        <w:r>
          <w:instrText xml:space="preserve"> PAGE   \* MERGEFORMAT </w:instrText>
        </w:r>
        <w:r>
          <w:fldChar w:fldCharType="separate"/>
        </w:r>
        <w:r w:rsidR="00B617F7">
          <w:rPr>
            <w:noProof/>
          </w:rPr>
          <w:t>171</w:t>
        </w:r>
        <w:r>
          <w:rPr>
            <w:noProof/>
          </w:rPr>
          <w:fldChar w:fldCharType="end"/>
        </w:r>
        <w:r>
          <w:t>]</w:t>
        </w:r>
      </w:p>
    </w:sdtContent>
  </w:sdt>
  <w:p w:rsidR="00631723" w:rsidRDefault="0063172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E6F" w:rsidRDefault="00CA4E6F" w:rsidP="00E927D6">
      <w:pPr>
        <w:spacing w:after="0" w:line="240" w:lineRule="auto"/>
      </w:pPr>
      <w:r>
        <w:separator/>
      </w:r>
    </w:p>
  </w:footnote>
  <w:footnote w:type="continuationSeparator" w:id="0">
    <w:p w:rsidR="00CA4E6F" w:rsidRDefault="00CA4E6F" w:rsidP="00E927D6">
      <w:pPr>
        <w:spacing w:after="0" w:line="240" w:lineRule="auto"/>
      </w:pPr>
      <w:r>
        <w:continuationSeparator/>
      </w:r>
    </w:p>
  </w:footnote>
  <w:footnote w:id="1">
    <w:p w:rsidR="00631723" w:rsidRDefault="00631723" w:rsidP="00643CB5">
      <w:pPr>
        <w:pStyle w:val="Textnotdesubsol"/>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208"/>
    <w:multiLevelType w:val="hybridMultilevel"/>
    <w:tmpl w:val="2ADCAC00"/>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A15E9"/>
    <w:multiLevelType w:val="hybridMultilevel"/>
    <w:tmpl w:val="7D14FC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A464AAB"/>
    <w:multiLevelType w:val="hybridMultilevel"/>
    <w:tmpl w:val="9F18F7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B0C7C8C"/>
    <w:multiLevelType w:val="hybridMultilevel"/>
    <w:tmpl w:val="A310299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2F186A"/>
    <w:multiLevelType w:val="hybridMultilevel"/>
    <w:tmpl w:val="B3DEFA5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0D676977"/>
    <w:multiLevelType w:val="hybridMultilevel"/>
    <w:tmpl w:val="5FF0D7BE"/>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E2B3C98"/>
    <w:multiLevelType w:val="hybridMultilevel"/>
    <w:tmpl w:val="288030DA"/>
    <w:lvl w:ilvl="0" w:tplc="04180001">
      <w:start w:val="1"/>
      <w:numFmt w:val="bullet"/>
      <w:lvlText w:val=""/>
      <w:lvlJc w:val="left"/>
      <w:pPr>
        <w:ind w:left="975" w:hanging="360"/>
      </w:pPr>
      <w:rPr>
        <w:rFonts w:ascii="Symbol" w:hAnsi="Symbol" w:hint="default"/>
      </w:rPr>
    </w:lvl>
    <w:lvl w:ilvl="1" w:tplc="04180003" w:tentative="1">
      <w:start w:val="1"/>
      <w:numFmt w:val="bullet"/>
      <w:lvlText w:val="o"/>
      <w:lvlJc w:val="left"/>
      <w:pPr>
        <w:ind w:left="1695" w:hanging="360"/>
      </w:pPr>
      <w:rPr>
        <w:rFonts w:ascii="Courier New" w:hAnsi="Courier New" w:cs="Courier New" w:hint="default"/>
      </w:rPr>
    </w:lvl>
    <w:lvl w:ilvl="2" w:tplc="04180005" w:tentative="1">
      <w:start w:val="1"/>
      <w:numFmt w:val="bullet"/>
      <w:lvlText w:val=""/>
      <w:lvlJc w:val="left"/>
      <w:pPr>
        <w:ind w:left="2415" w:hanging="360"/>
      </w:pPr>
      <w:rPr>
        <w:rFonts w:ascii="Wingdings" w:hAnsi="Wingdings" w:hint="default"/>
      </w:rPr>
    </w:lvl>
    <w:lvl w:ilvl="3" w:tplc="04180001" w:tentative="1">
      <w:start w:val="1"/>
      <w:numFmt w:val="bullet"/>
      <w:lvlText w:val=""/>
      <w:lvlJc w:val="left"/>
      <w:pPr>
        <w:ind w:left="3135" w:hanging="360"/>
      </w:pPr>
      <w:rPr>
        <w:rFonts w:ascii="Symbol" w:hAnsi="Symbol" w:hint="default"/>
      </w:rPr>
    </w:lvl>
    <w:lvl w:ilvl="4" w:tplc="04180003" w:tentative="1">
      <w:start w:val="1"/>
      <w:numFmt w:val="bullet"/>
      <w:lvlText w:val="o"/>
      <w:lvlJc w:val="left"/>
      <w:pPr>
        <w:ind w:left="3855" w:hanging="360"/>
      </w:pPr>
      <w:rPr>
        <w:rFonts w:ascii="Courier New" w:hAnsi="Courier New" w:cs="Courier New" w:hint="default"/>
      </w:rPr>
    </w:lvl>
    <w:lvl w:ilvl="5" w:tplc="04180005" w:tentative="1">
      <w:start w:val="1"/>
      <w:numFmt w:val="bullet"/>
      <w:lvlText w:val=""/>
      <w:lvlJc w:val="left"/>
      <w:pPr>
        <w:ind w:left="4575" w:hanging="360"/>
      </w:pPr>
      <w:rPr>
        <w:rFonts w:ascii="Wingdings" w:hAnsi="Wingdings" w:hint="default"/>
      </w:rPr>
    </w:lvl>
    <w:lvl w:ilvl="6" w:tplc="04180001" w:tentative="1">
      <w:start w:val="1"/>
      <w:numFmt w:val="bullet"/>
      <w:lvlText w:val=""/>
      <w:lvlJc w:val="left"/>
      <w:pPr>
        <w:ind w:left="5295" w:hanging="360"/>
      </w:pPr>
      <w:rPr>
        <w:rFonts w:ascii="Symbol" w:hAnsi="Symbol" w:hint="default"/>
      </w:rPr>
    </w:lvl>
    <w:lvl w:ilvl="7" w:tplc="04180003" w:tentative="1">
      <w:start w:val="1"/>
      <w:numFmt w:val="bullet"/>
      <w:lvlText w:val="o"/>
      <w:lvlJc w:val="left"/>
      <w:pPr>
        <w:ind w:left="6015" w:hanging="360"/>
      </w:pPr>
      <w:rPr>
        <w:rFonts w:ascii="Courier New" w:hAnsi="Courier New" w:cs="Courier New" w:hint="default"/>
      </w:rPr>
    </w:lvl>
    <w:lvl w:ilvl="8" w:tplc="04180005" w:tentative="1">
      <w:start w:val="1"/>
      <w:numFmt w:val="bullet"/>
      <w:lvlText w:val=""/>
      <w:lvlJc w:val="left"/>
      <w:pPr>
        <w:ind w:left="6735" w:hanging="360"/>
      </w:pPr>
      <w:rPr>
        <w:rFonts w:ascii="Wingdings" w:hAnsi="Wingdings" w:hint="default"/>
      </w:rPr>
    </w:lvl>
  </w:abstractNum>
  <w:abstractNum w:abstractNumId="7" w15:restartNumberingAfterBreak="0">
    <w:nsid w:val="0FFA2050"/>
    <w:multiLevelType w:val="hybridMultilevel"/>
    <w:tmpl w:val="CE0C3922"/>
    <w:lvl w:ilvl="0" w:tplc="D3CE15C0">
      <w:start w:val="9"/>
      <w:numFmt w:val="bullet"/>
      <w:lvlText w:val="-"/>
      <w:lvlJc w:val="left"/>
      <w:pPr>
        <w:ind w:left="720" w:hanging="360"/>
      </w:pPr>
      <w:rPr>
        <w:rFonts w:ascii="Times New Roman" w:eastAsia="Calibri" w:hAnsi="Times New Roman" w:cs="Times New Roman" w:hint="default"/>
        <w:b/>
        <w:color w:val="auto"/>
        <w:sz w:val="3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19408B9"/>
    <w:multiLevelType w:val="hybridMultilevel"/>
    <w:tmpl w:val="AF1AED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2057CE8"/>
    <w:multiLevelType w:val="hybridMultilevel"/>
    <w:tmpl w:val="4600F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0632A6"/>
    <w:multiLevelType w:val="hybridMultilevel"/>
    <w:tmpl w:val="9A9849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4844589"/>
    <w:multiLevelType w:val="hybridMultilevel"/>
    <w:tmpl w:val="C3B6B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616051B"/>
    <w:multiLevelType w:val="hybridMultilevel"/>
    <w:tmpl w:val="FF6EAE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6957F97"/>
    <w:multiLevelType w:val="hybridMultilevel"/>
    <w:tmpl w:val="376A4582"/>
    <w:lvl w:ilvl="0" w:tplc="04180001">
      <w:start w:val="1"/>
      <w:numFmt w:val="bullet"/>
      <w:lvlText w:val=""/>
      <w:lvlJc w:val="left"/>
      <w:pPr>
        <w:tabs>
          <w:tab w:val="num" w:pos="786"/>
        </w:tabs>
        <w:ind w:left="786" w:hanging="360"/>
      </w:pPr>
      <w:rPr>
        <w:rFonts w:ascii="Symbol" w:hAnsi="Symbol" w:hint="default"/>
      </w:rPr>
    </w:lvl>
    <w:lvl w:ilvl="1" w:tplc="04180003" w:tentative="1">
      <w:start w:val="1"/>
      <w:numFmt w:val="bullet"/>
      <w:lvlText w:val="o"/>
      <w:lvlJc w:val="left"/>
      <w:pPr>
        <w:tabs>
          <w:tab w:val="num" w:pos="1506"/>
        </w:tabs>
        <w:ind w:left="1506" w:hanging="360"/>
      </w:pPr>
      <w:rPr>
        <w:rFonts w:ascii="Courier New" w:hAnsi="Courier New" w:cs="Courier New" w:hint="default"/>
      </w:rPr>
    </w:lvl>
    <w:lvl w:ilvl="2" w:tplc="04180005" w:tentative="1">
      <w:start w:val="1"/>
      <w:numFmt w:val="bullet"/>
      <w:lvlText w:val=""/>
      <w:lvlJc w:val="left"/>
      <w:pPr>
        <w:tabs>
          <w:tab w:val="num" w:pos="2226"/>
        </w:tabs>
        <w:ind w:left="2226" w:hanging="360"/>
      </w:pPr>
      <w:rPr>
        <w:rFonts w:ascii="Wingdings" w:hAnsi="Wingdings" w:hint="default"/>
      </w:rPr>
    </w:lvl>
    <w:lvl w:ilvl="3" w:tplc="04180001" w:tentative="1">
      <w:start w:val="1"/>
      <w:numFmt w:val="bullet"/>
      <w:lvlText w:val=""/>
      <w:lvlJc w:val="left"/>
      <w:pPr>
        <w:tabs>
          <w:tab w:val="num" w:pos="2946"/>
        </w:tabs>
        <w:ind w:left="2946" w:hanging="360"/>
      </w:pPr>
      <w:rPr>
        <w:rFonts w:ascii="Symbol" w:hAnsi="Symbol" w:hint="default"/>
      </w:rPr>
    </w:lvl>
    <w:lvl w:ilvl="4" w:tplc="04180003" w:tentative="1">
      <w:start w:val="1"/>
      <w:numFmt w:val="bullet"/>
      <w:lvlText w:val="o"/>
      <w:lvlJc w:val="left"/>
      <w:pPr>
        <w:tabs>
          <w:tab w:val="num" w:pos="3666"/>
        </w:tabs>
        <w:ind w:left="3666" w:hanging="360"/>
      </w:pPr>
      <w:rPr>
        <w:rFonts w:ascii="Courier New" w:hAnsi="Courier New" w:cs="Courier New" w:hint="default"/>
      </w:rPr>
    </w:lvl>
    <w:lvl w:ilvl="5" w:tplc="04180005" w:tentative="1">
      <w:start w:val="1"/>
      <w:numFmt w:val="bullet"/>
      <w:lvlText w:val=""/>
      <w:lvlJc w:val="left"/>
      <w:pPr>
        <w:tabs>
          <w:tab w:val="num" w:pos="4386"/>
        </w:tabs>
        <w:ind w:left="4386" w:hanging="360"/>
      </w:pPr>
      <w:rPr>
        <w:rFonts w:ascii="Wingdings" w:hAnsi="Wingdings" w:hint="default"/>
      </w:rPr>
    </w:lvl>
    <w:lvl w:ilvl="6" w:tplc="04180001" w:tentative="1">
      <w:start w:val="1"/>
      <w:numFmt w:val="bullet"/>
      <w:lvlText w:val=""/>
      <w:lvlJc w:val="left"/>
      <w:pPr>
        <w:tabs>
          <w:tab w:val="num" w:pos="5106"/>
        </w:tabs>
        <w:ind w:left="5106" w:hanging="360"/>
      </w:pPr>
      <w:rPr>
        <w:rFonts w:ascii="Symbol" w:hAnsi="Symbol" w:hint="default"/>
      </w:rPr>
    </w:lvl>
    <w:lvl w:ilvl="7" w:tplc="04180003" w:tentative="1">
      <w:start w:val="1"/>
      <w:numFmt w:val="bullet"/>
      <w:lvlText w:val="o"/>
      <w:lvlJc w:val="left"/>
      <w:pPr>
        <w:tabs>
          <w:tab w:val="num" w:pos="5826"/>
        </w:tabs>
        <w:ind w:left="5826" w:hanging="360"/>
      </w:pPr>
      <w:rPr>
        <w:rFonts w:ascii="Courier New" w:hAnsi="Courier New" w:cs="Courier New" w:hint="default"/>
      </w:rPr>
    </w:lvl>
    <w:lvl w:ilvl="8" w:tplc="04180005" w:tentative="1">
      <w:start w:val="1"/>
      <w:numFmt w:val="bullet"/>
      <w:lvlText w:val=""/>
      <w:lvlJc w:val="left"/>
      <w:pPr>
        <w:tabs>
          <w:tab w:val="num" w:pos="6546"/>
        </w:tabs>
        <w:ind w:left="6546" w:hanging="360"/>
      </w:pPr>
      <w:rPr>
        <w:rFonts w:ascii="Wingdings" w:hAnsi="Wingdings" w:hint="default"/>
      </w:rPr>
    </w:lvl>
  </w:abstractNum>
  <w:abstractNum w:abstractNumId="14" w15:restartNumberingAfterBreak="0">
    <w:nsid w:val="174B42F7"/>
    <w:multiLevelType w:val="hybridMultilevel"/>
    <w:tmpl w:val="63F08E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7F24D21"/>
    <w:multiLevelType w:val="hybridMultilevel"/>
    <w:tmpl w:val="4AD4F7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1855242D"/>
    <w:multiLevelType w:val="hybridMultilevel"/>
    <w:tmpl w:val="167617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A822165"/>
    <w:multiLevelType w:val="hybridMultilevel"/>
    <w:tmpl w:val="CBD4385C"/>
    <w:lvl w:ilvl="0" w:tplc="04180001">
      <w:start w:val="1"/>
      <w:numFmt w:val="bullet"/>
      <w:lvlText w:val=""/>
      <w:lvlJc w:val="left"/>
      <w:pPr>
        <w:tabs>
          <w:tab w:val="num" w:pos="1776"/>
        </w:tabs>
        <w:ind w:left="1776"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15:restartNumberingAfterBreak="0">
    <w:nsid w:val="1A956F5B"/>
    <w:multiLevelType w:val="hybridMultilevel"/>
    <w:tmpl w:val="6B5411B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B08305D"/>
    <w:multiLevelType w:val="hybridMultilevel"/>
    <w:tmpl w:val="C8505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1CD26A30"/>
    <w:multiLevelType w:val="hybridMultilevel"/>
    <w:tmpl w:val="1954FE36"/>
    <w:lvl w:ilvl="0" w:tplc="04180001">
      <w:start w:val="1"/>
      <w:numFmt w:val="bullet"/>
      <w:lvlText w:val=""/>
      <w:lvlJc w:val="left"/>
      <w:pPr>
        <w:ind w:left="792" w:hanging="360"/>
      </w:pPr>
      <w:rPr>
        <w:rFonts w:ascii="Symbol" w:hAnsi="Symbol" w:hint="default"/>
      </w:rPr>
    </w:lvl>
    <w:lvl w:ilvl="1" w:tplc="04180003" w:tentative="1">
      <w:start w:val="1"/>
      <w:numFmt w:val="bullet"/>
      <w:lvlText w:val="o"/>
      <w:lvlJc w:val="left"/>
      <w:pPr>
        <w:ind w:left="1512" w:hanging="360"/>
      </w:pPr>
      <w:rPr>
        <w:rFonts w:ascii="Courier New" w:hAnsi="Courier New" w:cs="Courier New" w:hint="default"/>
      </w:rPr>
    </w:lvl>
    <w:lvl w:ilvl="2" w:tplc="04180005" w:tentative="1">
      <w:start w:val="1"/>
      <w:numFmt w:val="bullet"/>
      <w:lvlText w:val=""/>
      <w:lvlJc w:val="left"/>
      <w:pPr>
        <w:ind w:left="2232" w:hanging="360"/>
      </w:pPr>
      <w:rPr>
        <w:rFonts w:ascii="Wingdings" w:hAnsi="Wingdings" w:hint="default"/>
      </w:rPr>
    </w:lvl>
    <w:lvl w:ilvl="3" w:tplc="04180001" w:tentative="1">
      <w:start w:val="1"/>
      <w:numFmt w:val="bullet"/>
      <w:lvlText w:val=""/>
      <w:lvlJc w:val="left"/>
      <w:pPr>
        <w:ind w:left="2952" w:hanging="360"/>
      </w:pPr>
      <w:rPr>
        <w:rFonts w:ascii="Symbol" w:hAnsi="Symbol" w:hint="default"/>
      </w:rPr>
    </w:lvl>
    <w:lvl w:ilvl="4" w:tplc="04180003" w:tentative="1">
      <w:start w:val="1"/>
      <w:numFmt w:val="bullet"/>
      <w:lvlText w:val="o"/>
      <w:lvlJc w:val="left"/>
      <w:pPr>
        <w:ind w:left="3672" w:hanging="360"/>
      </w:pPr>
      <w:rPr>
        <w:rFonts w:ascii="Courier New" w:hAnsi="Courier New" w:cs="Courier New" w:hint="default"/>
      </w:rPr>
    </w:lvl>
    <w:lvl w:ilvl="5" w:tplc="04180005" w:tentative="1">
      <w:start w:val="1"/>
      <w:numFmt w:val="bullet"/>
      <w:lvlText w:val=""/>
      <w:lvlJc w:val="left"/>
      <w:pPr>
        <w:ind w:left="4392" w:hanging="360"/>
      </w:pPr>
      <w:rPr>
        <w:rFonts w:ascii="Wingdings" w:hAnsi="Wingdings" w:hint="default"/>
      </w:rPr>
    </w:lvl>
    <w:lvl w:ilvl="6" w:tplc="04180001" w:tentative="1">
      <w:start w:val="1"/>
      <w:numFmt w:val="bullet"/>
      <w:lvlText w:val=""/>
      <w:lvlJc w:val="left"/>
      <w:pPr>
        <w:ind w:left="5112" w:hanging="360"/>
      </w:pPr>
      <w:rPr>
        <w:rFonts w:ascii="Symbol" w:hAnsi="Symbol" w:hint="default"/>
      </w:rPr>
    </w:lvl>
    <w:lvl w:ilvl="7" w:tplc="04180003" w:tentative="1">
      <w:start w:val="1"/>
      <w:numFmt w:val="bullet"/>
      <w:lvlText w:val="o"/>
      <w:lvlJc w:val="left"/>
      <w:pPr>
        <w:ind w:left="5832" w:hanging="360"/>
      </w:pPr>
      <w:rPr>
        <w:rFonts w:ascii="Courier New" w:hAnsi="Courier New" w:cs="Courier New" w:hint="default"/>
      </w:rPr>
    </w:lvl>
    <w:lvl w:ilvl="8" w:tplc="04180005" w:tentative="1">
      <w:start w:val="1"/>
      <w:numFmt w:val="bullet"/>
      <w:lvlText w:val=""/>
      <w:lvlJc w:val="left"/>
      <w:pPr>
        <w:ind w:left="6552" w:hanging="360"/>
      </w:pPr>
      <w:rPr>
        <w:rFonts w:ascii="Wingdings" w:hAnsi="Wingdings" w:hint="default"/>
      </w:rPr>
    </w:lvl>
  </w:abstractNum>
  <w:abstractNum w:abstractNumId="21" w15:restartNumberingAfterBreak="0">
    <w:nsid w:val="1CF22C4F"/>
    <w:multiLevelType w:val="hybridMultilevel"/>
    <w:tmpl w:val="187235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1D340AAD"/>
    <w:multiLevelType w:val="multilevel"/>
    <w:tmpl w:val="2474DE34"/>
    <w:lvl w:ilvl="0">
      <w:start w:val="1"/>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rPr>
    </w:lvl>
    <w:lvl w:ilvl="1">
      <w:start w:val="1"/>
      <w:numFmt w:val="decimal"/>
      <w:suff w:val="space"/>
      <w:lvlText w:val="%1.%2."/>
      <w:lvlJc w:val="left"/>
      <w:pPr>
        <w:ind w:left="1191" w:hanging="624"/>
      </w:pPr>
      <w:rPr>
        <w:rFonts w:hint="default"/>
        <w:sz w:val="22"/>
      </w:rPr>
    </w:lvl>
    <w:lvl w:ilvl="2">
      <w:start w:val="1"/>
      <w:numFmt w:val="decimal"/>
      <w:lvlText w:val="%1.%2.%3."/>
      <w:lvlJc w:val="left"/>
      <w:pPr>
        <w:tabs>
          <w:tab w:val="num" w:pos="0"/>
        </w:tabs>
        <w:ind w:left="567"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23" w15:restartNumberingAfterBreak="0">
    <w:nsid w:val="1E7F2516"/>
    <w:multiLevelType w:val="hybridMultilevel"/>
    <w:tmpl w:val="0CBA91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1E8E64D8"/>
    <w:multiLevelType w:val="hybridMultilevel"/>
    <w:tmpl w:val="EDA80974"/>
    <w:lvl w:ilvl="0" w:tplc="27229B74">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ECD5A98"/>
    <w:multiLevelType w:val="hybridMultilevel"/>
    <w:tmpl w:val="A55ADF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1F233BAF"/>
    <w:multiLevelType w:val="hybridMultilevel"/>
    <w:tmpl w:val="E384C46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6F1E96"/>
    <w:multiLevelType w:val="hybridMultilevel"/>
    <w:tmpl w:val="B6A0B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7909A6"/>
    <w:multiLevelType w:val="hybridMultilevel"/>
    <w:tmpl w:val="8D5CA6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23DB4BDD"/>
    <w:multiLevelType w:val="hybridMultilevel"/>
    <w:tmpl w:val="2FAEAD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251957DF"/>
    <w:multiLevelType w:val="hybridMultilevel"/>
    <w:tmpl w:val="857C7C2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26846293"/>
    <w:multiLevelType w:val="hybridMultilevel"/>
    <w:tmpl w:val="E8E435F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272F7628"/>
    <w:multiLevelType w:val="hybridMultilevel"/>
    <w:tmpl w:val="5324262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2D1F2712"/>
    <w:multiLevelType w:val="hybridMultilevel"/>
    <w:tmpl w:val="9782061A"/>
    <w:lvl w:ilvl="0" w:tplc="64DA5E4E">
      <w:start w:val="1"/>
      <w:numFmt w:val="bullet"/>
      <w:pStyle w:val="bulet1"/>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2FF9206B"/>
    <w:multiLevelType w:val="hybridMultilevel"/>
    <w:tmpl w:val="DB6087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313160BB"/>
    <w:multiLevelType w:val="hybridMultilevel"/>
    <w:tmpl w:val="6ED8DDE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31C45907"/>
    <w:multiLevelType w:val="hybridMultilevel"/>
    <w:tmpl w:val="4664D7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32831A79"/>
    <w:multiLevelType w:val="hybridMultilevel"/>
    <w:tmpl w:val="A04AE1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32B742C4"/>
    <w:multiLevelType w:val="hybridMultilevel"/>
    <w:tmpl w:val="48AECF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3339549F"/>
    <w:multiLevelType w:val="hybridMultilevel"/>
    <w:tmpl w:val="5DB8E8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33D06807"/>
    <w:multiLevelType w:val="hybridMultilevel"/>
    <w:tmpl w:val="A238E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A55AAD"/>
    <w:multiLevelType w:val="hybridMultilevel"/>
    <w:tmpl w:val="E0B8B1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35AC4FAB"/>
    <w:multiLevelType w:val="hybridMultilevel"/>
    <w:tmpl w:val="2EE67E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36132502"/>
    <w:multiLevelType w:val="hybridMultilevel"/>
    <w:tmpl w:val="DBFE3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9662C41"/>
    <w:multiLevelType w:val="hybridMultilevel"/>
    <w:tmpl w:val="0B029BA2"/>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5" w15:restartNumberingAfterBreak="0">
    <w:nsid w:val="4171542D"/>
    <w:multiLevelType w:val="hybridMultilevel"/>
    <w:tmpl w:val="2292AC1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2630F3F"/>
    <w:multiLevelType w:val="hybridMultilevel"/>
    <w:tmpl w:val="26EEE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458F2FDD"/>
    <w:multiLevelType w:val="hybridMultilevel"/>
    <w:tmpl w:val="D0D074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45E92CBD"/>
    <w:multiLevelType w:val="hybridMultilevel"/>
    <w:tmpl w:val="27F8982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49D831FE"/>
    <w:multiLevelType w:val="hybridMultilevel"/>
    <w:tmpl w:val="417CA9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4BF06FD4"/>
    <w:multiLevelType w:val="hybridMultilevel"/>
    <w:tmpl w:val="E14E1C16"/>
    <w:lvl w:ilvl="0" w:tplc="04090003">
      <w:start w:val="1"/>
      <w:numFmt w:val="bullet"/>
      <w:lvlText w:val="o"/>
      <w:lvlJc w:val="left"/>
      <w:pPr>
        <w:ind w:left="1429" w:hanging="360"/>
      </w:pPr>
      <w:rPr>
        <w:rFonts w:ascii="Courier New" w:hAnsi="Courier New" w:cs="Courier New"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4F454DC0"/>
    <w:multiLevelType w:val="hybridMultilevel"/>
    <w:tmpl w:val="4B904742"/>
    <w:lvl w:ilvl="0" w:tplc="3AA41214">
      <w:start w:val="1"/>
      <w:numFmt w:val="bullet"/>
      <w:lvlText w:val=""/>
      <w:lvlJc w:val="left"/>
      <w:pPr>
        <w:tabs>
          <w:tab w:val="num" w:pos="1070"/>
        </w:tabs>
        <w:ind w:left="370" w:firstLine="340"/>
      </w:pPr>
      <w:rPr>
        <w:rFonts w:ascii="Wingdings" w:hAnsi="Wingdings" w:hint="default"/>
        <w:color w:val="auto"/>
        <w:sz w:val="24"/>
        <w:szCs w:val="24"/>
      </w:rPr>
    </w:lvl>
    <w:lvl w:ilvl="1" w:tplc="04180003">
      <w:start w:val="1"/>
      <w:numFmt w:val="bullet"/>
      <w:lvlText w:val="o"/>
      <w:lvlJc w:val="left"/>
      <w:pPr>
        <w:tabs>
          <w:tab w:val="num" w:pos="2210"/>
        </w:tabs>
        <w:ind w:left="2210" w:hanging="360"/>
      </w:pPr>
      <w:rPr>
        <w:rFonts w:ascii="Courier New" w:hAnsi="Courier New" w:hint="default"/>
      </w:rPr>
    </w:lvl>
    <w:lvl w:ilvl="2" w:tplc="04180005" w:tentative="1">
      <w:start w:val="1"/>
      <w:numFmt w:val="bullet"/>
      <w:lvlText w:val=""/>
      <w:lvlJc w:val="left"/>
      <w:pPr>
        <w:tabs>
          <w:tab w:val="num" w:pos="2930"/>
        </w:tabs>
        <w:ind w:left="2930" w:hanging="360"/>
      </w:pPr>
      <w:rPr>
        <w:rFonts w:ascii="Wingdings" w:hAnsi="Wingdings" w:hint="default"/>
      </w:rPr>
    </w:lvl>
    <w:lvl w:ilvl="3" w:tplc="04180001" w:tentative="1">
      <w:start w:val="1"/>
      <w:numFmt w:val="bullet"/>
      <w:lvlText w:val=""/>
      <w:lvlJc w:val="left"/>
      <w:pPr>
        <w:tabs>
          <w:tab w:val="num" w:pos="3650"/>
        </w:tabs>
        <w:ind w:left="3650" w:hanging="360"/>
      </w:pPr>
      <w:rPr>
        <w:rFonts w:ascii="Symbol" w:hAnsi="Symbol" w:hint="default"/>
      </w:rPr>
    </w:lvl>
    <w:lvl w:ilvl="4" w:tplc="04180003" w:tentative="1">
      <w:start w:val="1"/>
      <w:numFmt w:val="bullet"/>
      <w:lvlText w:val="o"/>
      <w:lvlJc w:val="left"/>
      <w:pPr>
        <w:tabs>
          <w:tab w:val="num" w:pos="4370"/>
        </w:tabs>
        <w:ind w:left="4370" w:hanging="360"/>
      </w:pPr>
      <w:rPr>
        <w:rFonts w:ascii="Courier New" w:hAnsi="Courier New" w:hint="default"/>
      </w:rPr>
    </w:lvl>
    <w:lvl w:ilvl="5" w:tplc="04180005" w:tentative="1">
      <w:start w:val="1"/>
      <w:numFmt w:val="bullet"/>
      <w:lvlText w:val=""/>
      <w:lvlJc w:val="left"/>
      <w:pPr>
        <w:tabs>
          <w:tab w:val="num" w:pos="5090"/>
        </w:tabs>
        <w:ind w:left="5090" w:hanging="360"/>
      </w:pPr>
      <w:rPr>
        <w:rFonts w:ascii="Wingdings" w:hAnsi="Wingdings" w:hint="default"/>
      </w:rPr>
    </w:lvl>
    <w:lvl w:ilvl="6" w:tplc="04180001" w:tentative="1">
      <w:start w:val="1"/>
      <w:numFmt w:val="bullet"/>
      <w:lvlText w:val=""/>
      <w:lvlJc w:val="left"/>
      <w:pPr>
        <w:tabs>
          <w:tab w:val="num" w:pos="5810"/>
        </w:tabs>
        <w:ind w:left="5810" w:hanging="360"/>
      </w:pPr>
      <w:rPr>
        <w:rFonts w:ascii="Symbol" w:hAnsi="Symbol" w:hint="default"/>
      </w:rPr>
    </w:lvl>
    <w:lvl w:ilvl="7" w:tplc="04180003" w:tentative="1">
      <w:start w:val="1"/>
      <w:numFmt w:val="bullet"/>
      <w:lvlText w:val="o"/>
      <w:lvlJc w:val="left"/>
      <w:pPr>
        <w:tabs>
          <w:tab w:val="num" w:pos="6530"/>
        </w:tabs>
        <w:ind w:left="6530" w:hanging="360"/>
      </w:pPr>
      <w:rPr>
        <w:rFonts w:ascii="Courier New" w:hAnsi="Courier New" w:hint="default"/>
      </w:rPr>
    </w:lvl>
    <w:lvl w:ilvl="8" w:tplc="04180005" w:tentative="1">
      <w:start w:val="1"/>
      <w:numFmt w:val="bullet"/>
      <w:lvlText w:val=""/>
      <w:lvlJc w:val="left"/>
      <w:pPr>
        <w:tabs>
          <w:tab w:val="num" w:pos="7250"/>
        </w:tabs>
        <w:ind w:left="7250" w:hanging="360"/>
      </w:pPr>
      <w:rPr>
        <w:rFonts w:ascii="Wingdings" w:hAnsi="Wingdings" w:hint="default"/>
      </w:rPr>
    </w:lvl>
  </w:abstractNum>
  <w:abstractNum w:abstractNumId="52" w15:restartNumberingAfterBreak="0">
    <w:nsid w:val="4F8B4545"/>
    <w:multiLevelType w:val="hybridMultilevel"/>
    <w:tmpl w:val="591E69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50727174"/>
    <w:multiLevelType w:val="hybridMultilevel"/>
    <w:tmpl w:val="836648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51FB4E48"/>
    <w:multiLevelType w:val="hybridMultilevel"/>
    <w:tmpl w:val="DD7C89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56B05EB7"/>
    <w:multiLevelType w:val="hybridMultilevel"/>
    <w:tmpl w:val="CF2451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58C82A95"/>
    <w:multiLevelType w:val="hybridMultilevel"/>
    <w:tmpl w:val="A7E4517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7" w15:restartNumberingAfterBreak="0">
    <w:nsid w:val="5C100D7B"/>
    <w:multiLevelType w:val="hybridMultilevel"/>
    <w:tmpl w:val="D8A83F4A"/>
    <w:lvl w:ilvl="0" w:tplc="04180001">
      <w:start w:val="1"/>
      <w:numFmt w:val="bullet"/>
      <w:lvlText w:val=""/>
      <w:lvlJc w:val="left"/>
      <w:pPr>
        <w:tabs>
          <w:tab w:val="num" w:pos="2190"/>
        </w:tabs>
        <w:ind w:left="2190" w:hanging="360"/>
      </w:pPr>
      <w:rPr>
        <w:rFonts w:ascii="Symbol" w:hAnsi="Symbol" w:hint="default"/>
      </w:rPr>
    </w:lvl>
    <w:lvl w:ilvl="1" w:tplc="04180003" w:tentative="1">
      <w:start w:val="1"/>
      <w:numFmt w:val="bullet"/>
      <w:lvlText w:val="o"/>
      <w:lvlJc w:val="left"/>
      <w:pPr>
        <w:tabs>
          <w:tab w:val="num" w:pos="2910"/>
        </w:tabs>
        <w:ind w:left="2910" w:hanging="360"/>
      </w:pPr>
      <w:rPr>
        <w:rFonts w:ascii="Courier New" w:hAnsi="Courier New" w:cs="Courier New" w:hint="default"/>
      </w:rPr>
    </w:lvl>
    <w:lvl w:ilvl="2" w:tplc="04180005" w:tentative="1">
      <w:start w:val="1"/>
      <w:numFmt w:val="bullet"/>
      <w:lvlText w:val=""/>
      <w:lvlJc w:val="left"/>
      <w:pPr>
        <w:tabs>
          <w:tab w:val="num" w:pos="3630"/>
        </w:tabs>
        <w:ind w:left="3630" w:hanging="360"/>
      </w:pPr>
      <w:rPr>
        <w:rFonts w:ascii="Wingdings" w:hAnsi="Wingdings" w:hint="default"/>
      </w:rPr>
    </w:lvl>
    <w:lvl w:ilvl="3" w:tplc="04180001" w:tentative="1">
      <w:start w:val="1"/>
      <w:numFmt w:val="bullet"/>
      <w:lvlText w:val=""/>
      <w:lvlJc w:val="left"/>
      <w:pPr>
        <w:tabs>
          <w:tab w:val="num" w:pos="4350"/>
        </w:tabs>
        <w:ind w:left="4350" w:hanging="360"/>
      </w:pPr>
      <w:rPr>
        <w:rFonts w:ascii="Symbol" w:hAnsi="Symbol" w:hint="default"/>
      </w:rPr>
    </w:lvl>
    <w:lvl w:ilvl="4" w:tplc="04180003" w:tentative="1">
      <w:start w:val="1"/>
      <w:numFmt w:val="bullet"/>
      <w:lvlText w:val="o"/>
      <w:lvlJc w:val="left"/>
      <w:pPr>
        <w:tabs>
          <w:tab w:val="num" w:pos="5070"/>
        </w:tabs>
        <w:ind w:left="5070" w:hanging="360"/>
      </w:pPr>
      <w:rPr>
        <w:rFonts w:ascii="Courier New" w:hAnsi="Courier New" w:cs="Courier New" w:hint="default"/>
      </w:rPr>
    </w:lvl>
    <w:lvl w:ilvl="5" w:tplc="04180005" w:tentative="1">
      <w:start w:val="1"/>
      <w:numFmt w:val="bullet"/>
      <w:lvlText w:val=""/>
      <w:lvlJc w:val="left"/>
      <w:pPr>
        <w:tabs>
          <w:tab w:val="num" w:pos="5790"/>
        </w:tabs>
        <w:ind w:left="5790" w:hanging="360"/>
      </w:pPr>
      <w:rPr>
        <w:rFonts w:ascii="Wingdings" w:hAnsi="Wingdings" w:hint="default"/>
      </w:rPr>
    </w:lvl>
    <w:lvl w:ilvl="6" w:tplc="04180001" w:tentative="1">
      <w:start w:val="1"/>
      <w:numFmt w:val="bullet"/>
      <w:lvlText w:val=""/>
      <w:lvlJc w:val="left"/>
      <w:pPr>
        <w:tabs>
          <w:tab w:val="num" w:pos="6510"/>
        </w:tabs>
        <w:ind w:left="6510" w:hanging="360"/>
      </w:pPr>
      <w:rPr>
        <w:rFonts w:ascii="Symbol" w:hAnsi="Symbol" w:hint="default"/>
      </w:rPr>
    </w:lvl>
    <w:lvl w:ilvl="7" w:tplc="04180003" w:tentative="1">
      <w:start w:val="1"/>
      <w:numFmt w:val="bullet"/>
      <w:lvlText w:val="o"/>
      <w:lvlJc w:val="left"/>
      <w:pPr>
        <w:tabs>
          <w:tab w:val="num" w:pos="7230"/>
        </w:tabs>
        <w:ind w:left="7230" w:hanging="360"/>
      </w:pPr>
      <w:rPr>
        <w:rFonts w:ascii="Courier New" w:hAnsi="Courier New" w:cs="Courier New" w:hint="default"/>
      </w:rPr>
    </w:lvl>
    <w:lvl w:ilvl="8" w:tplc="04180005" w:tentative="1">
      <w:start w:val="1"/>
      <w:numFmt w:val="bullet"/>
      <w:lvlText w:val=""/>
      <w:lvlJc w:val="left"/>
      <w:pPr>
        <w:tabs>
          <w:tab w:val="num" w:pos="7950"/>
        </w:tabs>
        <w:ind w:left="7950" w:hanging="360"/>
      </w:pPr>
      <w:rPr>
        <w:rFonts w:ascii="Wingdings" w:hAnsi="Wingdings" w:hint="default"/>
      </w:rPr>
    </w:lvl>
  </w:abstractNum>
  <w:abstractNum w:abstractNumId="58" w15:restartNumberingAfterBreak="0">
    <w:nsid w:val="5CA8576A"/>
    <w:multiLevelType w:val="hybridMultilevel"/>
    <w:tmpl w:val="6846DA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5DCA4762"/>
    <w:multiLevelType w:val="hybridMultilevel"/>
    <w:tmpl w:val="F53CA008"/>
    <w:lvl w:ilvl="0" w:tplc="DA26730C">
      <w:start w:val="2010"/>
      <w:numFmt w:val="bullet"/>
      <w:lvlText w:val="-"/>
      <w:lvlJc w:val="left"/>
      <w:pPr>
        <w:tabs>
          <w:tab w:val="num" w:pos="1068"/>
        </w:tabs>
        <w:ind w:left="1068" w:hanging="360"/>
      </w:pPr>
      <w:rPr>
        <w:rFonts w:ascii="Arial" w:eastAsia="Times New Roman" w:hAnsi="Arial" w:cs="Arial"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60" w15:restartNumberingAfterBreak="0">
    <w:nsid w:val="5EA356A8"/>
    <w:multiLevelType w:val="hybridMultilevel"/>
    <w:tmpl w:val="8AC636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5EEB3A98"/>
    <w:multiLevelType w:val="multilevel"/>
    <w:tmpl w:val="0418001F"/>
    <w:styleLink w:val="111111"/>
    <w:lvl w:ilvl="0">
      <w:start w:val="3"/>
      <w:numFmt w:val="decimal"/>
      <w:lvlText w:val="%1."/>
      <w:lvlJc w:val="left"/>
      <w:pPr>
        <w:tabs>
          <w:tab w:val="num" w:pos="360"/>
        </w:tabs>
        <w:ind w:left="360" w:hanging="360"/>
      </w:pPr>
    </w:lvl>
    <w:lvl w:ilvl="1">
      <w:start w:val="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5F8718A3"/>
    <w:multiLevelType w:val="hybridMultilevel"/>
    <w:tmpl w:val="9E6E7BBE"/>
    <w:lvl w:ilvl="0" w:tplc="D3CE15C0">
      <w:start w:val="9"/>
      <w:numFmt w:val="bullet"/>
      <w:lvlText w:val="-"/>
      <w:lvlJc w:val="left"/>
      <w:pPr>
        <w:ind w:left="720" w:hanging="360"/>
      </w:pPr>
      <w:rPr>
        <w:rFonts w:ascii="Times New Roman" w:eastAsia="Calibri" w:hAnsi="Times New Roman" w:cs="Times New Roman" w:hint="default"/>
        <w:b/>
        <w:color w:val="auto"/>
        <w:sz w:val="3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610E1C26"/>
    <w:multiLevelType w:val="hybridMultilevel"/>
    <w:tmpl w:val="36A81E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616407F9"/>
    <w:multiLevelType w:val="hybridMultilevel"/>
    <w:tmpl w:val="243EA1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61925AED"/>
    <w:multiLevelType w:val="multilevel"/>
    <w:tmpl w:val="F0A448A2"/>
    <w:lvl w:ilvl="0">
      <w:start w:val="1"/>
      <w:numFmt w:val="decimal"/>
      <w:lvlText w:val="%1."/>
      <w:lvlJc w:val="left"/>
      <w:pPr>
        <w:tabs>
          <w:tab w:val="num" w:pos="720"/>
        </w:tabs>
        <w:ind w:left="720" w:hanging="360"/>
      </w:pPr>
    </w:lvl>
    <w:lvl w:ilvl="1">
      <w:start w:val="5"/>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65AD62BE"/>
    <w:multiLevelType w:val="hybridMultilevel"/>
    <w:tmpl w:val="D4D6CB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65DE5091"/>
    <w:multiLevelType w:val="hybridMultilevel"/>
    <w:tmpl w:val="271E12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67852405"/>
    <w:multiLevelType w:val="hybridMultilevel"/>
    <w:tmpl w:val="9CC4AC3C"/>
    <w:lvl w:ilvl="0" w:tplc="9B12AEAC">
      <w:start w:val="1"/>
      <w:numFmt w:val="bullet"/>
      <w:pStyle w:val="1bullet"/>
      <w:lvlText w:val=""/>
      <w:lvlJc w:val="left"/>
      <w:pPr>
        <w:ind w:left="810" w:hanging="360"/>
      </w:pPr>
      <w:rPr>
        <w:rFonts w:ascii="Symbol" w:hAnsi="Symbol"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6A5807C7"/>
    <w:multiLevelType w:val="hybridMultilevel"/>
    <w:tmpl w:val="30383B52"/>
    <w:lvl w:ilvl="0" w:tplc="0418000F">
      <w:start w:val="1"/>
      <w:numFmt w:val="decimal"/>
      <w:lvlText w:val="%1."/>
      <w:lvlJc w:val="left"/>
      <w:pPr>
        <w:tabs>
          <w:tab w:val="num" w:pos="360"/>
        </w:tabs>
        <w:ind w:left="360" w:hanging="360"/>
      </w:p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70" w15:restartNumberingAfterBreak="0">
    <w:nsid w:val="6A772EF7"/>
    <w:multiLevelType w:val="hybridMultilevel"/>
    <w:tmpl w:val="DA06960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6AD37583"/>
    <w:multiLevelType w:val="hybridMultilevel"/>
    <w:tmpl w:val="062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8B0786"/>
    <w:multiLevelType w:val="hybridMultilevel"/>
    <w:tmpl w:val="8C0C17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6EA050F0"/>
    <w:multiLevelType w:val="hybridMultilevel"/>
    <w:tmpl w:val="A872C1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6EC00730"/>
    <w:multiLevelType w:val="hybridMultilevel"/>
    <w:tmpl w:val="D98C7924"/>
    <w:lvl w:ilvl="0" w:tplc="04180001">
      <w:start w:val="1"/>
      <w:numFmt w:val="bullet"/>
      <w:pStyle w:val="1titlu"/>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70443E45"/>
    <w:multiLevelType w:val="hybridMultilevel"/>
    <w:tmpl w:val="3C224C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71076B60"/>
    <w:multiLevelType w:val="hybridMultilevel"/>
    <w:tmpl w:val="0FB60806"/>
    <w:lvl w:ilvl="0" w:tplc="DA26730C">
      <w:start w:val="2010"/>
      <w:numFmt w:val="bullet"/>
      <w:lvlText w:val="-"/>
      <w:lvlJc w:val="left"/>
      <w:pPr>
        <w:ind w:left="1428" w:hanging="360"/>
      </w:pPr>
      <w:rPr>
        <w:rFonts w:ascii="Arial" w:eastAsia="Times New Roman" w:hAnsi="Arial" w:cs="Aria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7" w15:restartNumberingAfterBreak="0">
    <w:nsid w:val="74953D61"/>
    <w:multiLevelType w:val="hybridMultilevel"/>
    <w:tmpl w:val="F52EAD62"/>
    <w:lvl w:ilvl="0" w:tplc="04180001">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6794D47"/>
    <w:multiLevelType w:val="hybridMultilevel"/>
    <w:tmpl w:val="A80A281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77CC151E"/>
    <w:multiLevelType w:val="hybridMultilevel"/>
    <w:tmpl w:val="B748D7A2"/>
    <w:lvl w:ilvl="0" w:tplc="5DC6F586">
      <w:start w:val="3"/>
      <w:numFmt w:val="bullet"/>
      <w:lvlText w:val="-"/>
      <w:lvlJc w:val="left"/>
      <w:pPr>
        <w:ind w:left="420" w:hanging="360"/>
      </w:pPr>
      <w:rPr>
        <w:rFonts w:ascii="Arial" w:eastAsiaTheme="minorEastAsia"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80" w15:restartNumberingAfterBreak="0">
    <w:nsid w:val="77F40ACC"/>
    <w:multiLevelType w:val="hybridMultilevel"/>
    <w:tmpl w:val="A67453F4"/>
    <w:lvl w:ilvl="0" w:tplc="9EA4715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7BB475FD"/>
    <w:multiLevelType w:val="multilevel"/>
    <w:tmpl w:val="6D4A3084"/>
    <w:styleLink w:val="Listacurent1"/>
    <w:lvl w:ilvl="0">
      <w:start w:val="1"/>
      <w:numFmt w:val="decimal"/>
      <w:lvlText w:val="3.%1."/>
      <w:lvlJc w:val="left"/>
      <w:pPr>
        <w:tabs>
          <w:tab w:val="num" w:pos="720"/>
        </w:tabs>
        <w:ind w:left="720" w:firstLine="0"/>
      </w:pPr>
      <w:rPr>
        <w:rFonts w:hint="default"/>
        <w:b/>
        <w:i w:val="0"/>
        <w:caps w:val="0"/>
        <w:strike w:val="0"/>
        <w:dstrike w:val="0"/>
        <w:vanish w:val="0"/>
        <w:color w:val="003300"/>
        <w:sz w:val="20"/>
        <w:szCs w:val="20"/>
        <w:vertAlign w:val="baseline"/>
      </w:rPr>
    </w:lvl>
    <w:lvl w:ilvl="1">
      <w:start w:val="1"/>
      <w:numFmt w:val="decimal"/>
      <w:lvlText w:val="3.3.%2."/>
      <w:lvlJc w:val="right"/>
      <w:pPr>
        <w:tabs>
          <w:tab w:val="num" w:pos="1260"/>
        </w:tabs>
        <w:ind w:left="1260" w:hanging="180"/>
      </w:pPr>
      <w:rPr>
        <w:rFonts w:hint="default"/>
        <w:b w:val="0"/>
        <w:i w:val="0"/>
        <w:caps w:val="0"/>
        <w:strike w:val="0"/>
        <w:dstrike w:val="0"/>
        <w:vanish w:val="0"/>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7BC169F3"/>
    <w:multiLevelType w:val="hybridMultilevel"/>
    <w:tmpl w:val="D2B8603A"/>
    <w:lvl w:ilvl="0" w:tplc="28DCE51C">
      <w:start w:val="2"/>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7C2E56A8"/>
    <w:multiLevelType w:val="hybridMultilevel"/>
    <w:tmpl w:val="51826E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7D7B375F"/>
    <w:multiLevelType w:val="hybridMultilevel"/>
    <w:tmpl w:val="DDE8B64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7F7741FD"/>
    <w:multiLevelType w:val="hybridMultilevel"/>
    <w:tmpl w:val="B5983788"/>
    <w:lvl w:ilvl="0" w:tplc="9EA4715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61"/>
  </w:num>
  <w:num w:numId="4">
    <w:abstractNumId w:val="81"/>
  </w:num>
  <w:num w:numId="5">
    <w:abstractNumId w:val="0"/>
  </w:num>
  <w:num w:numId="6">
    <w:abstractNumId w:val="67"/>
  </w:num>
  <w:num w:numId="7">
    <w:abstractNumId w:val="38"/>
  </w:num>
  <w:num w:numId="8">
    <w:abstractNumId w:val="4"/>
  </w:num>
  <w:num w:numId="9">
    <w:abstractNumId w:val="2"/>
  </w:num>
  <w:num w:numId="10">
    <w:abstractNumId w:val="36"/>
  </w:num>
  <w:num w:numId="11">
    <w:abstractNumId w:val="47"/>
  </w:num>
  <w:num w:numId="12">
    <w:abstractNumId w:val="7"/>
  </w:num>
  <w:num w:numId="13">
    <w:abstractNumId w:val="12"/>
  </w:num>
  <w:num w:numId="14">
    <w:abstractNumId w:val="62"/>
  </w:num>
  <w:num w:numId="15">
    <w:abstractNumId w:val="1"/>
  </w:num>
  <w:num w:numId="16">
    <w:abstractNumId w:val="37"/>
  </w:num>
  <w:num w:numId="17">
    <w:abstractNumId w:val="29"/>
  </w:num>
  <w:num w:numId="18">
    <w:abstractNumId w:val="23"/>
  </w:num>
  <w:num w:numId="19">
    <w:abstractNumId w:val="80"/>
  </w:num>
  <w:num w:numId="20">
    <w:abstractNumId w:val="85"/>
  </w:num>
  <w:num w:numId="21">
    <w:abstractNumId w:val="52"/>
  </w:num>
  <w:num w:numId="22">
    <w:abstractNumId w:val="59"/>
  </w:num>
  <w:num w:numId="23">
    <w:abstractNumId w:val="77"/>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41"/>
  </w:num>
  <w:num w:numId="30">
    <w:abstractNumId w:val="63"/>
  </w:num>
  <w:num w:numId="31">
    <w:abstractNumId w:val="72"/>
  </w:num>
  <w:num w:numId="32">
    <w:abstractNumId w:val="83"/>
  </w:num>
  <w:num w:numId="33">
    <w:abstractNumId w:val="76"/>
  </w:num>
  <w:num w:numId="34">
    <w:abstractNumId w:val="57"/>
  </w:num>
  <w:num w:numId="35">
    <w:abstractNumId w:val="51"/>
  </w:num>
  <w:num w:numId="36">
    <w:abstractNumId w:val="44"/>
  </w:num>
  <w:num w:numId="37">
    <w:abstractNumId w:val="39"/>
  </w:num>
  <w:num w:numId="38">
    <w:abstractNumId w:val="56"/>
  </w:num>
  <w:num w:numId="39">
    <w:abstractNumId w:val="49"/>
  </w:num>
  <w:num w:numId="40">
    <w:abstractNumId w:val="82"/>
  </w:num>
  <w:num w:numId="41">
    <w:abstractNumId w:val="28"/>
  </w:num>
  <w:num w:numId="42">
    <w:abstractNumId w:val="10"/>
  </w:num>
  <w:num w:numId="43">
    <w:abstractNumId w:val="54"/>
  </w:num>
  <w:num w:numId="44">
    <w:abstractNumId w:val="5"/>
  </w:num>
  <w:num w:numId="45">
    <w:abstractNumId w:val="25"/>
  </w:num>
  <w:num w:numId="46">
    <w:abstractNumId w:val="74"/>
  </w:num>
  <w:num w:numId="47">
    <w:abstractNumId w:val="33"/>
  </w:num>
  <w:num w:numId="48">
    <w:abstractNumId w:val="19"/>
  </w:num>
  <w:num w:numId="49">
    <w:abstractNumId w:val="21"/>
  </w:num>
  <w:num w:numId="50">
    <w:abstractNumId w:val="20"/>
  </w:num>
  <w:num w:numId="51">
    <w:abstractNumId w:val="68"/>
  </w:num>
  <w:num w:numId="52">
    <w:abstractNumId w:val="50"/>
  </w:num>
  <w:num w:numId="53">
    <w:abstractNumId w:val="79"/>
  </w:num>
  <w:num w:numId="54">
    <w:abstractNumId w:val="69"/>
  </w:num>
  <w:num w:numId="5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num>
  <w:num w:numId="58">
    <w:abstractNumId w:val="64"/>
  </w:num>
  <w:num w:numId="59">
    <w:abstractNumId w:val="13"/>
  </w:num>
  <w:num w:numId="60">
    <w:abstractNumId w:val="18"/>
  </w:num>
  <w:num w:numId="61">
    <w:abstractNumId w:val="65"/>
    <w:lvlOverride w:ilvl="0">
      <w:startOverride w:val="1"/>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num>
  <w:num w:numId="63">
    <w:abstractNumId w:val="71"/>
  </w:num>
  <w:num w:numId="64">
    <w:abstractNumId w:val="6"/>
  </w:num>
  <w:num w:numId="65">
    <w:abstractNumId w:val="53"/>
  </w:num>
  <w:num w:numId="66">
    <w:abstractNumId w:val="34"/>
  </w:num>
  <w:num w:numId="67">
    <w:abstractNumId w:val="60"/>
  </w:num>
  <w:num w:numId="68">
    <w:abstractNumId w:val="32"/>
  </w:num>
  <w:num w:numId="69">
    <w:abstractNumId w:val="31"/>
  </w:num>
  <w:num w:numId="70">
    <w:abstractNumId w:val="84"/>
  </w:num>
  <w:num w:numId="71">
    <w:abstractNumId w:val="55"/>
  </w:num>
  <w:num w:numId="72">
    <w:abstractNumId w:val="30"/>
  </w:num>
  <w:num w:numId="73">
    <w:abstractNumId w:val="78"/>
  </w:num>
  <w:num w:numId="74">
    <w:abstractNumId w:val="48"/>
  </w:num>
  <w:num w:numId="75">
    <w:abstractNumId w:val="75"/>
  </w:num>
  <w:num w:numId="76">
    <w:abstractNumId w:val="11"/>
  </w:num>
  <w:num w:numId="77">
    <w:abstractNumId w:val="73"/>
  </w:num>
  <w:num w:numId="78">
    <w:abstractNumId w:val="14"/>
  </w:num>
  <w:num w:numId="79">
    <w:abstractNumId w:val="66"/>
  </w:num>
  <w:num w:numId="80">
    <w:abstractNumId w:val="46"/>
  </w:num>
  <w:num w:numId="81">
    <w:abstractNumId w:val="70"/>
  </w:num>
  <w:num w:numId="82">
    <w:abstractNumId w:val="3"/>
  </w:num>
  <w:num w:numId="83">
    <w:abstractNumId w:val="16"/>
  </w:num>
  <w:num w:numId="84">
    <w:abstractNumId w:val="17"/>
  </w:num>
  <w:num w:numId="85">
    <w:abstractNumId w:val="15"/>
  </w:num>
  <w:num w:numId="86">
    <w:abstractNumId w:val="4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53D47"/>
    <w:rsid w:val="00000328"/>
    <w:rsid w:val="00004913"/>
    <w:rsid w:val="00007E81"/>
    <w:rsid w:val="00015C22"/>
    <w:rsid w:val="0002527B"/>
    <w:rsid w:val="00025393"/>
    <w:rsid w:val="00051F08"/>
    <w:rsid w:val="000529C6"/>
    <w:rsid w:val="0005468B"/>
    <w:rsid w:val="0005606E"/>
    <w:rsid w:val="00063AAD"/>
    <w:rsid w:val="000645BF"/>
    <w:rsid w:val="000743B8"/>
    <w:rsid w:val="00083422"/>
    <w:rsid w:val="00094895"/>
    <w:rsid w:val="000C295D"/>
    <w:rsid w:val="000F70CA"/>
    <w:rsid w:val="0010044C"/>
    <w:rsid w:val="00106723"/>
    <w:rsid w:val="00130CCB"/>
    <w:rsid w:val="00140EA6"/>
    <w:rsid w:val="00160B9A"/>
    <w:rsid w:val="001802BD"/>
    <w:rsid w:val="001821E1"/>
    <w:rsid w:val="00183E9D"/>
    <w:rsid w:val="001A24BE"/>
    <w:rsid w:val="001A5CA3"/>
    <w:rsid w:val="001B622A"/>
    <w:rsid w:val="001C7D66"/>
    <w:rsid w:val="002064D4"/>
    <w:rsid w:val="0022295F"/>
    <w:rsid w:val="00230553"/>
    <w:rsid w:val="00233F9C"/>
    <w:rsid w:val="00242C35"/>
    <w:rsid w:val="00251FA6"/>
    <w:rsid w:val="002636BF"/>
    <w:rsid w:val="002A3AAE"/>
    <w:rsid w:val="002C1759"/>
    <w:rsid w:val="002C399B"/>
    <w:rsid w:val="002F4B9A"/>
    <w:rsid w:val="00311497"/>
    <w:rsid w:val="00315335"/>
    <w:rsid w:val="00323029"/>
    <w:rsid w:val="0036276F"/>
    <w:rsid w:val="00367925"/>
    <w:rsid w:val="003915C2"/>
    <w:rsid w:val="00393B26"/>
    <w:rsid w:val="00397A86"/>
    <w:rsid w:val="003A39F2"/>
    <w:rsid w:val="003B063B"/>
    <w:rsid w:val="003C59F5"/>
    <w:rsid w:val="003E6633"/>
    <w:rsid w:val="003F7191"/>
    <w:rsid w:val="00405E98"/>
    <w:rsid w:val="00440903"/>
    <w:rsid w:val="004428F2"/>
    <w:rsid w:val="004575D2"/>
    <w:rsid w:val="00483E08"/>
    <w:rsid w:val="004841D9"/>
    <w:rsid w:val="004A1482"/>
    <w:rsid w:val="004D0136"/>
    <w:rsid w:val="004E05AF"/>
    <w:rsid w:val="004E444C"/>
    <w:rsid w:val="0052760D"/>
    <w:rsid w:val="0056633B"/>
    <w:rsid w:val="005745BE"/>
    <w:rsid w:val="005950CB"/>
    <w:rsid w:val="00597027"/>
    <w:rsid w:val="005A3EDB"/>
    <w:rsid w:val="005D0BB6"/>
    <w:rsid w:val="005D400E"/>
    <w:rsid w:val="005F3EF8"/>
    <w:rsid w:val="006054F4"/>
    <w:rsid w:val="00610A17"/>
    <w:rsid w:val="006125E1"/>
    <w:rsid w:val="00617B28"/>
    <w:rsid w:val="00631723"/>
    <w:rsid w:val="006417B7"/>
    <w:rsid w:val="00643CB5"/>
    <w:rsid w:val="00643D6D"/>
    <w:rsid w:val="00646188"/>
    <w:rsid w:val="006519FC"/>
    <w:rsid w:val="00670925"/>
    <w:rsid w:val="00676C5F"/>
    <w:rsid w:val="00690F32"/>
    <w:rsid w:val="006B27E3"/>
    <w:rsid w:val="006B2FD4"/>
    <w:rsid w:val="006D4E3D"/>
    <w:rsid w:val="00717002"/>
    <w:rsid w:val="0073462E"/>
    <w:rsid w:val="00737DE6"/>
    <w:rsid w:val="007636E0"/>
    <w:rsid w:val="00776B0C"/>
    <w:rsid w:val="007A21BD"/>
    <w:rsid w:val="007A7AF2"/>
    <w:rsid w:val="007B033C"/>
    <w:rsid w:val="007F6E99"/>
    <w:rsid w:val="008035FE"/>
    <w:rsid w:val="00806F4E"/>
    <w:rsid w:val="00822E8D"/>
    <w:rsid w:val="00870ECD"/>
    <w:rsid w:val="008716DB"/>
    <w:rsid w:val="00871853"/>
    <w:rsid w:val="00894899"/>
    <w:rsid w:val="00897685"/>
    <w:rsid w:val="008A262E"/>
    <w:rsid w:val="008A27C0"/>
    <w:rsid w:val="008A51F7"/>
    <w:rsid w:val="008B01F9"/>
    <w:rsid w:val="008C1DC8"/>
    <w:rsid w:val="008C6674"/>
    <w:rsid w:val="008D32E3"/>
    <w:rsid w:val="008D56C8"/>
    <w:rsid w:val="00916B06"/>
    <w:rsid w:val="009173C4"/>
    <w:rsid w:val="00934F7E"/>
    <w:rsid w:val="00953A23"/>
    <w:rsid w:val="00953D47"/>
    <w:rsid w:val="00960B03"/>
    <w:rsid w:val="0097118A"/>
    <w:rsid w:val="00980C1D"/>
    <w:rsid w:val="00984953"/>
    <w:rsid w:val="009849A3"/>
    <w:rsid w:val="009B4684"/>
    <w:rsid w:val="009C06A7"/>
    <w:rsid w:val="009C666B"/>
    <w:rsid w:val="009E449D"/>
    <w:rsid w:val="009E5D13"/>
    <w:rsid w:val="00A31B1B"/>
    <w:rsid w:val="00A36B99"/>
    <w:rsid w:val="00A7312F"/>
    <w:rsid w:val="00A82794"/>
    <w:rsid w:val="00A83859"/>
    <w:rsid w:val="00AA7906"/>
    <w:rsid w:val="00AB3578"/>
    <w:rsid w:val="00AB72D9"/>
    <w:rsid w:val="00B07C47"/>
    <w:rsid w:val="00B2467A"/>
    <w:rsid w:val="00B4751E"/>
    <w:rsid w:val="00B51C11"/>
    <w:rsid w:val="00B52589"/>
    <w:rsid w:val="00B60564"/>
    <w:rsid w:val="00B617F7"/>
    <w:rsid w:val="00B624B1"/>
    <w:rsid w:val="00B8444F"/>
    <w:rsid w:val="00B95695"/>
    <w:rsid w:val="00BA1755"/>
    <w:rsid w:val="00BA6E19"/>
    <w:rsid w:val="00BA73B3"/>
    <w:rsid w:val="00BC4D9E"/>
    <w:rsid w:val="00BE0F6C"/>
    <w:rsid w:val="00BF3522"/>
    <w:rsid w:val="00C019D0"/>
    <w:rsid w:val="00C31726"/>
    <w:rsid w:val="00C62F50"/>
    <w:rsid w:val="00C65CF2"/>
    <w:rsid w:val="00C76C6D"/>
    <w:rsid w:val="00CA4E6F"/>
    <w:rsid w:val="00CF4478"/>
    <w:rsid w:val="00D05713"/>
    <w:rsid w:val="00D15A04"/>
    <w:rsid w:val="00D2527A"/>
    <w:rsid w:val="00D30F36"/>
    <w:rsid w:val="00D61BAB"/>
    <w:rsid w:val="00D638AC"/>
    <w:rsid w:val="00D6778D"/>
    <w:rsid w:val="00DA0508"/>
    <w:rsid w:val="00DE32CE"/>
    <w:rsid w:val="00DE63DB"/>
    <w:rsid w:val="00DF426D"/>
    <w:rsid w:val="00E012F5"/>
    <w:rsid w:val="00E0161B"/>
    <w:rsid w:val="00E06DEF"/>
    <w:rsid w:val="00E142EF"/>
    <w:rsid w:val="00E14739"/>
    <w:rsid w:val="00E32613"/>
    <w:rsid w:val="00E563DA"/>
    <w:rsid w:val="00E73ABB"/>
    <w:rsid w:val="00E80020"/>
    <w:rsid w:val="00E927D6"/>
    <w:rsid w:val="00E951BD"/>
    <w:rsid w:val="00EA106E"/>
    <w:rsid w:val="00EA50A2"/>
    <w:rsid w:val="00EE0753"/>
    <w:rsid w:val="00EE382F"/>
    <w:rsid w:val="00EE61EA"/>
    <w:rsid w:val="00EF3940"/>
    <w:rsid w:val="00EF5CE1"/>
    <w:rsid w:val="00EF7A62"/>
    <w:rsid w:val="00EF7A8A"/>
    <w:rsid w:val="00F114ED"/>
    <w:rsid w:val="00F16E86"/>
    <w:rsid w:val="00F170A7"/>
    <w:rsid w:val="00F251AB"/>
    <w:rsid w:val="00F32548"/>
    <w:rsid w:val="00F36976"/>
    <w:rsid w:val="00F40E00"/>
    <w:rsid w:val="00F4771F"/>
    <w:rsid w:val="00F5465F"/>
    <w:rsid w:val="00F62D20"/>
    <w:rsid w:val="00F633A4"/>
    <w:rsid w:val="00F64FFA"/>
    <w:rsid w:val="00F70541"/>
    <w:rsid w:val="00F70572"/>
    <w:rsid w:val="00FE0C2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55A1DEE"/>
  <w15:docId w15:val="{8E0E7065-9B9D-4C76-84BD-D27FB0047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9D0"/>
  </w:style>
  <w:style w:type="paragraph" w:styleId="Titlu1">
    <w:name w:val="heading 1"/>
    <w:basedOn w:val="Normal"/>
    <w:next w:val="Normal"/>
    <w:link w:val="Titlu1Caracter"/>
    <w:qFormat/>
    <w:rsid w:val="000645BF"/>
    <w:pPr>
      <w:keepNext/>
      <w:spacing w:before="240" w:after="60" w:line="240" w:lineRule="auto"/>
      <w:outlineLvl w:val="0"/>
    </w:pPr>
    <w:rPr>
      <w:rFonts w:ascii="Arial" w:eastAsia="SimSun" w:hAnsi="Arial" w:cs="Arial"/>
      <w:b/>
      <w:bCs/>
      <w:kern w:val="32"/>
      <w:sz w:val="32"/>
      <w:szCs w:val="32"/>
      <w:lang w:val="en-GB" w:eastAsia="en-US"/>
    </w:rPr>
  </w:style>
  <w:style w:type="paragraph" w:styleId="Titlu2">
    <w:name w:val="heading 2"/>
    <w:basedOn w:val="Normal"/>
    <w:next w:val="Normal"/>
    <w:link w:val="Titlu2Caracter"/>
    <w:unhideWhenUsed/>
    <w:qFormat/>
    <w:rsid w:val="000645BF"/>
    <w:pPr>
      <w:keepNext/>
      <w:spacing w:before="240" w:after="60" w:line="240" w:lineRule="auto"/>
      <w:outlineLvl w:val="1"/>
    </w:pPr>
    <w:rPr>
      <w:rFonts w:ascii="Cambria" w:eastAsia="Times New Roman" w:hAnsi="Cambria" w:cs="Times New Roman"/>
      <w:b/>
      <w:bCs/>
      <w:i/>
      <w:iCs/>
      <w:sz w:val="28"/>
      <w:szCs w:val="28"/>
      <w:lang w:val="en-GB" w:eastAsia="en-US"/>
    </w:rPr>
  </w:style>
  <w:style w:type="paragraph" w:styleId="Titlu3">
    <w:name w:val="heading 3"/>
    <w:basedOn w:val="Normal"/>
    <w:next w:val="Normal"/>
    <w:link w:val="Titlu3Caracter"/>
    <w:unhideWhenUsed/>
    <w:qFormat/>
    <w:rsid w:val="000645BF"/>
    <w:pPr>
      <w:keepNext/>
      <w:spacing w:before="240" w:after="60" w:line="240" w:lineRule="auto"/>
      <w:outlineLvl w:val="2"/>
    </w:pPr>
    <w:rPr>
      <w:rFonts w:ascii="Cambria" w:eastAsia="Times New Roman" w:hAnsi="Cambria" w:cs="Times New Roman"/>
      <w:b/>
      <w:bCs/>
      <w:sz w:val="26"/>
      <w:szCs w:val="26"/>
      <w:lang w:val="en-GB" w:eastAsia="en-US"/>
    </w:rPr>
  </w:style>
  <w:style w:type="paragraph" w:styleId="Titlu4">
    <w:name w:val="heading 4"/>
    <w:basedOn w:val="Normal"/>
    <w:next w:val="Normal"/>
    <w:link w:val="Titlu4Caracter"/>
    <w:unhideWhenUsed/>
    <w:qFormat/>
    <w:rsid w:val="000645BF"/>
    <w:pPr>
      <w:keepNext/>
      <w:spacing w:before="240" w:after="60" w:line="240" w:lineRule="auto"/>
      <w:outlineLvl w:val="3"/>
    </w:pPr>
    <w:rPr>
      <w:rFonts w:ascii="Calibri" w:eastAsia="Times New Roman" w:hAnsi="Calibri" w:cs="Times New Roman"/>
      <w:b/>
      <w:bCs/>
      <w:sz w:val="28"/>
      <w:szCs w:val="28"/>
      <w:lang w:val="en-GB" w:eastAsia="en-US"/>
    </w:rPr>
  </w:style>
  <w:style w:type="paragraph" w:styleId="Titlu5">
    <w:name w:val="heading 5"/>
    <w:basedOn w:val="Normal"/>
    <w:next w:val="Normal"/>
    <w:link w:val="Titlu5Caracter"/>
    <w:uiPriority w:val="9"/>
    <w:qFormat/>
    <w:rsid w:val="000645BF"/>
    <w:pPr>
      <w:spacing w:before="240" w:after="60" w:line="240" w:lineRule="auto"/>
      <w:outlineLvl w:val="4"/>
    </w:pPr>
    <w:rPr>
      <w:rFonts w:ascii="Times New Roman" w:eastAsia="Times New Roman" w:hAnsi="Times New Roman" w:cs="Times New Roman"/>
      <w:b/>
      <w:bCs/>
      <w:i/>
      <w:iCs/>
      <w:sz w:val="26"/>
      <w:szCs w:val="26"/>
      <w:lang w:val="en-US" w:eastAsia="en-US"/>
    </w:rPr>
  </w:style>
  <w:style w:type="paragraph" w:styleId="Titlu6">
    <w:name w:val="heading 6"/>
    <w:basedOn w:val="Normal"/>
    <w:next w:val="Normal"/>
    <w:link w:val="Titlu6Caracter"/>
    <w:uiPriority w:val="9"/>
    <w:semiHidden/>
    <w:unhideWhenUsed/>
    <w:qFormat/>
    <w:rsid w:val="000645BF"/>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lang w:eastAsia="en-US"/>
    </w:rPr>
  </w:style>
  <w:style w:type="paragraph" w:styleId="Titlu7">
    <w:name w:val="heading 7"/>
    <w:basedOn w:val="Normal"/>
    <w:next w:val="Normal"/>
    <w:link w:val="Titlu7Caracter"/>
    <w:qFormat/>
    <w:rsid w:val="000645BF"/>
    <w:pPr>
      <w:spacing w:before="240" w:after="60" w:line="240" w:lineRule="auto"/>
      <w:outlineLvl w:val="6"/>
    </w:pPr>
    <w:rPr>
      <w:rFonts w:ascii="Times New Roman" w:eastAsia="Times New Roman" w:hAnsi="Times New Roman" w:cs="Times New Roman"/>
      <w:sz w:val="24"/>
      <w:szCs w:val="24"/>
      <w:lang w:val="en-US" w:eastAsia="en-US"/>
    </w:rPr>
  </w:style>
  <w:style w:type="paragraph" w:styleId="Titlu8">
    <w:name w:val="heading 8"/>
    <w:basedOn w:val="Normal"/>
    <w:next w:val="Normal"/>
    <w:link w:val="Titlu8Caracter"/>
    <w:uiPriority w:val="9"/>
    <w:semiHidden/>
    <w:unhideWhenUsed/>
    <w:qFormat/>
    <w:rsid w:val="000645BF"/>
    <w:pPr>
      <w:keepNext/>
      <w:keepLines/>
      <w:spacing w:before="80" w:after="0" w:line="240" w:lineRule="auto"/>
      <w:outlineLvl w:val="7"/>
    </w:pPr>
    <w:rPr>
      <w:rFonts w:asciiTheme="majorHAnsi" w:eastAsiaTheme="majorEastAsia" w:hAnsiTheme="majorHAnsi" w:cstheme="majorBidi"/>
      <w:color w:val="632423" w:themeColor="accent2" w:themeShade="80"/>
      <w:lang w:eastAsia="en-US"/>
    </w:rPr>
  </w:style>
  <w:style w:type="paragraph" w:styleId="Titlu9">
    <w:name w:val="heading 9"/>
    <w:basedOn w:val="Normal"/>
    <w:next w:val="Normal"/>
    <w:link w:val="Titlu9Caracter"/>
    <w:uiPriority w:val="9"/>
    <w:semiHidden/>
    <w:unhideWhenUsed/>
    <w:qFormat/>
    <w:rsid w:val="000645BF"/>
    <w:pPr>
      <w:keepNext/>
      <w:keepLines/>
      <w:spacing w:before="80" w:after="0" w:line="240" w:lineRule="auto"/>
      <w:outlineLvl w:val="8"/>
    </w:pPr>
    <w:rPr>
      <w:rFonts w:asciiTheme="majorHAnsi" w:eastAsiaTheme="majorEastAsia" w:hAnsiTheme="majorHAnsi" w:cstheme="majorBidi"/>
      <w:i/>
      <w:iCs/>
      <w:color w:val="632423" w:themeColor="accent2" w:themeShade="80"/>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927D6"/>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E927D6"/>
  </w:style>
  <w:style w:type="paragraph" w:styleId="Subsol">
    <w:name w:val="footer"/>
    <w:basedOn w:val="Normal"/>
    <w:link w:val="SubsolCaracter"/>
    <w:uiPriority w:val="99"/>
    <w:unhideWhenUsed/>
    <w:rsid w:val="00E927D6"/>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927D6"/>
  </w:style>
  <w:style w:type="character" w:customStyle="1" w:styleId="Titlu1Caracter">
    <w:name w:val="Titlu 1 Caracter"/>
    <w:basedOn w:val="Fontdeparagrafimplicit"/>
    <w:link w:val="Titlu1"/>
    <w:rsid w:val="000645BF"/>
    <w:rPr>
      <w:rFonts w:ascii="Arial" w:eastAsia="SimSun" w:hAnsi="Arial" w:cs="Arial"/>
      <w:b/>
      <w:bCs/>
      <w:kern w:val="32"/>
      <w:sz w:val="32"/>
      <w:szCs w:val="32"/>
      <w:lang w:val="en-GB" w:eastAsia="en-US"/>
    </w:rPr>
  </w:style>
  <w:style w:type="character" w:customStyle="1" w:styleId="Titlu2Caracter">
    <w:name w:val="Titlu 2 Caracter"/>
    <w:basedOn w:val="Fontdeparagrafimplicit"/>
    <w:link w:val="Titlu2"/>
    <w:rsid w:val="000645BF"/>
    <w:rPr>
      <w:rFonts w:ascii="Cambria" w:eastAsia="Times New Roman" w:hAnsi="Cambria" w:cs="Times New Roman"/>
      <w:b/>
      <w:bCs/>
      <w:i/>
      <w:iCs/>
      <w:sz w:val="28"/>
      <w:szCs w:val="28"/>
      <w:lang w:val="en-GB" w:eastAsia="en-US"/>
    </w:rPr>
  </w:style>
  <w:style w:type="character" w:customStyle="1" w:styleId="Titlu3Caracter">
    <w:name w:val="Titlu 3 Caracter"/>
    <w:basedOn w:val="Fontdeparagrafimplicit"/>
    <w:link w:val="Titlu3"/>
    <w:rsid w:val="000645BF"/>
    <w:rPr>
      <w:rFonts w:ascii="Cambria" w:eastAsia="Times New Roman" w:hAnsi="Cambria" w:cs="Times New Roman"/>
      <w:b/>
      <w:bCs/>
      <w:sz w:val="26"/>
      <w:szCs w:val="26"/>
      <w:lang w:val="en-GB" w:eastAsia="en-US"/>
    </w:rPr>
  </w:style>
  <w:style w:type="character" w:customStyle="1" w:styleId="Titlu4Caracter">
    <w:name w:val="Titlu 4 Caracter"/>
    <w:basedOn w:val="Fontdeparagrafimplicit"/>
    <w:link w:val="Titlu4"/>
    <w:rsid w:val="000645BF"/>
    <w:rPr>
      <w:rFonts w:ascii="Calibri" w:eastAsia="Times New Roman" w:hAnsi="Calibri" w:cs="Times New Roman"/>
      <w:b/>
      <w:bCs/>
      <w:sz w:val="28"/>
      <w:szCs w:val="28"/>
      <w:lang w:val="en-GB" w:eastAsia="en-US"/>
    </w:rPr>
  </w:style>
  <w:style w:type="character" w:customStyle="1" w:styleId="Titlu5Caracter">
    <w:name w:val="Titlu 5 Caracter"/>
    <w:basedOn w:val="Fontdeparagrafimplicit"/>
    <w:link w:val="Titlu5"/>
    <w:uiPriority w:val="9"/>
    <w:rsid w:val="000645BF"/>
    <w:rPr>
      <w:rFonts w:ascii="Times New Roman" w:eastAsia="Times New Roman" w:hAnsi="Times New Roman" w:cs="Times New Roman"/>
      <w:b/>
      <w:bCs/>
      <w:i/>
      <w:iCs/>
      <w:sz w:val="26"/>
      <w:szCs w:val="26"/>
      <w:lang w:val="en-US" w:eastAsia="en-US"/>
    </w:rPr>
  </w:style>
  <w:style w:type="character" w:customStyle="1" w:styleId="Titlu7Caracter">
    <w:name w:val="Titlu 7 Caracter"/>
    <w:basedOn w:val="Fontdeparagrafimplicit"/>
    <w:link w:val="Titlu7"/>
    <w:rsid w:val="000645BF"/>
    <w:rPr>
      <w:rFonts w:ascii="Times New Roman" w:eastAsia="Times New Roman" w:hAnsi="Times New Roman" w:cs="Times New Roman"/>
      <w:sz w:val="24"/>
      <w:szCs w:val="24"/>
      <w:lang w:val="en-US" w:eastAsia="en-US"/>
    </w:rPr>
  </w:style>
  <w:style w:type="character" w:styleId="Robust">
    <w:name w:val="Strong"/>
    <w:basedOn w:val="Fontdeparagrafimplicit"/>
    <w:uiPriority w:val="22"/>
    <w:qFormat/>
    <w:rsid w:val="000645BF"/>
    <w:rPr>
      <w:b/>
      <w:bCs/>
    </w:rPr>
  </w:style>
  <w:style w:type="paragraph" w:customStyle="1" w:styleId="Listparagraf1">
    <w:name w:val="Listă paragraf1"/>
    <w:basedOn w:val="Normal"/>
    <w:link w:val="ListparagrafCaracter"/>
    <w:qFormat/>
    <w:rsid w:val="000645BF"/>
    <w:pPr>
      <w:ind w:left="720"/>
      <w:contextualSpacing/>
    </w:pPr>
    <w:rPr>
      <w:rFonts w:ascii="Calibri" w:eastAsia="Calibri" w:hAnsi="Calibri" w:cs="Times New Roman"/>
      <w:lang w:val="en-US" w:eastAsia="en-US"/>
    </w:rPr>
  </w:style>
  <w:style w:type="character" w:customStyle="1" w:styleId="ListparagrafCaracter">
    <w:name w:val="Listă paragraf Caracter"/>
    <w:aliases w:val="List_Paragraph Caracter,Multilevel para_II Caracter,List Paragraph1 Caracter"/>
    <w:basedOn w:val="Fontdeparagrafimplicit"/>
    <w:link w:val="Listparagraf1"/>
    <w:uiPriority w:val="34"/>
    <w:rsid w:val="000645BF"/>
    <w:rPr>
      <w:rFonts w:ascii="Calibri" w:eastAsia="Calibri" w:hAnsi="Calibri" w:cs="Times New Roman"/>
      <w:lang w:val="en-US" w:eastAsia="en-US"/>
    </w:rPr>
  </w:style>
  <w:style w:type="paragraph" w:styleId="TextnBalon">
    <w:name w:val="Balloon Text"/>
    <w:basedOn w:val="Normal"/>
    <w:link w:val="TextnBalonCaracter"/>
    <w:semiHidden/>
    <w:rsid w:val="000645BF"/>
    <w:pPr>
      <w:spacing w:after="0" w:line="240" w:lineRule="auto"/>
    </w:pPr>
    <w:rPr>
      <w:rFonts w:ascii="Tahoma" w:eastAsia="SimSun" w:hAnsi="Tahoma" w:cs="Tahoma"/>
      <w:sz w:val="16"/>
      <w:szCs w:val="16"/>
      <w:lang w:val="en-GB" w:eastAsia="en-US"/>
    </w:rPr>
  </w:style>
  <w:style w:type="character" w:customStyle="1" w:styleId="TextnBalonCaracter">
    <w:name w:val="Text în Balon Caracter"/>
    <w:basedOn w:val="Fontdeparagrafimplicit"/>
    <w:link w:val="TextnBalon"/>
    <w:semiHidden/>
    <w:rsid w:val="000645BF"/>
    <w:rPr>
      <w:rFonts w:ascii="Tahoma" w:eastAsia="SimSun" w:hAnsi="Tahoma" w:cs="Tahoma"/>
      <w:sz w:val="16"/>
      <w:szCs w:val="16"/>
      <w:lang w:val="en-GB" w:eastAsia="en-US"/>
    </w:rPr>
  </w:style>
  <w:style w:type="paragraph" w:styleId="Indentcorptext">
    <w:name w:val="Body Text Indent"/>
    <w:basedOn w:val="Normal"/>
    <w:link w:val="IndentcorptextCaracter"/>
    <w:rsid w:val="000645BF"/>
    <w:pPr>
      <w:spacing w:after="120"/>
      <w:ind w:left="283"/>
    </w:pPr>
    <w:rPr>
      <w:rFonts w:ascii="Calibri" w:eastAsia="Times New Roman" w:hAnsi="Calibri" w:cs="Times New Roman"/>
      <w:lang w:val="en-US" w:eastAsia="en-US"/>
    </w:rPr>
  </w:style>
  <w:style w:type="character" w:customStyle="1" w:styleId="IndentcorptextCaracter">
    <w:name w:val="Indent corp text Caracter"/>
    <w:basedOn w:val="Fontdeparagrafimplicit"/>
    <w:link w:val="Indentcorptext"/>
    <w:rsid w:val="000645BF"/>
    <w:rPr>
      <w:rFonts w:ascii="Calibri" w:eastAsia="Times New Roman" w:hAnsi="Calibri" w:cs="Times New Roman"/>
      <w:lang w:val="en-US" w:eastAsia="en-US"/>
    </w:rPr>
  </w:style>
  <w:style w:type="paragraph" w:styleId="Corptext">
    <w:name w:val="Body Text"/>
    <w:aliases w:val=" Caracter,Caracter"/>
    <w:basedOn w:val="Normal"/>
    <w:link w:val="CorptextCaracter"/>
    <w:rsid w:val="000645BF"/>
    <w:pPr>
      <w:spacing w:after="120"/>
    </w:pPr>
    <w:rPr>
      <w:rFonts w:ascii="Calibri" w:eastAsia="Times New Roman" w:hAnsi="Calibri" w:cs="Times New Roman"/>
      <w:lang w:val="en-US" w:eastAsia="en-US"/>
    </w:rPr>
  </w:style>
  <w:style w:type="character" w:customStyle="1" w:styleId="CorptextCaracter">
    <w:name w:val="Corp text Caracter"/>
    <w:aliases w:val=" Caracter Caracter,Caracter Caracter"/>
    <w:basedOn w:val="Fontdeparagrafimplicit"/>
    <w:link w:val="Corptext"/>
    <w:rsid w:val="000645BF"/>
    <w:rPr>
      <w:rFonts w:ascii="Calibri" w:eastAsia="Times New Roman" w:hAnsi="Calibri" w:cs="Times New Roman"/>
      <w:lang w:val="en-US" w:eastAsia="en-US"/>
    </w:rPr>
  </w:style>
  <w:style w:type="paragraph" w:customStyle="1" w:styleId="Indentcorptext21">
    <w:name w:val="Indent corp text 21"/>
    <w:basedOn w:val="Normal"/>
    <w:rsid w:val="000645BF"/>
    <w:pPr>
      <w:suppressAutoHyphens/>
      <w:spacing w:after="0" w:line="240" w:lineRule="auto"/>
      <w:ind w:firstLine="720"/>
      <w:jc w:val="both"/>
    </w:pPr>
    <w:rPr>
      <w:rFonts w:ascii="Times New Roman" w:eastAsia="Times New Roman" w:hAnsi="Times New Roman" w:cs="Times New Roman"/>
      <w:szCs w:val="20"/>
      <w:lang w:val="en-US" w:eastAsia="ar-SA"/>
    </w:rPr>
  </w:style>
  <w:style w:type="paragraph" w:styleId="NormalWeb">
    <w:name w:val="Normal (Web)"/>
    <w:basedOn w:val="Normal"/>
    <w:link w:val="NormalWebCaracter"/>
    <w:uiPriority w:val="99"/>
    <w:rsid w:val="000645BF"/>
    <w:pPr>
      <w:spacing w:before="100" w:beforeAutospacing="1" w:after="0" w:line="240" w:lineRule="auto"/>
      <w:jc w:val="both"/>
    </w:pPr>
    <w:rPr>
      <w:rFonts w:ascii="Times New Roman" w:eastAsia="Times New Roman" w:hAnsi="Times New Roman" w:cs="Times New Roman"/>
      <w:color w:val="000000"/>
      <w:sz w:val="24"/>
      <w:szCs w:val="24"/>
      <w:lang w:val="en-US" w:eastAsia="en-US"/>
    </w:rPr>
  </w:style>
  <w:style w:type="character" w:customStyle="1" w:styleId="NormalWebCaracter">
    <w:name w:val="Normal (Web) Caracter"/>
    <w:basedOn w:val="Fontdeparagrafimplicit"/>
    <w:link w:val="NormalWeb"/>
    <w:rsid w:val="000645BF"/>
    <w:rPr>
      <w:rFonts w:ascii="Times New Roman" w:eastAsia="Times New Roman" w:hAnsi="Times New Roman" w:cs="Times New Roman"/>
      <w:color w:val="000000"/>
      <w:sz w:val="24"/>
      <w:szCs w:val="24"/>
      <w:lang w:val="en-US" w:eastAsia="en-US"/>
    </w:rPr>
  </w:style>
  <w:style w:type="paragraph" w:customStyle="1" w:styleId="TableContents">
    <w:name w:val="Table Contents"/>
    <w:basedOn w:val="Normal"/>
    <w:rsid w:val="000645BF"/>
    <w:pPr>
      <w:widowControl w:val="0"/>
      <w:suppressLineNumbers/>
      <w:suppressAutoHyphens/>
      <w:spacing w:after="0" w:line="240" w:lineRule="auto"/>
    </w:pPr>
    <w:rPr>
      <w:rFonts w:ascii="Times New Roman" w:eastAsia="SimSun" w:hAnsi="Times New Roman" w:cs="Mangal"/>
      <w:kern w:val="1"/>
      <w:sz w:val="24"/>
      <w:szCs w:val="24"/>
      <w:lang w:val="en-US" w:eastAsia="hi-IN" w:bidi="hi-IN"/>
    </w:rPr>
  </w:style>
  <w:style w:type="paragraph" w:styleId="Titlu">
    <w:name w:val="Title"/>
    <w:basedOn w:val="Normal"/>
    <w:link w:val="TitluCaracter"/>
    <w:qFormat/>
    <w:rsid w:val="000645B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uCaracter">
    <w:name w:val="Titlu Caracter"/>
    <w:basedOn w:val="Fontdeparagrafimplicit"/>
    <w:link w:val="Titlu"/>
    <w:rsid w:val="000645BF"/>
    <w:rPr>
      <w:rFonts w:ascii="Times New Roman" w:eastAsia="Times New Roman" w:hAnsi="Times New Roman" w:cs="Times New Roman"/>
      <w:b/>
      <w:bCs/>
      <w:sz w:val="24"/>
      <w:szCs w:val="24"/>
      <w:lang w:val="en-US" w:eastAsia="en-US"/>
    </w:rPr>
  </w:style>
  <w:style w:type="paragraph" w:styleId="Listparagraf">
    <w:name w:val="List Paragraph"/>
    <w:aliases w:val="body 2,lp1,Heading x1,Lista 1,lp11,Lettre d'introduction,1st level - Bullet List Paragraph,Paragrafo elenco,List Paragraph11,Heading 2_sj,List_Paragraph,Multilevel para_II,List Paragraph1"/>
    <w:basedOn w:val="Normal"/>
    <w:link w:val="ListparagrafCaracter1"/>
    <w:uiPriority w:val="34"/>
    <w:qFormat/>
    <w:rsid w:val="000645BF"/>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BodyText21">
    <w:name w:val="Body Text 21"/>
    <w:basedOn w:val="Normal"/>
    <w:rsid w:val="000645BF"/>
    <w:pPr>
      <w:widowControl w:val="0"/>
      <w:spacing w:after="0" w:line="240" w:lineRule="auto"/>
      <w:jc w:val="both"/>
    </w:pPr>
    <w:rPr>
      <w:rFonts w:ascii="Times New Roman" w:eastAsia="Times New Roman" w:hAnsi="Times New Roman" w:cs="Times New Roman"/>
      <w:snapToGrid w:val="0"/>
      <w:sz w:val="24"/>
      <w:szCs w:val="24"/>
      <w:lang w:val="en-US" w:eastAsia="en-US"/>
    </w:rPr>
  </w:style>
  <w:style w:type="paragraph" w:customStyle="1" w:styleId="CaracterCaracterCharCharCaracterCaracterCharCharCaracterCaracter">
    <w:name w:val="Caracter Caracter Char Char Caracter Caracter Char Char Caracter Caracte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styleId="Corptext3">
    <w:name w:val="Body Text 3"/>
    <w:basedOn w:val="Normal"/>
    <w:link w:val="Corptext3Caracter"/>
    <w:rsid w:val="000645BF"/>
    <w:pPr>
      <w:spacing w:after="120" w:line="240" w:lineRule="auto"/>
    </w:pPr>
    <w:rPr>
      <w:rFonts w:ascii="Times New Roman" w:eastAsia="Times New Roman" w:hAnsi="Times New Roman" w:cs="Times New Roman"/>
      <w:sz w:val="16"/>
      <w:szCs w:val="16"/>
      <w:lang w:val="en-AU" w:eastAsia="en-US"/>
    </w:rPr>
  </w:style>
  <w:style w:type="character" w:customStyle="1" w:styleId="Corptext3Caracter">
    <w:name w:val="Corp text 3 Caracter"/>
    <w:basedOn w:val="Fontdeparagrafimplicit"/>
    <w:link w:val="Corptext3"/>
    <w:rsid w:val="000645BF"/>
    <w:rPr>
      <w:rFonts w:ascii="Times New Roman" w:eastAsia="Times New Roman" w:hAnsi="Times New Roman" w:cs="Times New Roman"/>
      <w:sz w:val="16"/>
      <w:szCs w:val="16"/>
      <w:lang w:val="en-AU" w:eastAsia="en-US"/>
    </w:rPr>
  </w:style>
  <w:style w:type="paragraph" w:styleId="Indentcorptext2">
    <w:name w:val="Body Text Indent 2"/>
    <w:aliases w:val="Body Text Indent 2 Char Char Char"/>
    <w:basedOn w:val="Normal"/>
    <w:link w:val="Indentcorptext2Caracter"/>
    <w:rsid w:val="000645BF"/>
    <w:pPr>
      <w:spacing w:after="120" w:line="480" w:lineRule="auto"/>
      <w:ind w:left="283"/>
    </w:pPr>
    <w:rPr>
      <w:rFonts w:ascii="Times New Roman" w:eastAsia="SimSun" w:hAnsi="Times New Roman" w:cs="Times New Roman"/>
      <w:sz w:val="24"/>
      <w:szCs w:val="24"/>
      <w:lang w:val="en-GB" w:eastAsia="en-US"/>
    </w:rPr>
  </w:style>
  <w:style w:type="character" w:customStyle="1" w:styleId="Indentcorptext2Caracter">
    <w:name w:val="Indent corp text 2 Caracter"/>
    <w:aliases w:val="Body Text Indent 2 Char Char Char Caracter"/>
    <w:basedOn w:val="Fontdeparagrafimplicit"/>
    <w:link w:val="Indentcorptext2"/>
    <w:rsid w:val="000645BF"/>
    <w:rPr>
      <w:rFonts w:ascii="Times New Roman" w:eastAsia="SimSun" w:hAnsi="Times New Roman" w:cs="Times New Roman"/>
      <w:sz w:val="24"/>
      <w:szCs w:val="24"/>
      <w:lang w:val="en-GB" w:eastAsia="en-US"/>
    </w:rPr>
  </w:style>
  <w:style w:type="paragraph" w:styleId="Corptext2">
    <w:name w:val="Body Text 2"/>
    <w:aliases w:val="Body Text Numbered"/>
    <w:basedOn w:val="Normal"/>
    <w:link w:val="Corptext2Caracter"/>
    <w:rsid w:val="000645BF"/>
    <w:pPr>
      <w:spacing w:after="120" w:line="480" w:lineRule="auto"/>
    </w:pPr>
    <w:rPr>
      <w:rFonts w:ascii="Times New Roman" w:eastAsia="SimSun" w:hAnsi="Times New Roman" w:cs="Times New Roman"/>
      <w:sz w:val="24"/>
      <w:szCs w:val="24"/>
      <w:lang w:val="en-GB" w:eastAsia="en-US"/>
    </w:rPr>
  </w:style>
  <w:style w:type="character" w:customStyle="1" w:styleId="Corptext2Caracter">
    <w:name w:val="Corp text 2 Caracter"/>
    <w:aliases w:val="Body Text Numbered Caracter"/>
    <w:basedOn w:val="Fontdeparagrafimplicit"/>
    <w:link w:val="Corptext2"/>
    <w:rsid w:val="000645BF"/>
    <w:rPr>
      <w:rFonts w:ascii="Times New Roman" w:eastAsia="SimSun" w:hAnsi="Times New Roman" w:cs="Times New Roman"/>
      <w:sz w:val="24"/>
      <w:szCs w:val="24"/>
      <w:lang w:val="en-GB" w:eastAsia="en-US"/>
    </w:rPr>
  </w:style>
  <w:style w:type="character" w:customStyle="1" w:styleId="content">
    <w:name w:val="content"/>
    <w:basedOn w:val="Fontdeparagrafimplicit"/>
    <w:rsid w:val="000645BF"/>
  </w:style>
  <w:style w:type="paragraph" w:customStyle="1" w:styleId="Level1">
    <w:name w:val="Level 1"/>
    <w:basedOn w:val="Normal"/>
    <w:rsid w:val="000645BF"/>
    <w:pPr>
      <w:widowControl w:val="0"/>
      <w:spacing w:after="0" w:line="240" w:lineRule="auto"/>
    </w:pPr>
    <w:rPr>
      <w:rFonts w:ascii="Times New Roman" w:eastAsia="Times New Roman" w:hAnsi="Times New Roman" w:cs="Times New Roman"/>
      <w:snapToGrid w:val="0"/>
      <w:sz w:val="24"/>
      <w:szCs w:val="20"/>
      <w:lang w:val="en-US" w:eastAsia="en-US"/>
    </w:rPr>
  </w:style>
  <w:style w:type="character" w:customStyle="1" w:styleId="tpt1">
    <w:name w:val="tpt1"/>
    <w:basedOn w:val="Fontdeparagrafimplicit"/>
    <w:rsid w:val="000645BF"/>
  </w:style>
  <w:style w:type="character" w:customStyle="1" w:styleId="do1">
    <w:name w:val="do1"/>
    <w:basedOn w:val="Fontdeparagrafimplicit"/>
    <w:rsid w:val="000645BF"/>
    <w:rPr>
      <w:b/>
      <w:bCs/>
      <w:sz w:val="26"/>
      <w:szCs w:val="26"/>
    </w:rPr>
  </w:style>
  <w:style w:type="character" w:customStyle="1" w:styleId="tli1">
    <w:name w:val="tli1"/>
    <w:basedOn w:val="Fontdeparagrafimplicit"/>
    <w:rsid w:val="000645BF"/>
  </w:style>
  <w:style w:type="character" w:customStyle="1" w:styleId="li1">
    <w:name w:val="li1"/>
    <w:basedOn w:val="Fontdeparagrafimplicit"/>
    <w:rsid w:val="000645BF"/>
    <w:rPr>
      <w:b/>
      <w:bCs/>
      <w:color w:val="8F0000"/>
    </w:rPr>
  </w:style>
  <w:style w:type="paragraph" w:customStyle="1" w:styleId="Default">
    <w:name w:val="Default"/>
    <w:rsid w:val="000645BF"/>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tal1">
    <w:name w:val="tal1"/>
    <w:basedOn w:val="Fontdeparagrafimplicit"/>
    <w:rsid w:val="000645BF"/>
  </w:style>
  <w:style w:type="character" w:styleId="Hyperlink">
    <w:name w:val="Hyperlink"/>
    <w:basedOn w:val="Fontdeparagrafimplicit"/>
    <w:rsid w:val="000645BF"/>
    <w:rPr>
      <w:color w:val="0000FF"/>
      <w:u w:val="single"/>
    </w:rPr>
  </w:style>
  <w:style w:type="character" w:customStyle="1" w:styleId="tpa1">
    <w:name w:val="tpa1"/>
    <w:basedOn w:val="Fontdeparagrafimplicit"/>
    <w:rsid w:val="000645BF"/>
  </w:style>
  <w:style w:type="character" w:styleId="MaindescrisHTML">
    <w:name w:val="HTML Typewriter"/>
    <w:basedOn w:val="Fontdeparagrafimplicit"/>
    <w:rsid w:val="000645BF"/>
    <w:rPr>
      <w:rFonts w:ascii="Courier New" w:eastAsia="Times New Roman" w:hAnsi="Courier New" w:cs="Wingdings" w:hint="default"/>
      <w:sz w:val="20"/>
      <w:szCs w:val="20"/>
    </w:rPr>
  </w:style>
  <w:style w:type="paragraph" w:customStyle="1" w:styleId="BodyTextIndent2BodyTextIndent2Char">
    <w:name w:val="Body Text Indent 2.Body Text Indent 2 Char"/>
    <w:basedOn w:val="Normal"/>
    <w:rsid w:val="000645BF"/>
    <w:pPr>
      <w:spacing w:after="0" w:line="240" w:lineRule="auto"/>
      <w:ind w:left="1843"/>
      <w:jc w:val="both"/>
    </w:pPr>
    <w:rPr>
      <w:rFonts w:ascii="Times New Roman" w:eastAsia="Times New Roman" w:hAnsi="Times New Roman" w:cs="Times New Roman"/>
      <w:sz w:val="20"/>
      <w:szCs w:val="20"/>
      <w:lang w:val="en-US" w:eastAsia="en-US"/>
    </w:rPr>
  </w:style>
  <w:style w:type="paragraph" w:customStyle="1" w:styleId="CharCaracterCaracterChar">
    <w:name w:val="Char Caracter Caracter Cha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styleId="Legend">
    <w:name w:val="caption"/>
    <w:basedOn w:val="Normal"/>
    <w:next w:val="Normal"/>
    <w:unhideWhenUsed/>
    <w:qFormat/>
    <w:rsid w:val="000645BF"/>
    <w:pPr>
      <w:spacing w:after="0" w:line="240" w:lineRule="auto"/>
    </w:pPr>
    <w:rPr>
      <w:rFonts w:ascii="Times New Roman" w:eastAsia="SimSun" w:hAnsi="Times New Roman" w:cs="Times New Roman"/>
      <w:b/>
      <w:bCs/>
      <w:sz w:val="20"/>
      <w:szCs w:val="20"/>
      <w:lang w:val="en-GB" w:eastAsia="en-US"/>
    </w:rPr>
  </w:style>
  <w:style w:type="paragraph" w:customStyle="1" w:styleId="CharChar1">
    <w:name w:val="Char Char1"/>
    <w:basedOn w:val="Normal"/>
    <w:rsid w:val="000645BF"/>
    <w:pPr>
      <w:spacing w:after="0" w:line="240" w:lineRule="auto"/>
    </w:pPr>
    <w:rPr>
      <w:rFonts w:ascii="Times New Roman" w:eastAsia="Times New Roman" w:hAnsi="Times New Roman" w:cs="Times New Roman"/>
      <w:sz w:val="24"/>
      <w:szCs w:val="24"/>
      <w:lang w:val="pl-PL" w:eastAsia="pl-PL"/>
    </w:rPr>
  </w:style>
  <w:style w:type="paragraph" w:customStyle="1" w:styleId="Pa4">
    <w:name w:val="Pa4"/>
    <w:basedOn w:val="Normal"/>
    <w:next w:val="Normal"/>
    <w:rsid w:val="000645BF"/>
    <w:pPr>
      <w:autoSpaceDE w:val="0"/>
      <w:autoSpaceDN w:val="0"/>
      <w:adjustRightInd w:val="0"/>
      <w:spacing w:after="0" w:line="201" w:lineRule="atLeast"/>
    </w:pPr>
    <w:rPr>
      <w:rFonts w:ascii="Times New Roman" w:eastAsia="Times New Roman" w:hAnsi="Times New Roman" w:cs="Times New Roman"/>
      <w:sz w:val="24"/>
      <w:szCs w:val="24"/>
      <w:lang w:val="en-US" w:eastAsia="en-US"/>
    </w:rPr>
  </w:style>
  <w:style w:type="character" w:customStyle="1" w:styleId="text1">
    <w:name w:val="text1"/>
    <w:basedOn w:val="Fontdeparagrafimplicit"/>
    <w:rsid w:val="000645BF"/>
    <w:rPr>
      <w:rFonts w:ascii="Verdana" w:hAnsi="Verdana" w:hint="default"/>
      <w:sz w:val="18"/>
      <w:szCs w:val="18"/>
    </w:rPr>
  </w:style>
  <w:style w:type="paragraph" w:customStyle="1" w:styleId="Char">
    <w:name w:val="Cha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customStyle="1" w:styleId="NormalWeb3">
    <w:name w:val="Normal (Web)3"/>
    <w:basedOn w:val="Default"/>
    <w:next w:val="Default"/>
    <w:rsid w:val="000645BF"/>
    <w:pPr>
      <w:spacing w:before="100" w:after="100"/>
    </w:pPr>
    <w:rPr>
      <w:rFonts w:ascii="Arial" w:hAnsi="Arial"/>
      <w:color w:val="auto"/>
    </w:rPr>
  </w:style>
  <w:style w:type="paragraph" w:styleId="Plandocument">
    <w:name w:val="Document Map"/>
    <w:basedOn w:val="Normal"/>
    <w:link w:val="PlandocumentCaracter"/>
    <w:rsid w:val="000645BF"/>
    <w:pPr>
      <w:shd w:val="clear" w:color="auto" w:fill="000080"/>
      <w:spacing w:after="0" w:line="240" w:lineRule="auto"/>
    </w:pPr>
    <w:rPr>
      <w:rFonts w:ascii="Tahoma" w:eastAsia="Times New Roman" w:hAnsi="Tahoma" w:cs="Tahoma"/>
      <w:sz w:val="20"/>
      <w:szCs w:val="20"/>
      <w:lang w:val="en-US" w:eastAsia="en-US"/>
    </w:rPr>
  </w:style>
  <w:style w:type="character" w:customStyle="1" w:styleId="PlandocumentCaracter">
    <w:name w:val="Plan document Caracter"/>
    <w:basedOn w:val="Fontdeparagrafimplicit"/>
    <w:link w:val="Plandocument"/>
    <w:rsid w:val="000645BF"/>
    <w:rPr>
      <w:rFonts w:ascii="Tahoma" w:eastAsia="Times New Roman" w:hAnsi="Tahoma" w:cs="Tahoma"/>
      <w:sz w:val="20"/>
      <w:szCs w:val="20"/>
      <w:shd w:val="clear" w:color="auto" w:fill="000080"/>
      <w:lang w:val="en-US" w:eastAsia="en-US"/>
    </w:rPr>
  </w:style>
  <w:style w:type="character" w:customStyle="1" w:styleId="articlenormal1">
    <w:name w:val="articlenormal1"/>
    <w:basedOn w:val="Fontdeparagrafimplicit"/>
    <w:rsid w:val="000645BF"/>
    <w:rPr>
      <w:color w:val="000000"/>
      <w:sz w:val="19"/>
      <w:szCs w:val="19"/>
      <w:shd w:val="clear" w:color="auto" w:fill="auto"/>
    </w:rPr>
  </w:style>
  <w:style w:type="character" w:customStyle="1" w:styleId="BodyTextChar1">
    <w:name w:val="Body Text Char1"/>
    <w:aliases w:val="Body Text Char Char, Caracter Char,Caracter Char"/>
    <w:basedOn w:val="Fontdeparagrafimplicit"/>
    <w:rsid w:val="000645BF"/>
    <w:rPr>
      <w:sz w:val="24"/>
      <w:szCs w:val="24"/>
      <w:lang w:val="ro-RO" w:eastAsia="en-US" w:bidi="ar-SA"/>
    </w:rPr>
  </w:style>
  <w:style w:type="character" w:customStyle="1" w:styleId="a">
    <w:name w:val="a"/>
    <w:basedOn w:val="Fontdeparagrafimplicit"/>
    <w:rsid w:val="000645BF"/>
  </w:style>
  <w:style w:type="paragraph" w:styleId="Indentcorptext3">
    <w:name w:val="Body Text Indent 3"/>
    <w:basedOn w:val="Normal"/>
    <w:link w:val="Indentcorptext3Caracter"/>
    <w:rsid w:val="000645BF"/>
    <w:pPr>
      <w:spacing w:after="120" w:line="240" w:lineRule="auto"/>
      <w:ind w:left="283"/>
    </w:pPr>
    <w:rPr>
      <w:rFonts w:ascii="Times New Roman" w:eastAsia="SimSun" w:hAnsi="Times New Roman" w:cs="Times New Roman"/>
      <w:sz w:val="16"/>
      <w:szCs w:val="16"/>
      <w:lang w:val="en-GB" w:eastAsia="en-US"/>
    </w:rPr>
  </w:style>
  <w:style w:type="character" w:customStyle="1" w:styleId="Indentcorptext3Caracter">
    <w:name w:val="Indent corp text 3 Caracter"/>
    <w:basedOn w:val="Fontdeparagrafimplicit"/>
    <w:link w:val="Indentcorptext3"/>
    <w:rsid w:val="000645BF"/>
    <w:rPr>
      <w:rFonts w:ascii="Times New Roman" w:eastAsia="SimSun" w:hAnsi="Times New Roman" w:cs="Times New Roman"/>
      <w:sz w:val="16"/>
      <w:szCs w:val="16"/>
      <w:lang w:val="en-GB" w:eastAsia="en-US"/>
    </w:rPr>
  </w:style>
  <w:style w:type="paragraph" w:customStyle="1" w:styleId="CharCaracterCharCharCharCaracter">
    <w:name w:val="Char Caracter Char Char Char Caracte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customStyle="1" w:styleId="char0">
    <w:name w:val="char"/>
    <w:basedOn w:val="Normal"/>
    <w:rsid w:val="000645BF"/>
    <w:pPr>
      <w:spacing w:after="0" w:line="240" w:lineRule="auto"/>
    </w:pPr>
    <w:rPr>
      <w:rFonts w:ascii="Times New Roman" w:eastAsia="Times New Roman" w:hAnsi="Times New Roman" w:cs="Times New Roman"/>
      <w:sz w:val="24"/>
      <w:szCs w:val="24"/>
      <w:lang w:val="en-US" w:eastAsia="en-US"/>
    </w:rPr>
  </w:style>
  <w:style w:type="character" w:styleId="Numrdepagin">
    <w:name w:val="page number"/>
    <w:basedOn w:val="Fontdeparagrafimplicit"/>
    <w:rsid w:val="000645BF"/>
  </w:style>
  <w:style w:type="character" w:customStyle="1" w:styleId="ar1">
    <w:name w:val="ar1"/>
    <w:basedOn w:val="Fontdeparagrafimplicit"/>
    <w:rsid w:val="000645BF"/>
    <w:rPr>
      <w:b/>
      <w:bCs/>
      <w:color w:val="0000AF"/>
      <w:sz w:val="22"/>
      <w:szCs w:val="22"/>
    </w:rPr>
  </w:style>
  <w:style w:type="character" w:customStyle="1" w:styleId="CharChar15">
    <w:name w:val="Char Char15"/>
    <w:basedOn w:val="Fontdeparagrafimplicit"/>
    <w:rsid w:val="000645BF"/>
    <w:rPr>
      <w:rFonts w:ascii="Arial" w:eastAsia="SimSun" w:hAnsi="Arial" w:cs="Arial"/>
      <w:b/>
      <w:bCs/>
      <w:kern w:val="32"/>
      <w:sz w:val="32"/>
      <w:szCs w:val="32"/>
      <w:lang w:val="en-GB" w:eastAsia="en-US" w:bidi="ar-SA"/>
    </w:rPr>
  </w:style>
  <w:style w:type="character" w:customStyle="1" w:styleId="CharChar7">
    <w:name w:val="Char Char7"/>
    <w:basedOn w:val="Fontdeparagrafimplicit"/>
    <w:rsid w:val="000645BF"/>
    <w:rPr>
      <w:rFonts w:ascii="Calibri" w:hAnsi="Calibri"/>
      <w:sz w:val="22"/>
      <w:szCs w:val="22"/>
      <w:lang w:val="en-US" w:eastAsia="en-US"/>
    </w:rPr>
  </w:style>
  <w:style w:type="character" w:customStyle="1" w:styleId="BodyTextIndent2Char1">
    <w:name w:val="Body Text Indent 2 Char1"/>
    <w:aliases w:val="Body Text Indent 2 Char Char Char Char,Body Text Indent 2 Char Char"/>
    <w:basedOn w:val="Fontdeparagrafimplicit"/>
    <w:rsid w:val="000645BF"/>
    <w:rPr>
      <w:rFonts w:eastAsia="SimSun"/>
      <w:sz w:val="24"/>
      <w:szCs w:val="24"/>
      <w:lang w:val="en-GB" w:eastAsia="en-US" w:bidi="ar-SA"/>
    </w:rPr>
  </w:style>
  <w:style w:type="character" w:customStyle="1" w:styleId="al1">
    <w:name w:val="al1"/>
    <w:basedOn w:val="Fontdeparagrafimplicit"/>
    <w:rsid w:val="000645BF"/>
    <w:rPr>
      <w:b/>
      <w:bCs/>
      <w:color w:val="008F00"/>
    </w:rPr>
  </w:style>
  <w:style w:type="character" w:customStyle="1" w:styleId="pt1">
    <w:name w:val="pt1"/>
    <w:basedOn w:val="Fontdeparagrafimplicit"/>
    <w:rsid w:val="000645BF"/>
    <w:rPr>
      <w:b/>
      <w:bCs/>
      <w:color w:val="8F0000"/>
    </w:rPr>
  </w:style>
  <w:style w:type="paragraph" w:customStyle="1" w:styleId="CaracterCaracterCaracterCharCharCaracterCharCharCaracterCharCharCaracterCarCarCharCharCaracterCharChar">
    <w:name w:val="Caracter Caracter Caracter Char Char Caracter Char Char Caracter Char Char Caracter Car Car Char Char Caracter Char Char"/>
    <w:basedOn w:val="Normal"/>
    <w:uiPriority w:val="99"/>
    <w:rsid w:val="000645BF"/>
    <w:pPr>
      <w:spacing w:after="0" w:line="240" w:lineRule="auto"/>
    </w:pPr>
    <w:rPr>
      <w:rFonts w:ascii="Times New Roman" w:eastAsia="Times New Roman" w:hAnsi="Times New Roman" w:cs="Times New Roman"/>
      <w:sz w:val="24"/>
      <w:szCs w:val="24"/>
      <w:lang w:val="pl-PL" w:eastAsia="pl-PL"/>
    </w:rPr>
  </w:style>
  <w:style w:type="character" w:styleId="HyperlinkParcurs">
    <w:name w:val="FollowedHyperlink"/>
    <w:basedOn w:val="Fontdeparagrafimplicit"/>
    <w:rsid w:val="000645BF"/>
    <w:rPr>
      <w:color w:val="800080"/>
      <w:u w:val="single"/>
    </w:rPr>
  </w:style>
  <w:style w:type="character" w:styleId="Accentuat">
    <w:name w:val="Emphasis"/>
    <w:basedOn w:val="Fontdeparagrafimplicit"/>
    <w:qFormat/>
    <w:rsid w:val="000645BF"/>
    <w:rPr>
      <w:i/>
      <w:iCs/>
    </w:rPr>
  </w:style>
  <w:style w:type="table" w:styleId="Tabelgril">
    <w:name w:val="Table Grid"/>
    <w:basedOn w:val="TabelNormal"/>
    <w:uiPriority w:val="59"/>
    <w:rsid w:val="000645B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8">
    <w:name w:val="Table Grid 8"/>
    <w:basedOn w:val="TabelNormal"/>
    <w:rsid w:val="000645BF"/>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Implicit">
    <w:name w:val="Implicit"/>
    <w:rsid w:val="000645BF"/>
    <w:pPr>
      <w:tabs>
        <w:tab w:val="left" w:pos="720"/>
      </w:tabs>
      <w:suppressAutoHyphens/>
    </w:pPr>
    <w:rPr>
      <w:rFonts w:ascii="Times New Roman" w:eastAsia="Times New Roman" w:hAnsi="Times New Roman" w:cs="Times New Roman"/>
      <w:color w:val="00000A"/>
      <w:sz w:val="24"/>
      <w:szCs w:val="24"/>
      <w:lang w:val="en-US" w:eastAsia="en-US"/>
    </w:rPr>
  </w:style>
  <w:style w:type="paragraph" w:customStyle="1" w:styleId="Char1CharChar1Char">
    <w:name w:val="Char1 Char Char1 Char"/>
    <w:basedOn w:val="Normal"/>
    <w:uiPriority w:val="99"/>
    <w:rsid w:val="000645BF"/>
    <w:pPr>
      <w:tabs>
        <w:tab w:val="left" w:pos="709"/>
      </w:tabs>
      <w:overflowPunct w:val="0"/>
      <w:autoSpaceDE w:val="0"/>
      <w:autoSpaceDN w:val="0"/>
      <w:adjustRightInd w:val="0"/>
      <w:spacing w:after="0" w:line="264" w:lineRule="auto"/>
      <w:textAlignment w:val="baseline"/>
    </w:pPr>
    <w:rPr>
      <w:rFonts w:ascii="Tahoma" w:eastAsia="Times New Roman" w:hAnsi="Tahoma" w:cs="Tahoma"/>
      <w:lang w:val="pl-PL" w:eastAsia="pl-PL"/>
    </w:rPr>
  </w:style>
  <w:style w:type="paragraph" w:customStyle="1" w:styleId="externalclass684e6937532b40bc957069edaade015e">
    <w:name w:val="externalclass684e6937532b40bc957069edaade015e"/>
    <w:basedOn w:val="Normal"/>
    <w:uiPriority w:val="99"/>
    <w:rsid w:val="000645BF"/>
    <w:pPr>
      <w:spacing w:before="100" w:beforeAutospacing="1" w:after="100" w:afterAutospacing="1" w:line="240" w:lineRule="auto"/>
    </w:pPr>
    <w:rPr>
      <w:rFonts w:ascii="Calibri" w:eastAsia="Times New Roman" w:hAnsi="Calibri" w:cs="Times New Roman"/>
      <w:sz w:val="24"/>
      <w:szCs w:val="24"/>
      <w:lang w:val="en-US" w:eastAsia="en-US"/>
    </w:rPr>
  </w:style>
  <w:style w:type="paragraph" w:customStyle="1" w:styleId="span-24column">
    <w:name w:val="span-24  column"/>
    <w:basedOn w:val="Normal"/>
    <w:uiPriority w:val="99"/>
    <w:rsid w:val="000645BF"/>
    <w:pPr>
      <w:spacing w:before="100" w:beforeAutospacing="1" w:after="100" w:afterAutospacing="1" w:line="240" w:lineRule="auto"/>
    </w:pPr>
    <w:rPr>
      <w:rFonts w:ascii="Calibri" w:eastAsia="Times New Roman" w:hAnsi="Calibri" w:cs="Times New Roman"/>
      <w:sz w:val="24"/>
      <w:szCs w:val="24"/>
      <w:lang w:val="en-US" w:eastAsia="en-US"/>
    </w:rPr>
  </w:style>
  <w:style w:type="paragraph" w:customStyle="1" w:styleId="span-24column0">
    <w:name w:val="span-24 column"/>
    <w:basedOn w:val="Normal"/>
    <w:uiPriority w:val="99"/>
    <w:rsid w:val="000645BF"/>
    <w:pPr>
      <w:spacing w:before="100" w:beforeAutospacing="1" w:after="100" w:afterAutospacing="1" w:line="240" w:lineRule="auto"/>
    </w:pPr>
    <w:rPr>
      <w:rFonts w:ascii="Calibri" w:eastAsia="Times New Roman" w:hAnsi="Calibri" w:cs="Times New Roman"/>
      <w:sz w:val="24"/>
      <w:szCs w:val="24"/>
      <w:lang w:val="en-US" w:eastAsia="en-US"/>
    </w:rPr>
  </w:style>
  <w:style w:type="character" w:customStyle="1" w:styleId="stire">
    <w:name w:val="stire"/>
    <w:basedOn w:val="Fontdeparagrafimplicit"/>
    <w:uiPriority w:val="99"/>
    <w:rsid w:val="000645BF"/>
  </w:style>
  <w:style w:type="table" w:styleId="Umbriredeculoaredeschis-Accentuare5">
    <w:name w:val="Light Shading Accent 5"/>
    <w:basedOn w:val="TabelNormal"/>
    <w:uiPriority w:val="99"/>
    <w:rsid w:val="000645BF"/>
    <w:pPr>
      <w:spacing w:after="0" w:line="240" w:lineRule="auto"/>
    </w:pPr>
    <w:rPr>
      <w:rFonts w:ascii="Calibri" w:eastAsia="Times New Roman" w:hAnsi="Calibri" w:cs="Calibri"/>
      <w:color w:val="31849B"/>
      <w:sz w:val="20"/>
      <w:szCs w:val="20"/>
      <w:lang w:val="en-US"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uiPriority w:val="99"/>
    <w:rsid w:val="000645BF"/>
    <w:pPr>
      <w:spacing w:after="0" w:line="240" w:lineRule="auto"/>
    </w:pPr>
    <w:rPr>
      <w:rFonts w:ascii="Calibri" w:eastAsia="Times New Roman" w:hAnsi="Calibri" w:cs="Calibri"/>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8">
    <w:name w:val="Style8"/>
    <w:basedOn w:val="Normal"/>
    <w:rsid w:val="000645BF"/>
    <w:pPr>
      <w:widowControl w:val="0"/>
      <w:autoSpaceDE w:val="0"/>
      <w:autoSpaceDN w:val="0"/>
      <w:adjustRightInd w:val="0"/>
      <w:spacing w:after="0" w:line="300" w:lineRule="exact"/>
      <w:ind w:firstLine="706"/>
      <w:jc w:val="both"/>
    </w:pPr>
    <w:rPr>
      <w:rFonts w:ascii="Times New Roman" w:eastAsia="Times New Roman" w:hAnsi="Times New Roman" w:cs="Times New Roman"/>
      <w:sz w:val="24"/>
      <w:szCs w:val="24"/>
      <w:lang w:val="en-US" w:eastAsia="en-US"/>
    </w:rPr>
  </w:style>
  <w:style w:type="character" w:customStyle="1" w:styleId="FontStyle22">
    <w:name w:val="Font Style22"/>
    <w:basedOn w:val="Fontdeparagrafimplicit"/>
    <w:rsid w:val="000645BF"/>
    <w:rPr>
      <w:rFonts w:ascii="Times New Roman" w:hAnsi="Times New Roman" w:cs="Times New Roman"/>
      <w:sz w:val="24"/>
      <w:szCs w:val="24"/>
    </w:rPr>
  </w:style>
  <w:style w:type="paragraph" w:customStyle="1" w:styleId="x95">
    <w:name w:val="x95"/>
    <w:basedOn w:val="Normal"/>
    <w:rsid w:val="000645B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paragraf2">
    <w:name w:val="Listă paragraf2"/>
    <w:basedOn w:val="Normal"/>
    <w:qFormat/>
    <w:rsid w:val="000645BF"/>
    <w:pPr>
      <w:ind w:left="720"/>
      <w:contextualSpacing/>
    </w:pPr>
    <w:rPr>
      <w:rFonts w:ascii="Calibri" w:eastAsia="Calibri" w:hAnsi="Calibri" w:cs="Times New Roman"/>
      <w:lang w:val="en-US" w:eastAsia="en-US"/>
    </w:rPr>
  </w:style>
  <w:style w:type="paragraph" w:styleId="Textnotdesubsol">
    <w:name w:val="footnote text"/>
    <w:basedOn w:val="Normal"/>
    <w:link w:val="TextnotdesubsolCaracter"/>
    <w:uiPriority w:val="99"/>
    <w:rsid w:val="000645BF"/>
    <w:pPr>
      <w:spacing w:after="0" w:line="240" w:lineRule="auto"/>
    </w:pPr>
    <w:rPr>
      <w:rFonts w:ascii="Univers Cd (WE)" w:eastAsia="Univers Cd (WE)" w:hAnsi="Univers Cd (WE)" w:cs="Times New Roman"/>
      <w:kern w:val="16"/>
      <w:sz w:val="20"/>
      <w:szCs w:val="20"/>
      <w:lang w:val="en-US" w:eastAsia="en-US"/>
    </w:rPr>
  </w:style>
  <w:style w:type="character" w:customStyle="1" w:styleId="TextnotdesubsolCaracter">
    <w:name w:val="Text notă de subsol Caracter"/>
    <w:basedOn w:val="Fontdeparagrafimplicit"/>
    <w:link w:val="Textnotdesubsol"/>
    <w:uiPriority w:val="99"/>
    <w:rsid w:val="000645BF"/>
    <w:rPr>
      <w:rFonts w:ascii="Univers Cd (WE)" w:eastAsia="Univers Cd (WE)" w:hAnsi="Univers Cd (WE)" w:cs="Times New Roman"/>
      <w:kern w:val="16"/>
      <w:sz w:val="20"/>
      <w:szCs w:val="20"/>
      <w:lang w:val="en-US" w:eastAsia="en-US"/>
    </w:rPr>
  </w:style>
  <w:style w:type="character" w:styleId="Referinnotdesubsol">
    <w:name w:val="footnote reference"/>
    <w:basedOn w:val="Fontdeparagrafimplicit"/>
    <w:uiPriority w:val="99"/>
    <w:rsid w:val="000645BF"/>
    <w:rPr>
      <w:vertAlign w:val="superscript"/>
    </w:rPr>
  </w:style>
  <w:style w:type="character" w:customStyle="1" w:styleId="partttl">
    <w:name w:val="p_art_ttl"/>
    <w:basedOn w:val="Fontdeparagrafimplicit"/>
    <w:rsid w:val="000645BF"/>
    <w:rPr>
      <w:b/>
      <w:bCs/>
      <w:vanish w:val="0"/>
      <w:webHidden w:val="0"/>
      <w:sz w:val="16"/>
      <w:szCs w:val="16"/>
      <w:specVanish w:val="0"/>
    </w:rPr>
  </w:style>
  <w:style w:type="character" w:customStyle="1" w:styleId="part">
    <w:name w:val="p_art"/>
    <w:basedOn w:val="Fontdeparagrafimplicit"/>
    <w:rsid w:val="000645BF"/>
    <w:rPr>
      <w:vanish w:val="0"/>
      <w:webHidden w:val="0"/>
      <w:specVanish w:val="0"/>
    </w:rPr>
  </w:style>
  <w:style w:type="character" w:customStyle="1" w:styleId="sttlitera">
    <w:name w:val="st_tlitera"/>
    <w:basedOn w:val="Fontdeparagrafimplicit"/>
    <w:rsid w:val="000645BF"/>
  </w:style>
  <w:style w:type="paragraph" w:customStyle="1" w:styleId="CM4">
    <w:name w:val="CM4"/>
    <w:basedOn w:val="Default"/>
    <w:next w:val="Default"/>
    <w:uiPriority w:val="99"/>
    <w:rsid w:val="000645BF"/>
    <w:pPr>
      <w:spacing w:before="60" w:after="60"/>
    </w:pPr>
    <w:rPr>
      <w:rFonts w:ascii="EU Albertina" w:hAnsi="EU Albertina"/>
      <w:color w:val="auto"/>
      <w:lang w:val="ro-RO" w:eastAsia="ro-RO"/>
    </w:rPr>
  </w:style>
  <w:style w:type="paragraph" w:customStyle="1" w:styleId="CM1">
    <w:name w:val="CM1"/>
    <w:basedOn w:val="Default"/>
    <w:next w:val="Default"/>
    <w:uiPriority w:val="99"/>
    <w:rsid w:val="000645BF"/>
    <w:pPr>
      <w:spacing w:before="200" w:after="200"/>
    </w:pPr>
    <w:rPr>
      <w:rFonts w:ascii="EU Albertina" w:hAnsi="EU Albertina"/>
      <w:color w:val="auto"/>
      <w:lang w:val="ro-RO" w:eastAsia="ro-RO"/>
    </w:rPr>
  </w:style>
  <w:style w:type="paragraph" w:customStyle="1" w:styleId="titlu0">
    <w:name w:val="titlu"/>
    <w:basedOn w:val="Normal"/>
    <w:rsid w:val="000645BF"/>
    <w:pPr>
      <w:spacing w:after="0" w:line="360" w:lineRule="atLeast"/>
      <w:jc w:val="both"/>
    </w:pPr>
    <w:rPr>
      <w:rFonts w:ascii="Tahoma" w:eastAsia="Times New Roman" w:hAnsi="Tahoma" w:cs="Tahoma"/>
      <w:b/>
      <w:bCs/>
      <w:color w:val="0099CC"/>
      <w:sz w:val="21"/>
      <w:szCs w:val="21"/>
      <w:lang w:val="en-US"/>
    </w:rPr>
  </w:style>
  <w:style w:type="paragraph" w:customStyle="1" w:styleId="CM3">
    <w:name w:val="CM3"/>
    <w:basedOn w:val="Default"/>
    <w:next w:val="Default"/>
    <w:uiPriority w:val="99"/>
    <w:rsid w:val="000645BF"/>
    <w:rPr>
      <w:rFonts w:ascii="EUAlbertina" w:hAnsi="EUAlbertina"/>
      <w:color w:val="auto"/>
      <w:lang w:val="ro-RO" w:eastAsia="ro-RO"/>
    </w:rPr>
  </w:style>
  <w:style w:type="paragraph" w:styleId="Frspaiere">
    <w:name w:val="No Spacing"/>
    <w:link w:val="FrspaiereCaracter"/>
    <w:uiPriority w:val="1"/>
    <w:qFormat/>
    <w:rsid w:val="000645BF"/>
    <w:pPr>
      <w:spacing w:after="0" w:line="240" w:lineRule="auto"/>
    </w:pPr>
    <w:rPr>
      <w:rFonts w:ascii="Calibri" w:eastAsia="Calibri" w:hAnsi="Calibri" w:cs="Times New Roman"/>
      <w:lang w:val="en-US" w:eastAsia="en-US"/>
    </w:rPr>
  </w:style>
  <w:style w:type="paragraph" w:customStyle="1" w:styleId="Corptext1">
    <w:name w:val="Corp text1"/>
    <w:basedOn w:val="Implicit"/>
    <w:rsid w:val="000645BF"/>
    <w:pPr>
      <w:tabs>
        <w:tab w:val="left" w:pos="1677"/>
      </w:tabs>
      <w:spacing w:after="120" w:line="360" w:lineRule="auto"/>
      <w:jc w:val="both"/>
    </w:pPr>
    <w:rPr>
      <w:rFonts w:ascii="Arial" w:hAnsi="Arial" w:cs="Arial"/>
      <w:sz w:val="20"/>
      <w:szCs w:val="20"/>
      <w:lang w:val="it-IT"/>
    </w:rPr>
  </w:style>
  <w:style w:type="character" w:customStyle="1" w:styleId="ListparagrafCaracter1">
    <w:name w:val="Listă paragraf Caracter1"/>
    <w:aliases w:val="body 2 Caracter,lp1 Caracter,Heading x1 Caracter,Lista 1 Caracter,lp11 Caracter,Lettre d'introduction Caracter,1st level - Bullet List Paragraph Caracter,Paragrafo elenco Caracter,List Paragraph11 Caracter,Heading 2_sj Caracter"/>
    <w:link w:val="Listparagraf"/>
    <w:uiPriority w:val="34"/>
    <w:rsid w:val="000645BF"/>
    <w:rPr>
      <w:rFonts w:ascii="Times New Roman" w:eastAsia="Times New Roman" w:hAnsi="Times New Roman" w:cs="Times New Roman"/>
      <w:sz w:val="24"/>
      <w:szCs w:val="24"/>
      <w:lang w:val="en-US"/>
    </w:rPr>
  </w:style>
  <w:style w:type="numbering" w:styleId="111111">
    <w:name w:val="Outline List 2"/>
    <w:basedOn w:val="FrListare"/>
    <w:rsid w:val="000645BF"/>
    <w:pPr>
      <w:numPr>
        <w:numId w:val="3"/>
      </w:numPr>
    </w:pPr>
  </w:style>
  <w:style w:type="numbering" w:customStyle="1" w:styleId="Listacurent1">
    <w:name w:val="Lista curentă1"/>
    <w:rsid w:val="000645BF"/>
    <w:pPr>
      <w:numPr>
        <w:numId w:val="4"/>
      </w:numPr>
    </w:pPr>
  </w:style>
  <w:style w:type="paragraph" w:styleId="Titlucuprins">
    <w:name w:val="TOC Heading"/>
    <w:basedOn w:val="Titlu1"/>
    <w:next w:val="Normal"/>
    <w:uiPriority w:val="39"/>
    <w:semiHidden/>
    <w:unhideWhenUsed/>
    <w:qFormat/>
    <w:rsid w:val="000645BF"/>
    <w:pPr>
      <w:keepLines/>
      <w:spacing w:before="480" w:after="0" w:line="276" w:lineRule="auto"/>
      <w:outlineLvl w:val="9"/>
    </w:pPr>
    <w:rPr>
      <w:rFonts w:ascii="Cambria" w:eastAsia="Times New Roman" w:hAnsi="Cambria" w:cs="Times New Roman"/>
      <w:color w:val="365F91"/>
      <w:kern w:val="0"/>
      <w:sz w:val="28"/>
      <w:szCs w:val="28"/>
      <w:lang w:val="ro-RO" w:eastAsia="ro-RO"/>
    </w:rPr>
  </w:style>
  <w:style w:type="paragraph" w:customStyle="1" w:styleId="Paragraf">
    <w:name w:val="Paragraf"/>
    <w:basedOn w:val="Normal"/>
    <w:rsid w:val="000645BF"/>
    <w:pPr>
      <w:tabs>
        <w:tab w:val="left" w:pos="851"/>
        <w:tab w:val="left" w:pos="1418"/>
        <w:tab w:val="num" w:pos="2160"/>
      </w:tabs>
      <w:spacing w:before="40" w:after="40" w:line="240" w:lineRule="auto"/>
      <w:ind w:left="2160" w:hanging="180"/>
      <w:jc w:val="both"/>
    </w:pPr>
    <w:rPr>
      <w:rFonts w:ascii="Arial" w:eastAsia="Times New Roman" w:hAnsi="Arial" w:cs="Times New Roman"/>
      <w:sz w:val="24"/>
      <w:szCs w:val="20"/>
      <w:lang w:val="en-US" w:eastAsia="en-US"/>
    </w:rPr>
  </w:style>
  <w:style w:type="paragraph" w:styleId="Cuprins1">
    <w:name w:val="toc 1"/>
    <w:basedOn w:val="Normal"/>
    <w:next w:val="Normal"/>
    <w:autoRedefine/>
    <w:rsid w:val="000645BF"/>
    <w:pPr>
      <w:spacing w:after="100" w:line="240" w:lineRule="auto"/>
    </w:pPr>
    <w:rPr>
      <w:rFonts w:ascii="Times New Roman" w:eastAsia="SimSun" w:hAnsi="Times New Roman" w:cs="Times New Roman"/>
      <w:sz w:val="24"/>
      <w:szCs w:val="24"/>
      <w:lang w:val="en-GB" w:eastAsia="en-US"/>
    </w:rPr>
  </w:style>
  <w:style w:type="paragraph" w:styleId="Cuprins2">
    <w:name w:val="toc 2"/>
    <w:basedOn w:val="Normal"/>
    <w:next w:val="Normal"/>
    <w:autoRedefine/>
    <w:rsid w:val="000645BF"/>
    <w:pPr>
      <w:spacing w:after="100" w:line="240" w:lineRule="auto"/>
      <w:ind w:left="240"/>
    </w:pPr>
    <w:rPr>
      <w:rFonts w:ascii="Times New Roman" w:eastAsia="SimSun" w:hAnsi="Times New Roman" w:cs="Times New Roman"/>
      <w:sz w:val="24"/>
      <w:szCs w:val="24"/>
      <w:lang w:val="en-GB" w:eastAsia="en-US"/>
    </w:rPr>
  </w:style>
  <w:style w:type="paragraph" w:styleId="Cuprins3">
    <w:name w:val="toc 3"/>
    <w:basedOn w:val="Normal"/>
    <w:next w:val="Normal"/>
    <w:autoRedefine/>
    <w:rsid w:val="000645BF"/>
    <w:pPr>
      <w:spacing w:after="100" w:line="240" w:lineRule="auto"/>
      <w:ind w:left="480"/>
    </w:pPr>
    <w:rPr>
      <w:rFonts w:ascii="Times New Roman" w:eastAsia="SimSun" w:hAnsi="Times New Roman" w:cs="Times New Roman"/>
      <w:sz w:val="24"/>
      <w:szCs w:val="24"/>
      <w:lang w:val="en-GB" w:eastAsia="en-US"/>
    </w:rPr>
  </w:style>
  <w:style w:type="paragraph" w:styleId="Cuprins4">
    <w:name w:val="toc 4"/>
    <w:basedOn w:val="Normal"/>
    <w:next w:val="Normal"/>
    <w:autoRedefine/>
    <w:rsid w:val="000645BF"/>
    <w:pPr>
      <w:spacing w:after="100" w:line="240" w:lineRule="auto"/>
      <w:ind w:left="720"/>
    </w:pPr>
    <w:rPr>
      <w:rFonts w:ascii="Times New Roman" w:eastAsia="SimSun" w:hAnsi="Times New Roman" w:cs="Times New Roman"/>
      <w:sz w:val="24"/>
      <w:szCs w:val="24"/>
      <w:lang w:val="en-GB" w:eastAsia="en-US"/>
    </w:rPr>
  </w:style>
  <w:style w:type="paragraph" w:styleId="Cuprins5">
    <w:name w:val="toc 5"/>
    <w:basedOn w:val="Normal"/>
    <w:next w:val="Normal"/>
    <w:autoRedefine/>
    <w:rsid w:val="000645BF"/>
    <w:pPr>
      <w:spacing w:after="100" w:line="240" w:lineRule="auto"/>
      <w:ind w:left="960"/>
    </w:pPr>
    <w:rPr>
      <w:rFonts w:ascii="Times New Roman" w:eastAsia="SimSun" w:hAnsi="Times New Roman" w:cs="Times New Roman"/>
      <w:sz w:val="24"/>
      <w:szCs w:val="24"/>
      <w:lang w:val="en-GB" w:eastAsia="en-US"/>
    </w:rPr>
  </w:style>
  <w:style w:type="paragraph" w:styleId="Cuprins6">
    <w:name w:val="toc 6"/>
    <w:basedOn w:val="Normal"/>
    <w:next w:val="Normal"/>
    <w:autoRedefine/>
    <w:rsid w:val="000645BF"/>
    <w:pPr>
      <w:spacing w:after="100" w:line="240" w:lineRule="auto"/>
      <w:ind w:left="1200"/>
    </w:pPr>
    <w:rPr>
      <w:rFonts w:ascii="Times New Roman" w:eastAsia="SimSun" w:hAnsi="Times New Roman" w:cs="Times New Roman"/>
      <w:sz w:val="24"/>
      <w:szCs w:val="24"/>
      <w:lang w:val="en-GB" w:eastAsia="en-US"/>
    </w:rPr>
  </w:style>
  <w:style w:type="paragraph" w:styleId="Cuprins7">
    <w:name w:val="toc 7"/>
    <w:basedOn w:val="Normal"/>
    <w:next w:val="Normal"/>
    <w:autoRedefine/>
    <w:rsid w:val="000645BF"/>
    <w:pPr>
      <w:spacing w:after="100" w:line="240" w:lineRule="auto"/>
      <w:ind w:left="1440"/>
    </w:pPr>
    <w:rPr>
      <w:rFonts w:ascii="Times New Roman" w:eastAsia="SimSun" w:hAnsi="Times New Roman" w:cs="Times New Roman"/>
      <w:sz w:val="24"/>
      <w:szCs w:val="24"/>
      <w:lang w:val="en-GB" w:eastAsia="en-US"/>
    </w:rPr>
  </w:style>
  <w:style w:type="character" w:customStyle="1" w:styleId="apple-converted-space">
    <w:name w:val="apple-converted-space"/>
    <w:basedOn w:val="Fontdeparagrafimplicit"/>
    <w:rsid w:val="000645BF"/>
  </w:style>
  <w:style w:type="character" w:customStyle="1" w:styleId="sttart">
    <w:name w:val="st_tart"/>
    <w:basedOn w:val="Fontdeparagrafimplicit"/>
    <w:rsid w:val="000645BF"/>
  </w:style>
  <w:style w:type="paragraph" w:customStyle="1" w:styleId="meta">
    <w:name w:val="meta"/>
    <w:basedOn w:val="Normal"/>
    <w:rsid w:val="000645B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CharChar1CaracterCaracter">
    <w:name w:val="Char Char1 Caracter Caracte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styleId="Textbloc">
    <w:name w:val="Block Text"/>
    <w:basedOn w:val="Normal"/>
    <w:rsid w:val="000645BF"/>
    <w:pPr>
      <w:spacing w:after="0" w:line="240" w:lineRule="auto"/>
      <w:ind w:left="-851" w:right="-1283" w:firstLine="851"/>
      <w:jc w:val="both"/>
    </w:pPr>
    <w:rPr>
      <w:rFonts w:ascii="Ro Times New Roman" w:eastAsia="Times New Roman" w:hAnsi="Ro Times New Roman" w:cs="Times New Roman"/>
      <w:sz w:val="28"/>
      <w:szCs w:val="20"/>
      <w:lang w:val="en-US" w:eastAsia="en-US"/>
    </w:rPr>
  </w:style>
  <w:style w:type="paragraph" w:customStyle="1" w:styleId="1">
    <w:name w:val="1"/>
    <w:basedOn w:val="Normal"/>
    <w:rsid w:val="000645BF"/>
    <w:pPr>
      <w:spacing w:after="160" w:line="240" w:lineRule="exact"/>
    </w:pPr>
    <w:rPr>
      <w:rFonts w:ascii="Verdana" w:eastAsia="Times New Roman" w:hAnsi="Verdana" w:cs="Times New Roman"/>
      <w:sz w:val="20"/>
      <w:szCs w:val="20"/>
      <w:lang w:val="en-US" w:eastAsia="en-US"/>
    </w:rPr>
  </w:style>
  <w:style w:type="paragraph" w:customStyle="1" w:styleId="Textdetabel">
    <w:name w:val="Text de tabel"/>
    <w:basedOn w:val="Normal"/>
    <w:rsid w:val="000645BF"/>
    <w:pPr>
      <w:spacing w:after="0" w:line="240" w:lineRule="auto"/>
      <w:jc w:val="center"/>
    </w:pPr>
    <w:rPr>
      <w:rFonts w:ascii="Times New Roman" w:eastAsia="Times New Roman" w:hAnsi="Times New Roman" w:cs="Times New Roman"/>
      <w:sz w:val="18"/>
      <w:szCs w:val="20"/>
      <w:lang w:val="en-US" w:eastAsia="en-US"/>
    </w:rPr>
  </w:style>
  <w:style w:type="paragraph" w:customStyle="1" w:styleId="CaracterCaracterCharCharCaracterCaracterCaracterCaracter">
    <w:name w:val="Caracter Caracter Char Char Caracter Caracter Caracter Caracter"/>
    <w:basedOn w:val="Normal"/>
    <w:rsid w:val="000645BF"/>
    <w:pPr>
      <w:spacing w:after="0" w:line="240" w:lineRule="auto"/>
    </w:pPr>
    <w:rPr>
      <w:rFonts w:ascii="Times New Roman" w:eastAsia="Times New Roman" w:hAnsi="Times New Roman" w:cs="Times New Roman"/>
      <w:sz w:val="24"/>
      <w:szCs w:val="24"/>
      <w:lang w:val="pl-PL" w:eastAsia="pl-PL"/>
    </w:rPr>
  </w:style>
  <w:style w:type="paragraph" w:customStyle="1" w:styleId="1text2">
    <w:name w:val="1 text 2"/>
    <w:basedOn w:val="Normal"/>
    <w:qFormat/>
    <w:rsid w:val="000645BF"/>
    <w:pPr>
      <w:spacing w:before="240" w:after="0" w:line="240" w:lineRule="auto"/>
      <w:jc w:val="both"/>
    </w:pPr>
    <w:rPr>
      <w:rFonts w:ascii="Arial" w:eastAsia="Calibri" w:hAnsi="Arial" w:cs="Times New Roman"/>
      <w:iCs/>
      <w:sz w:val="24"/>
      <w:szCs w:val="24"/>
      <w:lang w:val="en-US" w:eastAsia="en-US"/>
    </w:rPr>
  </w:style>
  <w:style w:type="paragraph" w:customStyle="1" w:styleId="1tabeltitlu">
    <w:name w:val="1 tabel titlu"/>
    <w:basedOn w:val="Normal"/>
    <w:qFormat/>
    <w:rsid w:val="000645BF"/>
    <w:pPr>
      <w:spacing w:before="240" w:after="120" w:line="240" w:lineRule="auto"/>
      <w:jc w:val="center"/>
    </w:pPr>
    <w:rPr>
      <w:rFonts w:ascii="Arial" w:eastAsia="Times New Roman" w:hAnsi="Arial" w:cs="Arial"/>
      <w:b/>
      <w:szCs w:val="24"/>
      <w:lang w:val="en-US"/>
    </w:rPr>
  </w:style>
  <w:style w:type="paragraph" w:styleId="Tabeldefiguri">
    <w:name w:val="table of figures"/>
    <w:basedOn w:val="Normal"/>
    <w:next w:val="Normal"/>
    <w:uiPriority w:val="99"/>
    <w:unhideWhenUsed/>
    <w:rsid w:val="000645BF"/>
    <w:pPr>
      <w:spacing w:after="0"/>
      <w:ind w:left="440" w:hanging="440"/>
      <w:jc w:val="center"/>
    </w:pPr>
    <w:rPr>
      <w:rFonts w:ascii="Calibri" w:eastAsia="Times New Roman" w:hAnsi="Calibri" w:cs="Times New Roman"/>
      <w:b/>
      <w:bCs/>
      <w:i/>
      <w:iCs/>
      <w:sz w:val="20"/>
      <w:szCs w:val="20"/>
      <w:lang w:val="en-US"/>
    </w:rPr>
  </w:style>
  <w:style w:type="character" w:customStyle="1" w:styleId="FootnoteTextChar1">
    <w:name w:val="Footnote Text Char1"/>
    <w:semiHidden/>
    <w:locked/>
    <w:rsid w:val="000645BF"/>
    <w:rPr>
      <w:lang w:val="ro-RO" w:eastAsia="en-US" w:bidi="ar-SA"/>
    </w:rPr>
  </w:style>
  <w:style w:type="paragraph" w:styleId="Subtitlu">
    <w:name w:val="Subtitle"/>
    <w:basedOn w:val="Normal"/>
    <w:link w:val="SubtitluCaracter"/>
    <w:uiPriority w:val="11"/>
    <w:qFormat/>
    <w:rsid w:val="000645BF"/>
    <w:pPr>
      <w:spacing w:after="0" w:line="240" w:lineRule="auto"/>
      <w:jc w:val="center"/>
      <w:outlineLvl w:val="0"/>
    </w:pPr>
    <w:rPr>
      <w:rFonts w:ascii="Arial" w:eastAsia="Times New Roman" w:hAnsi="Arial" w:cs="Arial"/>
      <w:b/>
      <w:caps/>
      <w:sz w:val="24"/>
      <w:szCs w:val="24"/>
      <w:lang w:val="en-US" w:eastAsia="en-US"/>
    </w:rPr>
  </w:style>
  <w:style w:type="character" w:customStyle="1" w:styleId="SubtitluCaracter">
    <w:name w:val="Subtitlu Caracter"/>
    <w:basedOn w:val="Fontdeparagrafimplicit"/>
    <w:link w:val="Subtitlu"/>
    <w:uiPriority w:val="11"/>
    <w:rsid w:val="000645BF"/>
    <w:rPr>
      <w:rFonts w:ascii="Arial" w:eastAsia="Times New Roman" w:hAnsi="Arial" w:cs="Arial"/>
      <w:b/>
      <w:caps/>
      <w:sz w:val="24"/>
      <w:szCs w:val="24"/>
      <w:lang w:val="en-US" w:eastAsia="en-US"/>
    </w:rPr>
  </w:style>
  <w:style w:type="paragraph" w:customStyle="1" w:styleId="xl36">
    <w:name w:val="xl36"/>
    <w:basedOn w:val="Normal"/>
    <w:rsid w:val="000645BF"/>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eastAsia="en-US"/>
    </w:rPr>
  </w:style>
  <w:style w:type="character" w:customStyle="1" w:styleId="Titlu6Caracter">
    <w:name w:val="Titlu 6 Caracter"/>
    <w:basedOn w:val="Fontdeparagrafimplicit"/>
    <w:link w:val="Titlu6"/>
    <w:uiPriority w:val="9"/>
    <w:semiHidden/>
    <w:rsid w:val="000645BF"/>
    <w:rPr>
      <w:rFonts w:asciiTheme="majorHAnsi" w:eastAsiaTheme="majorEastAsia" w:hAnsiTheme="majorHAnsi" w:cstheme="majorBidi"/>
      <w:i/>
      <w:iCs/>
      <w:color w:val="632423" w:themeColor="accent2" w:themeShade="80"/>
      <w:sz w:val="24"/>
      <w:szCs w:val="24"/>
      <w:lang w:eastAsia="en-US"/>
    </w:rPr>
  </w:style>
  <w:style w:type="character" w:customStyle="1" w:styleId="Titlu8Caracter">
    <w:name w:val="Titlu 8 Caracter"/>
    <w:basedOn w:val="Fontdeparagrafimplicit"/>
    <w:link w:val="Titlu8"/>
    <w:uiPriority w:val="9"/>
    <w:semiHidden/>
    <w:rsid w:val="000645BF"/>
    <w:rPr>
      <w:rFonts w:asciiTheme="majorHAnsi" w:eastAsiaTheme="majorEastAsia" w:hAnsiTheme="majorHAnsi" w:cstheme="majorBidi"/>
      <w:color w:val="632423" w:themeColor="accent2" w:themeShade="80"/>
      <w:lang w:eastAsia="en-US"/>
    </w:rPr>
  </w:style>
  <w:style w:type="character" w:customStyle="1" w:styleId="Titlu9Caracter">
    <w:name w:val="Titlu 9 Caracter"/>
    <w:basedOn w:val="Fontdeparagrafimplicit"/>
    <w:link w:val="Titlu9"/>
    <w:uiPriority w:val="9"/>
    <w:semiHidden/>
    <w:rsid w:val="000645BF"/>
    <w:rPr>
      <w:rFonts w:asciiTheme="majorHAnsi" w:eastAsiaTheme="majorEastAsia" w:hAnsiTheme="majorHAnsi" w:cstheme="majorBidi"/>
      <w:i/>
      <w:iCs/>
      <w:color w:val="632423" w:themeColor="accent2" w:themeShade="80"/>
      <w:lang w:eastAsia="en-US"/>
    </w:rPr>
  </w:style>
  <w:style w:type="character" w:styleId="Accentuaresubtil">
    <w:name w:val="Subtle Emphasis"/>
    <w:basedOn w:val="Fontdeparagrafimplicit"/>
    <w:uiPriority w:val="19"/>
    <w:qFormat/>
    <w:rsid w:val="000645BF"/>
    <w:rPr>
      <w:i/>
      <w:iCs/>
      <w:color w:val="595959" w:themeColor="text1" w:themeTint="A6"/>
    </w:rPr>
  </w:style>
  <w:style w:type="character" w:styleId="Accentuareintens">
    <w:name w:val="Intense Emphasis"/>
    <w:basedOn w:val="Fontdeparagrafimplicit"/>
    <w:uiPriority w:val="21"/>
    <w:qFormat/>
    <w:rsid w:val="000645BF"/>
    <w:rPr>
      <w:b/>
      <w:bCs/>
      <w:i/>
      <w:iCs/>
      <w:caps w:val="0"/>
      <w:smallCaps w:val="0"/>
      <w:strike w:val="0"/>
      <w:dstrike w:val="0"/>
      <w:color w:val="C0504D" w:themeColor="accent2"/>
    </w:rPr>
  </w:style>
  <w:style w:type="paragraph" w:styleId="Citat">
    <w:name w:val="Quote"/>
    <w:basedOn w:val="Normal"/>
    <w:next w:val="Normal"/>
    <w:link w:val="CitatCaracter"/>
    <w:uiPriority w:val="29"/>
    <w:qFormat/>
    <w:rsid w:val="000645BF"/>
    <w:pPr>
      <w:spacing w:before="160" w:after="160"/>
      <w:ind w:left="720" w:right="720"/>
      <w:jc w:val="center"/>
    </w:pPr>
    <w:rPr>
      <w:rFonts w:asciiTheme="majorHAnsi" w:eastAsiaTheme="majorEastAsia" w:hAnsiTheme="majorHAnsi" w:cstheme="majorBidi"/>
      <w:color w:val="000000" w:themeColor="text1"/>
      <w:sz w:val="24"/>
      <w:szCs w:val="24"/>
      <w:lang w:eastAsia="en-US"/>
    </w:rPr>
  </w:style>
  <w:style w:type="character" w:customStyle="1" w:styleId="CitatCaracter">
    <w:name w:val="Citat Caracter"/>
    <w:basedOn w:val="Fontdeparagrafimplicit"/>
    <w:link w:val="Citat"/>
    <w:uiPriority w:val="29"/>
    <w:rsid w:val="000645BF"/>
    <w:rPr>
      <w:rFonts w:asciiTheme="majorHAnsi" w:eastAsiaTheme="majorEastAsia" w:hAnsiTheme="majorHAnsi" w:cstheme="majorBidi"/>
      <w:color w:val="000000" w:themeColor="text1"/>
      <w:sz w:val="24"/>
      <w:szCs w:val="24"/>
      <w:lang w:eastAsia="en-US"/>
    </w:rPr>
  </w:style>
  <w:style w:type="paragraph" w:styleId="Citatintens">
    <w:name w:val="Intense Quote"/>
    <w:basedOn w:val="Normal"/>
    <w:next w:val="Normal"/>
    <w:link w:val="CitatintensCaracter"/>
    <w:uiPriority w:val="30"/>
    <w:qFormat/>
    <w:rsid w:val="000645BF"/>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lang w:eastAsia="en-US"/>
    </w:rPr>
  </w:style>
  <w:style w:type="character" w:customStyle="1" w:styleId="CitatintensCaracter">
    <w:name w:val="Citat intens Caracter"/>
    <w:basedOn w:val="Fontdeparagrafimplicit"/>
    <w:link w:val="Citatintens"/>
    <w:uiPriority w:val="30"/>
    <w:rsid w:val="000645BF"/>
    <w:rPr>
      <w:rFonts w:asciiTheme="majorHAnsi" w:eastAsiaTheme="majorEastAsia" w:hAnsiTheme="majorHAnsi" w:cstheme="majorBidi"/>
      <w:sz w:val="24"/>
      <w:szCs w:val="24"/>
      <w:lang w:eastAsia="en-US"/>
    </w:rPr>
  </w:style>
  <w:style w:type="character" w:styleId="Referiresubtil">
    <w:name w:val="Subtle Reference"/>
    <w:basedOn w:val="Fontdeparagrafimplicit"/>
    <w:uiPriority w:val="31"/>
    <w:qFormat/>
    <w:rsid w:val="000645BF"/>
    <w:rPr>
      <w:caps w:val="0"/>
      <w:smallCaps/>
      <w:color w:val="404040" w:themeColor="text1" w:themeTint="BF"/>
      <w:spacing w:val="0"/>
      <w:u w:val="single" w:color="7F7F7F" w:themeColor="text1" w:themeTint="80"/>
    </w:rPr>
  </w:style>
  <w:style w:type="character" w:styleId="Referireintens">
    <w:name w:val="Intense Reference"/>
    <w:basedOn w:val="Fontdeparagrafimplicit"/>
    <w:uiPriority w:val="32"/>
    <w:qFormat/>
    <w:rsid w:val="000645BF"/>
    <w:rPr>
      <w:b/>
      <w:bCs/>
      <w:caps w:val="0"/>
      <w:smallCaps/>
      <w:color w:val="auto"/>
      <w:spacing w:val="0"/>
      <w:u w:val="single"/>
    </w:rPr>
  </w:style>
  <w:style w:type="character" w:styleId="Titlulcrii">
    <w:name w:val="Book Title"/>
    <w:basedOn w:val="Fontdeparagrafimplicit"/>
    <w:uiPriority w:val="33"/>
    <w:qFormat/>
    <w:rsid w:val="000645BF"/>
    <w:rPr>
      <w:b/>
      <w:bCs/>
      <w:caps w:val="0"/>
      <w:smallCaps/>
      <w:spacing w:val="0"/>
    </w:rPr>
  </w:style>
  <w:style w:type="character" w:customStyle="1" w:styleId="font331">
    <w:name w:val="font331"/>
    <w:basedOn w:val="Fontdeparagrafimplicit"/>
    <w:rsid w:val="000645BF"/>
    <w:rPr>
      <w:rFonts w:ascii="Calibri" w:hAnsi="Calibri" w:cs="Calibri" w:hint="default"/>
      <w:b w:val="0"/>
      <w:bCs w:val="0"/>
      <w:i w:val="0"/>
      <w:iCs w:val="0"/>
      <w:strike w:val="0"/>
      <w:dstrike w:val="0"/>
      <w:color w:val="000000"/>
      <w:sz w:val="22"/>
      <w:szCs w:val="22"/>
      <w:u w:val="none"/>
      <w:effect w:val="none"/>
    </w:rPr>
  </w:style>
  <w:style w:type="character" w:customStyle="1" w:styleId="font01">
    <w:name w:val="font01"/>
    <w:basedOn w:val="Fontdeparagrafimplicit"/>
    <w:rsid w:val="000645BF"/>
    <w:rPr>
      <w:rFonts w:ascii="Calibri" w:hAnsi="Calibri" w:cs="Calibri" w:hint="default"/>
      <w:b w:val="0"/>
      <w:bCs w:val="0"/>
      <w:i w:val="0"/>
      <w:iCs w:val="0"/>
      <w:strike w:val="0"/>
      <w:dstrike w:val="0"/>
      <w:color w:val="000000"/>
      <w:sz w:val="22"/>
      <w:szCs w:val="22"/>
      <w:u w:val="none"/>
      <w:effect w:val="none"/>
    </w:rPr>
  </w:style>
  <w:style w:type="character" w:customStyle="1" w:styleId="font371">
    <w:name w:val="font371"/>
    <w:basedOn w:val="Fontdeparagrafimplicit"/>
    <w:rsid w:val="000645BF"/>
    <w:rPr>
      <w:rFonts w:ascii="Calibri" w:hAnsi="Calibri" w:cs="Calibri" w:hint="default"/>
      <w:b/>
      <w:bCs/>
      <w:i w:val="0"/>
      <w:iCs w:val="0"/>
      <w:strike w:val="0"/>
      <w:dstrike w:val="0"/>
      <w:color w:val="000000"/>
      <w:sz w:val="22"/>
      <w:szCs w:val="22"/>
      <w:u w:val="none"/>
      <w:effect w:val="none"/>
    </w:rPr>
  </w:style>
  <w:style w:type="character" w:customStyle="1" w:styleId="font141">
    <w:name w:val="font141"/>
    <w:basedOn w:val="Fontdeparagrafimplicit"/>
    <w:rsid w:val="000645BF"/>
    <w:rPr>
      <w:rFonts w:ascii="Calibri" w:hAnsi="Calibri" w:cs="Calibri" w:hint="default"/>
      <w:b/>
      <w:bCs/>
      <w:i w:val="0"/>
      <w:iCs w:val="0"/>
      <w:strike w:val="0"/>
      <w:dstrike w:val="0"/>
      <w:color w:val="000000"/>
      <w:sz w:val="22"/>
      <w:szCs w:val="22"/>
      <w:u w:val="none"/>
      <w:effect w:val="none"/>
    </w:rPr>
  </w:style>
  <w:style w:type="character" w:customStyle="1" w:styleId="font361">
    <w:name w:val="font361"/>
    <w:basedOn w:val="Fontdeparagrafimplicit"/>
    <w:rsid w:val="000645BF"/>
    <w:rPr>
      <w:rFonts w:ascii="Calibri" w:hAnsi="Calibri" w:cs="Calibri" w:hint="default"/>
      <w:b/>
      <w:bCs/>
      <w:i w:val="0"/>
      <w:iCs w:val="0"/>
      <w:strike w:val="0"/>
      <w:dstrike w:val="0"/>
      <w:color w:val="000000"/>
      <w:sz w:val="22"/>
      <w:szCs w:val="22"/>
      <w:u w:val="none"/>
      <w:effect w:val="none"/>
    </w:rPr>
  </w:style>
  <w:style w:type="character" w:customStyle="1" w:styleId="font391">
    <w:name w:val="font391"/>
    <w:basedOn w:val="Fontdeparagrafimplicit"/>
    <w:rsid w:val="000645BF"/>
    <w:rPr>
      <w:rFonts w:ascii="Calibri" w:hAnsi="Calibri" w:cs="Calibri" w:hint="default"/>
      <w:b w:val="0"/>
      <w:bCs w:val="0"/>
      <w:i w:val="0"/>
      <w:iCs w:val="0"/>
      <w:strike w:val="0"/>
      <w:dstrike w:val="0"/>
      <w:color w:val="000000"/>
      <w:sz w:val="22"/>
      <w:szCs w:val="22"/>
      <w:u w:val="none"/>
      <w:effect w:val="none"/>
    </w:rPr>
  </w:style>
  <w:style w:type="character" w:customStyle="1" w:styleId="font11">
    <w:name w:val="font11"/>
    <w:basedOn w:val="Fontdeparagrafimplicit"/>
    <w:rsid w:val="000645BF"/>
    <w:rPr>
      <w:rFonts w:ascii="Calibri" w:hAnsi="Calibri" w:cs="Calibri" w:hint="default"/>
      <w:b w:val="0"/>
      <w:bCs w:val="0"/>
      <w:i w:val="0"/>
      <w:iCs w:val="0"/>
      <w:strike w:val="0"/>
      <w:dstrike w:val="0"/>
      <w:color w:val="000000"/>
      <w:sz w:val="22"/>
      <w:szCs w:val="22"/>
      <w:u w:val="none"/>
      <w:effect w:val="none"/>
    </w:rPr>
  </w:style>
  <w:style w:type="character" w:customStyle="1" w:styleId="font351">
    <w:name w:val="font351"/>
    <w:basedOn w:val="Fontdeparagrafimplicit"/>
    <w:rsid w:val="000645BF"/>
    <w:rPr>
      <w:rFonts w:ascii="Calibri" w:hAnsi="Calibri" w:cs="Calibri" w:hint="default"/>
      <w:b/>
      <w:bCs/>
      <w:i w:val="0"/>
      <w:iCs w:val="0"/>
      <w:strike w:val="0"/>
      <w:dstrike w:val="0"/>
      <w:color w:val="16365C"/>
      <w:sz w:val="22"/>
      <w:szCs w:val="22"/>
      <w:u w:val="none"/>
      <w:effect w:val="none"/>
    </w:rPr>
  </w:style>
  <w:style w:type="character" w:customStyle="1" w:styleId="FrspaiereCaracter">
    <w:name w:val="Fără spațiere Caracter"/>
    <w:basedOn w:val="Fontdeparagrafimplicit"/>
    <w:link w:val="Frspaiere"/>
    <w:uiPriority w:val="1"/>
    <w:rsid w:val="000645BF"/>
    <w:rPr>
      <w:rFonts w:ascii="Calibri" w:eastAsia="Calibri" w:hAnsi="Calibri" w:cs="Times New Roman"/>
      <w:lang w:val="en-US" w:eastAsia="en-US"/>
    </w:rPr>
  </w:style>
  <w:style w:type="paragraph" w:customStyle="1" w:styleId="TableParagraph">
    <w:name w:val="Table Paragraph"/>
    <w:basedOn w:val="Normal"/>
    <w:uiPriority w:val="1"/>
    <w:qFormat/>
    <w:rsid w:val="000645BF"/>
    <w:pPr>
      <w:widowControl w:val="0"/>
      <w:spacing w:after="0" w:line="240" w:lineRule="auto"/>
    </w:pPr>
    <w:rPr>
      <w:rFonts w:ascii="Calibri" w:eastAsia="Calibri" w:hAnsi="Calibri" w:cs="Times New Roman"/>
      <w:lang w:val="en-US" w:eastAsia="en-US"/>
    </w:rPr>
  </w:style>
  <w:style w:type="paragraph" w:customStyle="1" w:styleId="spar">
    <w:name w:val="s_par"/>
    <w:basedOn w:val="Normal"/>
    <w:rsid w:val="007A21BD"/>
    <w:pPr>
      <w:spacing w:after="0" w:line="240" w:lineRule="auto"/>
      <w:ind w:left="225"/>
    </w:pPr>
    <w:rPr>
      <w:rFonts w:ascii="Times New Roman" w:hAnsi="Times New Roman" w:cs="Times New Roman"/>
      <w:sz w:val="24"/>
      <w:szCs w:val="24"/>
    </w:rPr>
  </w:style>
  <w:style w:type="character" w:customStyle="1" w:styleId="salnbdy">
    <w:name w:val="s_aln_bdy"/>
    <w:basedOn w:val="Fontdeparagrafimplicit"/>
    <w:rsid w:val="007A21BD"/>
    <w:rPr>
      <w:rFonts w:ascii="Verdana" w:hAnsi="Verdana" w:hint="default"/>
      <w:b w:val="0"/>
      <w:bCs w:val="0"/>
      <w:color w:val="000000"/>
      <w:sz w:val="20"/>
      <w:szCs w:val="20"/>
      <w:shd w:val="clear" w:color="auto" w:fill="FFFFFF"/>
    </w:rPr>
  </w:style>
  <w:style w:type="paragraph" w:styleId="Textsimplu">
    <w:name w:val="Plain Text"/>
    <w:basedOn w:val="Normal"/>
    <w:link w:val="TextsimpluCaracter"/>
    <w:rsid w:val="00643CB5"/>
    <w:pPr>
      <w:spacing w:after="0" w:line="240" w:lineRule="auto"/>
    </w:pPr>
    <w:rPr>
      <w:rFonts w:ascii="Courier New" w:eastAsia="Times New Roman" w:hAnsi="Courier New" w:cs="Times New Roman"/>
      <w:sz w:val="20"/>
      <w:szCs w:val="20"/>
      <w:lang w:val="fr-FR" w:eastAsia="x-none"/>
    </w:rPr>
  </w:style>
  <w:style w:type="character" w:customStyle="1" w:styleId="TextsimpluCaracter">
    <w:name w:val="Text simplu Caracter"/>
    <w:basedOn w:val="Fontdeparagrafimplicit"/>
    <w:link w:val="Textsimplu"/>
    <w:rsid w:val="00643CB5"/>
    <w:rPr>
      <w:rFonts w:ascii="Courier New" w:eastAsia="Times New Roman" w:hAnsi="Courier New" w:cs="Times New Roman"/>
      <w:sz w:val="20"/>
      <w:szCs w:val="20"/>
      <w:lang w:val="fr-FR" w:eastAsia="x-none"/>
    </w:rPr>
  </w:style>
  <w:style w:type="paragraph" w:customStyle="1" w:styleId="bulet1">
    <w:name w:val="bulet 1"/>
    <w:basedOn w:val="Listparagraf"/>
    <w:qFormat/>
    <w:rsid w:val="00643CB5"/>
    <w:pPr>
      <w:numPr>
        <w:numId w:val="47"/>
      </w:numPr>
      <w:tabs>
        <w:tab w:val="num" w:pos="360"/>
      </w:tabs>
      <w:spacing w:before="120" w:after="120"/>
      <w:ind w:firstLine="0"/>
      <w:jc w:val="both"/>
    </w:pPr>
    <w:rPr>
      <w:rFonts w:ascii="Arial" w:hAnsi="Arial" w:cs="Arial"/>
    </w:rPr>
  </w:style>
  <w:style w:type="paragraph" w:customStyle="1" w:styleId="textscris">
    <w:name w:val="text scris"/>
    <w:basedOn w:val="Normal"/>
    <w:qFormat/>
    <w:rsid w:val="00643CB5"/>
    <w:pPr>
      <w:spacing w:before="120" w:after="120" w:line="240" w:lineRule="auto"/>
      <w:ind w:firstLine="720"/>
      <w:jc w:val="both"/>
    </w:pPr>
    <w:rPr>
      <w:rFonts w:ascii="Arial" w:eastAsiaTheme="minorHAnsi" w:hAnsi="Arial" w:cs="Arial"/>
      <w:sz w:val="24"/>
      <w:szCs w:val="24"/>
      <w:lang w:val="en-US" w:eastAsia="en-US"/>
    </w:rPr>
  </w:style>
  <w:style w:type="paragraph" w:customStyle="1" w:styleId="1titlu">
    <w:name w:val="1 titlu"/>
    <w:basedOn w:val="Titlu1"/>
    <w:qFormat/>
    <w:rsid w:val="00643CB5"/>
    <w:pPr>
      <w:numPr>
        <w:numId w:val="46"/>
      </w:numPr>
      <w:tabs>
        <w:tab w:val="num" w:pos="360"/>
        <w:tab w:val="num" w:pos="720"/>
      </w:tabs>
      <w:spacing w:before="600" w:after="600"/>
      <w:ind w:left="0" w:firstLine="0"/>
      <w:jc w:val="center"/>
      <w:textAlignment w:val="top"/>
    </w:pPr>
    <w:rPr>
      <w:rFonts w:ascii="Arial Bold" w:eastAsia="Times New Roman" w:hAnsi="Arial Bold"/>
      <w:caps/>
      <w:kern w:val="0"/>
      <w:szCs w:val="24"/>
      <w:lang w:val="ro-RO"/>
    </w:rPr>
  </w:style>
  <w:style w:type="paragraph" w:customStyle="1" w:styleId="1bullet">
    <w:name w:val="1_bullet"/>
    <w:basedOn w:val="Normal"/>
    <w:qFormat/>
    <w:rsid w:val="00643CB5"/>
    <w:pPr>
      <w:numPr>
        <w:numId w:val="51"/>
      </w:numPr>
      <w:spacing w:after="0"/>
      <w:jc w:val="both"/>
    </w:pPr>
    <w:rPr>
      <w:rFonts w:ascii="Times New Roman" w:eastAsia="Times New Roman" w:hAnsi="Times New Roman" w:cs="Times New Roman"/>
      <w:sz w:val="24"/>
      <w:szCs w:val="24"/>
      <w:lang w:eastAsia="en-US"/>
    </w:rPr>
  </w:style>
  <w:style w:type="paragraph" w:customStyle="1" w:styleId="1text">
    <w:name w:val="1_text"/>
    <w:basedOn w:val="Normal"/>
    <w:qFormat/>
    <w:rsid w:val="00643CB5"/>
    <w:pPr>
      <w:spacing w:before="120" w:after="120"/>
      <w:ind w:firstLine="709"/>
      <w:jc w:val="both"/>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05189">
      <w:bodyDiv w:val="1"/>
      <w:marLeft w:val="0"/>
      <w:marRight w:val="0"/>
      <w:marTop w:val="0"/>
      <w:marBottom w:val="0"/>
      <w:divBdr>
        <w:top w:val="none" w:sz="0" w:space="0" w:color="auto"/>
        <w:left w:val="none" w:sz="0" w:space="0" w:color="auto"/>
        <w:bottom w:val="none" w:sz="0" w:space="0" w:color="auto"/>
        <w:right w:val="none" w:sz="0" w:space="0" w:color="auto"/>
      </w:divBdr>
    </w:div>
    <w:div w:id="29244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chart" Target="charts/chart91.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image" Target="media/image4.jpeg"/><Relationship Id="rId68" Type="http://schemas.openxmlformats.org/officeDocument/2006/relationships/image" Target="media/image8.emf"/><Relationship Id="rId84" Type="http://schemas.openxmlformats.org/officeDocument/2006/relationships/image" Target="media/image17.emf"/><Relationship Id="rId89" Type="http://schemas.openxmlformats.org/officeDocument/2006/relationships/chart" Target="charts/chart67.xml"/><Relationship Id="rId112" Type="http://schemas.openxmlformats.org/officeDocument/2006/relationships/hyperlink" Target="https://ro.wikipedia.org/wiki/P%C4%83s%C4%83ri_migratoare" TargetMode="External"/><Relationship Id="rId133" Type="http://schemas.openxmlformats.org/officeDocument/2006/relationships/chart" Target="charts/chart106.xml"/><Relationship Id="rId138" Type="http://schemas.openxmlformats.org/officeDocument/2006/relationships/hyperlink" Target="file:///C:\Documents%20and%20Settings\Administrator\Sintact%202.0\cache\Legislatie\temp\00144158.HTM" TargetMode="External"/><Relationship Id="rId154" Type="http://schemas.openxmlformats.org/officeDocument/2006/relationships/chart" Target="charts/chart121.xml"/><Relationship Id="rId159" Type="http://schemas.openxmlformats.org/officeDocument/2006/relationships/chart" Target="charts/chart126.xml"/><Relationship Id="rId170" Type="http://schemas.openxmlformats.org/officeDocument/2006/relationships/theme" Target="theme/theme1.xml"/><Relationship Id="rId16" Type="http://schemas.openxmlformats.org/officeDocument/2006/relationships/chart" Target="charts/chart9.xml"/><Relationship Id="rId107" Type="http://schemas.openxmlformats.org/officeDocument/2006/relationships/image" Target="media/image18.emf"/><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1.xml"/><Relationship Id="rId79" Type="http://schemas.openxmlformats.org/officeDocument/2006/relationships/image" Target="media/image12.png"/><Relationship Id="rId102" Type="http://schemas.openxmlformats.org/officeDocument/2006/relationships/chart" Target="charts/chart80.xml"/><Relationship Id="rId123" Type="http://schemas.openxmlformats.org/officeDocument/2006/relationships/chart" Target="charts/chart97.xml"/><Relationship Id="rId128" Type="http://schemas.openxmlformats.org/officeDocument/2006/relationships/chart" Target="charts/chart101.xml"/><Relationship Id="rId144" Type="http://schemas.openxmlformats.org/officeDocument/2006/relationships/chart" Target="charts/chart112.xml"/><Relationship Id="rId149" Type="http://schemas.openxmlformats.org/officeDocument/2006/relationships/chart" Target="charts/chart117.xml"/><Relationship Id="rId5" Type="http://schemas.openxmlformats.org/officeDocument/2006/relationships/footnotes" Target="footnotes.xml"/><Relationship Id="rId90" Type="http://schemas.openxmlformats.org/officeDocument/2006/relationships/chart" Target="charts/chart68.xml"/><Relationship Id="rId95" Type="http://schemas.openxmlformats.org/officeDocument/2006/relationships/chart" Target="charts/chart73.xml"/><Relationship Id="rId160" Type="http://schemas.openxmlformats.org/officeDocument/2006/relationships/chart" Target="charts/chart127.xml"/><Relationship Id="rId165" Type="http://schemas.openxmlformats.org/officeDocument/2006/relationships/chart" Target="charts/chart132.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5.xml"/><Relationship Id="rId69" Type="http://schemas.openxmlformats.org/officeDocument/2006/relationships/chart" Target="charts/chart56.xml"/><Relationship Id="rId113" Type="http://schemas.openxmlformats.org/officeDocument/2006/relationships/hyperlink" Target="file:///C:\Documents%20and%20Settings\Administrator\sintact%203.0\cache\Legislatie\temp13108442\00157254.htm" TargetMode="External"/><Relationship Id="rId118" Type="http://schemas.openxmlformats.org/officeDocument/2006/relationships/chart" Target="charts/chart92.xml"/><Relationship Id="rId134" Type="http://schemas.openxmlformats.org/officeDocument/2006/relationships/chart" Target="charts/chart107.xml"/><Relationship Id="rId139" Type="http://schemas.openxmlformats.org/officeDocument/2006/relationships/hyperlink" Target="file:///C:\Documents%20and%20Settings\Administrator\Sintact%202.0\cache\Legislatie\temp\00144158.HTM" TargetMode="External"/><Relationship Id="rId80" Type="http://schemas.openxmlformats.org/officeDocument/2006/relationships/image" Target="media/image13.png"/><Relationship Id="rId85" Type="http://schemas.openxmlformats.org/officeDocument/2006/relationships/chart" Target="charts/chart63.xml"/><Relationship Id="rId150" Type="http://schemas.openxmlformats.org/officeDocument/2006/relationships/hyperlink" Target="mailto:f@nt@n%60.Apa" TargetMode="External"/><Relationship Id="rId155" Type="http://schemas.openxmlformats.org/officeDocument/2006/relationships/chart" Target="charts/chart122.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81.xml"/><Relationship Id="rId108" Type="http://schemas.openxmlformats.org/officeDocument/2006/relationships/hyperlink" Target="http://www.europe-aliens.org/" TargetMode="External"/><Relationship Id="rId124" Type="http://schemas.openxmlformats.org/officeDocument/2006/relationships/chart" Target="charts/chart98.xml"/><Relationship Id="rId129" Type="http://schemas.openxmlformats.org/officeDocument/2006/relationships/chart" Target="charts/chart102.xml"/><Relationship Id="rId54" Type="http://schemas.openxmlformats.org/officeDocument/2006/relationships/chart" Target="charts/chart47.xml"/><Relationship Id="rId70" Type="http://schemas.openxmlformats.org/officeDocument/2006/relationships/chart" Target="charts/chart57.xml"/><Relationship Id="rId75" Type="http://schemas.openxmlformats.org/officeDocument/2006/relationships/chart" Target="charts/chart62.xml"/><Relationship Id="rId91" Type="http://schemas.openxmlformats.org/officeDocument/2006/relationships/chart" Target="charts/chart69.xml"/><Relationship Id="rId96" Type="http://schemas.openxmlformats.org/officeDocument/2006/relationships/chart" Target="charts/chart74.xml"/><Relationship Id="rId140" Type="http://schemas.openxmlformats.org/officeDocument/2006/relationships/hyperlink" Target="file:///C:\Documents%20and%20Settings\Administrator\Sintact%202.0\cache\Legislatie\temp\00144158.HTM" TargetMode="External"/><Relationship Id="rId145" Type="http://schemas.openxmlformats.org/officeDocument/2006/relationships/chart" Target="charts/chart113.xml"/><Relationship Id="rId161" Type="http://schemas.openxmlformats.org/officeDocument/2006/relationships/chart" Target="charts/chart128.xml"/><Relationship Id="rId166" Type="http://schemas.openxmlformats.org/officeDocument/2006/relationships/chart" Target="charts/chart1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6" Type="http://schemas.openxmlformats.org/officeDocument/2006/relationships/chart" Target="charts/chart84.xml"/><Relationship Id="rId114" Type="http://schemas.openxmlformats.org/officeDocument/2006/relationships/chart" Target="charts/chart88.xml"/><Relationship Id="rId119" Type="http://schemas.openxmlformats.org/officeDocument/2006/relationships/chart" Target="charts/chart93.xml"/><Relationship Id="rId127" Type="http://schemas.openxmlformats.org/officeDocument/2006/relationships/chart" Target="charts/chart10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image" Target="media/image5.png"/><Relationship Id="rId73" Type="http://schemas.openxmlformats.org/officeDocument/2006/relationships/chart" Target="charts/chart60.xml"/><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chart" Target="charts/chart64.xml"/><Relationship Id="rId94" Type="http://schemas.openxmlformats.org/officeDocument/2006/relationships/chart" Target="charts/chart72.xml"/><Relationship Id="rId99" Type="http://schemas.openxmlformats.org/officeDocument/2006/relationships/chart" Target="charts/chart77.xml"/><Relationship Id="rId101" Type="http://schemas.openxmlformats.org/officeDocument/2006/relationships/chart" Target="charts/chart79.xml"/><Relationship Id="rId122" Type="http://schemas.openxmlformats.org/officeDocument/2006/relationships/chart" Target="charts/chart96.xml"/><Relationship Id="rId130" Type="http://schemas.openxmlformats.org/officeDocument/2006/relationships/chart" Target="charts/chart103.xml"/><Relationship Id="rId135" Type="http://schemas.openxmlformats.org/officeDocument/2006/relationships/chart" Target="charts/chart108.xml"/><Relationship Id="rId143" Type="http://schemas.openxmlformats.org/officeDocument/2006/relationships/chart" Target="charts/chart111.xml"/><Relationship Id="rId148" Type="http://schemas.openxmlformats.org/officeDocument/2006/relationships/chart" Target="charts/chart116.xml"/><Relationship Id="rId151" Type="http://schemas.openxmlformats.org/officeDocument/2006/relationships/chart" Target="charts/chart118.xml"/><Relationship Id="rId156" Type="http://schemas.openxmlformats.org/officeDocument/2006/relationships/chart" Target="charts/chart123.xml"/><Relationship Id="rId164" Type="http://schemas.openxmlformats.org/officeDocument/2006/relationships/chart" Target="charts/chart131.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85.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image" Target="media/image9.png"/><Relationship Id="rId97" Type="http://schemas.openxmlformats.org/officeDocument/2006/relationships/chart" Target="charts/chart75.xml"/><Relationship Id="rId104" Type="http://schemas.openxmlformats.org/officeDocument/2006/relationships/chart" Target="charts/chart82.xml"/><Relationship Id="rId120" Type="http://schemas.openxmlformats.org/officeDocument/2006/relationships/chart" Target="charts/chart94.xml"/><Relationship Id="rId125" Type="http://schemas.openxmlformats.org/officeDocument/2006/relationships/chart" Target="charts/chart99.xml"/><Relationship Id="rId141" Type="http://schemas.openxmlformats.org/officeDocument/2006/relationships/hyperlink" Target="file:///C:\Documents%20and%20Settings\Administrator\Sintact%202.0\cache\Legislatie\temp\00144158.HTM" TargetMode="External"/><Relationship Id="rId146" Type="http://schemas.openxmlformats.org/officeDocument/2006/relationships/chart" Target="charts/chart114.xml"/><Relationship Id="rId167" Type="http://schemas.openxmlformats.org/officeDocument/2006/relationships/chart" Target="charts/chart134.xml"/><Relationship Id="rId7" Type="http://schemas.openxmlformats.org/officeDocument/2006/relationships/image" Target="media/image1.jpeg"/><Relationship Id="rId71" Type="http://schemas.openxmlformats.org/officeDocument/2006/relationships/chart" Target="charts/chart58.xml"/><Relationship Id="rId92" Type="http://schemas.openxmlformats.org/officeDocument/2006/relationships/chart" Target="charts/chart70.xml"/><Relationship Id="rId162" Type="http://schemas.openxmlformats.org/officeDocument/2006/relationships/chart" Target="charts/chart129.xml"/><Relationship Id="rId2" Type="http://schemas.openxmlformats.org/officeDocument/2006/relationships/styles" Target="styles.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image" Target="media/image6.emf"/><Relationship Id="rId87" Type="http://schemas.openxmlformats.org/officeDocument/2006/relationships/chart" Target="charts/chart65.xml"/><Relationship Id="rId110" Type="http://schemas.openxmlformats.org/officeDocument/2006/relationships/chart" Target="charts/chart86.xml"/><Relationship Id="rId115" Type="http://schemas.openxmlformats.org/officeDocument/2006/relationships/chart" Target="charts/chart89.xml"/><Relationship Id="rId131" Type="http://schemas.openxmlformats.org/officeDocument/2006/relationships/chart" Target="charts/chart104.xml"/><Relationship Id="rId136" Type="http://schemas.openxmlformats.org/officeDocument/2006/relationships/chart" Target="charts/chart109.xml"/><Relationship Id="rId157" Type="http://schemas.openxmlformats.org/officeDocument/2006/relationships/chart" Target="charts/chart124.xml"/><Relationship Id="rId61" Type="http://schemas.openxmlformats.org/officeDocument/2006/relationships/chart" Target="charts/chart54.xml"/><Relationship Id="rId82" Type="http://schemas.openxmlformats.org/officeDocument/2006/relationships/image" Target="media/image15.png"/><Relationship Id="rId152" Type="http://schemas.openxmlformats.org/officeDocument/2006/relationships/chart" Target="charts/chart119.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image" Target="media/image10.png"/><Relationship Id="rId100" Type="http://schemas.openxmlformats.org/officeDocument/2006/relationships/chart" Target="charts/chart78.xml"/><Relationship Id="rId105" Type="http://schemas.openxmlformats.org/officeDocument/2006/relationships/chart" Target="charts/chart83.xml"/><Relationship Id="rId126" Type="http://schemas.openxmlformats.org/officeDocument/2006/relationships/image" Target="media/image19.emf"/><Relationship Id="rId147" Type="http://schemas.openxmlformats.org/officeDocument/2006/relationships/chart" Target="charts/chart115.xml"/><Relationship Id="rId168"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59.xml"/><Relationship Id="rId93" Type="http://schemas.openxmlformats.org/officeDocument/2006/relationships/chart" Target="charts/chart71.xml"/><Relationship Id="rId98" Type="http://schemas.openxmlformats.org/officeDocument/2006/relationships/chart" Target="charts/chart76.xml"/><Relationship Id="rId121" Type="http://schemas.openxmlformats.org/officeDocument/2006/relationships/chart" Target="charts/chart95.xml"/><Relationship Id="rId142" Type="http://schemas.openxmlformats.org/officeDocument/2006/relationships/chart" Target="charts/chart110.xml"/><Relationship Id="rId163" Type="http://schemas.openxmlformats.org/officeDocument/2006/relationships/chart" Target="charts/chart130.xml"/><Relationship Id="rId3" Type="http://schemas.openxmlformats.org/officeDocument/2006/relationships/settings" Target="setting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image" Target="media/image7.emf"/><Relationship Id="rId116" Type="http://schemas.openxmlformats.org/officeDocument/2006/relationships/chart" Target="charts/chart90.xml"/><Relationship Id="rId137" Type="http://schemas.openxmlformats.org/officeDocument/2006/relationships/hyperlink" Target="file:///C:\Documents%20and%20Settings\Administrator\Sintact%202.0\cache\Legislatie\temp\00144158.HTM" TargetMode="External"/><Relationship Id="rId158" Type="http://schemas.openxmlformats.org/officeDocument/2006/relationships/chart" Target="charts/chart125.xm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image" Target="media/image3.jpeg"/><Relationship Id="rId83" Type="http://schemas.openxmlformats.org/officeDocument/2006/relationships/image" Target="media/image16.png"/><Relationship Id="rId88" Type="http://schemas.openxmlformats.org/officeDocument/2006/relationships/chart" Target="charts/chart66.xml"/><Relationship Id="rId111" Type="http://schemas.openxmlformats.org/officeDocument/2006/relationships/chart" Target="charts/chart87.xml"/><Relationship Id="rId132" Type="http://schemas.openxmlformats.org/officeDocument/2006/relationships/chart" Target="charts/chart105.xml"/><Relationship Id="rId153" Type="http://schemas.openxmlformats.org/officeDocument/2006/relationships/chart" Target="charts/chart120.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aie_de_lucru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Foaie_de_lucru_Microsoft_Excel9.xlsx"/><Relationship Id="rId2" Type="http://schemas.openxmlformats.org/officeDocument/2006/relationships/image" Target="../media/image2.jpeg"/><Relationship Id="rId1" Type="http://schemas.openxmlformats.org/officeDocument/2006/relationships/themeOverride" Target="../theme/themeOverride3.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Foaie_de_lucru_Microsoft_Excel90.xlsx"/><Relationship Id="rId1" Type="http://schemas.openxmlformats.org/officeDocument/2006/relationships/themeOverride" Target="../theme/themeOverride21.xml"/></Relationships>
</file>

<file path=word/charts/_rels/chart101.xml.rels><?xml version="1.0" encoding="UTF-8" standalone="yes"?>
<Relationships xmlns="http://schemas.openxmlformats.org/package/2006/relationships"><Relationship Id="rId1" Type="http://schemas.openxmlformats.org/officeDocument/2006/relationships/package" Target="../embeddings/Foaie_de_lucru_Microsoft_Excel9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Foaie_de_lucru_Microsoft_Excel9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Foaie_de_lucru_Microsoft_Excel9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Foaie_de_lucru_Microsoft_Excel9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Foaie_de_lucru_Microsoft_Excel9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Foaie_de_lucru_Microsoft_Excel9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Foaie_de_lucru_Microsoft_Excel97.xlsx"/></Relationships>
</file>

<file path=word/charts/_rels/chart108.xml.rels><?xml version="1.0" encoding="UTF-8" standalone="yes"?>
<Relationships xmlns="http://schemas.openxmlformats.org/package/2006/relationships"><Relationship Id="rId2" Type="http://schemas.openxmlformats.org/officeDocument/2006/relationships/package" Target="../embeddings/Foaie_de_lucru_Microsoft_Excel98.xlsx"/><Relationship Id="rId1" Type="http://schemas.openxmlformats.org/officeDocument/2006/relationships/themeOverride" Target="../theme/themeOverride22.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Foaie_de_lucru_Microsoft_Excel9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Foaie_de_lucru_Microsoft_Excel10.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Foaie_de_lucru_Microsoft_Excel100.xlsx"/><Relationship Id="rId1" Type="http://schemas.openxmlformats.org/officeDocument/2006/relationships/themeOverride" Target="../theme/themeOverride23.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Foaie_de_lucru_Microsoft_Excel101.xlsx"/><Relationship Id="rId1" Type="http://schemas.openxmlformats.org/officeDocument/2006/relationships/themeOverride" Target="../theme/themeOverride24.xml"/></Relationships>
</file>

<file path=word/charts/_rels/chart112.xml.rels><?xml version="1.0" encoding="UTF-8" standalone="yes"?>
<Relationships xmlns="http://schemas.openxmlformats.org/package/2006/relationships"><Relationship Id="rId1" Type="http://schemas.openxmlformats.org/officeDocument/2006/relationships/package" Target="../embeddings/Foaie_de_lucru_Microsoft_Excel102.xlsx"/></Relationships>
</file>

<file path=word/charts/_rels/chart113.xml.rels><?xml version="1.0" encoding="UTF-8" standalone="yes"?>
<Relationships xmlns="http://schemas.openxmlformats.org/package/2006/relationships"><Relationship Id="rId3" Type="http://schemas.openxmlformats.org/officeDocument/2006/relationships/package" Target="../embeddings/Foaie_de_lucru_Microsoft_Excel103.xlsx"/><Relationship Id="rId2" Type="http://schemas.openxmlformats.org/officeDocument/2006/relationships/image" Target="../media/image20.jpeg"/><Relationship Id="rId1" Type="http://schemas.openxmlformats.org/officeDocument/2006/relationships/themeOverride" Target="../theme/themeOverride25.xml"/></Relationships>
</file>

<file path=word/charts/_rels/chart114.xml.rels><?xml version="1.0" encoding="UTF-8" standalone="yes"?>
<Relationships xmlns="http://schemas.openxmlformats.org/package/2006/relationships"><Relationship Id="rId1" Type="http://schemas.openxmlformats.org/officeDocument/2006/relationships/package" Target="../embeddings/Foaie_de_lucru_Microsoft_Excel104.xlsx"/></Relationships>
</file>

<file path=word/charts/_rels/chart115.xml.rels><?xml version="1.0" encoding="UTF-8" standalone="yes"?>
<Relationships xmlns="http://schemas.openxmlformats.org/package/2006/relationships"><Relationship Id="rId2" Type="http://schemas.openxmlformats.org/officeDocument/2006/relationships/package" Target="../embeddings/Foaie_de_lucru_Microsoft_Excel105.xlsx"/><Relationship Id="rId1" Type="http://schemas.openxmlformats.org/officeDocument/2006/relationships/themeOverride" Target="../theme/themeOverride26.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Foaie_de_lucru_Microsoft_Excel106.xlsx"/><Relationship Id="rId1" Type="http://schemas.openxmlformats.org/officeDocument/2006/relationships/themeOverride" Target="../theme/themeOverride27.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Foaie_de_lucru_Microsoft_Excel107.xlsx"/><Relationship Id="rId1" Type="http://schemas.openxmlformats.org/officeDocument/2006/relationships/themeOverride" Target="../theme/themeOverride28.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Foaie_de_lucru_Microsoft_Excel108.xlsx"/><Relationship Id="rId1" Type="http://schemas.openxmlformats.org/officeDocument/2006/relationships/themeOverride" Target="../theme/themeOverride29.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Foaie_de_lucru_Microsoft_Excel109.xlsx"/><Relationship Id="rId1" Type="http://schemas.openxmlformats.org/officeDocument/2006/relationships/themeOverride" Target="../theme/themeOverride3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Foaie_de_lucru_Microsoft_Excel11.xlsx"/></Relationships>
</file>

<file path=word/charts/_rels/chart120.xml.rels><?xml version="1.0" encoding="UTF-8" standalone="yes"?>
<Relationships xmlns="http://schemas.openxmlformats.org/package/2006/relationships"><Relationship Id="rId2" Type="http://schemas.openxmlformats.org/officeDocument/2006/relationships/package" Target="../embeddings/Foaie_de_lucru_Microsoft_Excel110.xlsx"/><Relationship Id="rId1" Type="http://schemas.openxmlformats.org/officeDocument/2006/relationships/themeOverride" Target="../theme/themeOverride31.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Foaie_de_lucru_Microsoft_Excel111.xlsx"/><Relationship Id="rId1" Type="http://schemas.openxmlformats.org/officeDocument/2006/relationships/themeOverride" Target="../theme/themeOverride32.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Foaie_de_lucru_Microsoft_Excel112.xlsx"/><Relationship Id="rId1" Type="http://schemas.openxmlformats.org/officeDocument/2006/relationships/themeOverride" Target="../theme/themeOverride33.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Foaie_de_lucru_Microsoft_Excel113.xlsx"/><Relationship Id="rId1" Type="http://schemas.openxmlformats.org/officeDocument/2006/relationships/themeOverride" Target="../theme/themeOverride34.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Foaie_de_lucru_Microsoft_Excel114.xlsx"/><Relationship Id="rId1" Type="http://schemas.openxmlformats.org/officeDocument/2006/relationships/themeOverride" Target="../theme/themeOverride35.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Foaie_de_lucru_Microsoft_Excel115.xlsx"/><Relationship Id="rId1" Type="http://schemas.openxmlformats.org/officeDocument/2006/relationships/themeOverride" Target="../theme/themeOverride36.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Foaie_de_lucru_Microsoft_Excel116.xlsx"/><Relationship Id="rId1" Type="http://schemas.openxmlformats.org/officeDocument/2006/relationships/themeOverride" Target="../theme/themeOverride37.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Foaie_de_lucru_Microsoft_Excel117.xlsx"/><Relationship Id="rId1" Type="http://schemas.openxmlformats.org/officeDocument/2006/relationships/themeOverride" Target="../theme/themeOverride38.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Foaie_de_lucru_Microsoft_Excel118.xlsx"/><Relationship Id="rId1" Type="http://schemas.openxmlformats.org/officeDocument/2006/relationships/themeOverride" Target="../theme/themeOverride39.xml"/></Relationships>
</file>

<file path=word/charts/_rels/chart129.xml.rels><?xml version="1.0" encoding="UTF-8" standalone="yes"?>
<Relationships xmlns="http://schemas.openxmlformats.org/package/2006/relationships"><Relationship Id="rId1" Type="http://schemas.openxmlformats.org/officeDocument/2006/relationships/package" Target="../embeddings/Foaie_de_lucru_Microsoft_Excel11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oaie_de_lucru_Microsoft_Excel12.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Foaie_de_lucru_Microsoft_Excel120.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Foaie_de_lucru_Microsoft_Excel121.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Foaie_de_lucru_Microsoft_Excel122.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Foaie_de_lucru_Microsoft_Excel12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Foaie_de_lucru_Microsoft_Excel12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oaie_de_lucru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oaie_de_lucru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oaie_de_lucru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oaie_de_lucru_Microsoft_Excel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Foaie_de_lucru_Microsoft_Excel17.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Foaie_de_lucru_Microsoft_Excel18.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Foaie_de_lucru_Microsoft_Excel1.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oaie_de_lucru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oaie_de_lucru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oaie_de_lucru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oaie_de_lucru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oaie_de_lucru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oaie_de_lucru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oaie_de_lucru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oaie_de_lucru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Foaie_de_lucru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Foaie_de_lucru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aie_de_lucru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Foaie_de_lucru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Foaie_de_lucru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Foaie_de_lucru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Foaie_de_lucru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Foaie_de_lucru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Foaie_de_lucru_Microsoft_Excel34.xlsx"/></Relationships>
</file>

<file path=word/charts/_rels/chart36.xml.rels><?xml version="1.0" encoding="UTF-8" standalone="yes"?>
<Relationships xmlns="http://schemas.openxmlformats.org/package/2006/relationships"><Relationship Id="rId3" Type="http://schemas.openxmlformats.org/officeDocument/2006/relationships/package" Target="../embeddings/Foaie_de_lucru_Microsoft_Excel35.xlsx"/><Relationship Id="rId2" Type="http://schemas.microsoft.com/office/2011/relationships/chartColorStyle" Target="colors2.xml"/><Relationship Id="rId1" Type="http://schemas.microsoft.com/office/2011/relationships/chartStyle" Target="style2.xml"/></Relationships>
</file>

<file path=word/charts/_rels/chart37.xml.rels><?xml version="1.0" encoding="UTF-8" standalone="yes"?>
<Relationships xmlns="http://schemas.openxmlformats.org/package/2006/relationships"><Relationship Id="rId1" Type="http://schemas.openxmlformats.org/officeDocument/2006/relationships/package" Target="../embeddings/Foaie_de_lucru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Foaie_de_lucru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Foaie_de_lucru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aie_de_lucru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Foaie_de_lucru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Foaie_de_lucru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Foaie_de_lucru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Foaie_de_lucru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Foaie_de_lucru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Foaie_de_lucru_Microsoft_Excel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Foaie_de_lucru_Microsoft_Excel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Foaie_de_lucru_Microsoft_Excel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Foaie_de_lucru_Microsoft_Excel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Foaie_de_lucru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aie_de_lucru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Foaie_de_lucru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Foaie_de_lucru_Microsoft_Excel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Foaie_de_lucru_Microsoft_Excel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Foaie_de_lucru_Microsoft_Excel52.xlsx"/></Relationships>
</file>

<file path=word/charts/_rels/chart54.xml.rels><?xml version="1.0" encoding="UTF-8" standalone="yes"?>
<Relationships xmlns="http://schemas.openxmlformats.org/package/2006/relationships"><Relationship Id="rId3" Type="http://schemas.openxmlformats.org/officeDocument/2006/relationships/oleObject" Target="file:///D:\Resursa%20de%20apa\2019\resurse%20apa_Anar_cerinta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Foaie_de_lucru_Microsoft_Excel53.xlsx"/><Relationship Id="rId1" Type="http://schemas.openxmlformats.org/officeDocument/2006/relationships/themeOverride" Target="../theme/themeOverride5.xml"/></Relationships>
</file>

<file path=word/charts/_rels/chart56.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Foaie_de_lucru_Microsoft_Excel5.xlsx"/><Relationship Id="rId1" Type="http://schemas.openxmlformats.org/officeDocument/2006/relationships/themeOverride" Target="../theme/themeOverride1.xml"/></Relationships>
</file>

<file path=word/charts/_rels/chart60.xml.rels><?xml version="1.0" encoding="UTF-8" standalone="yes"?>
<Relationships xmlns="http://schemas.openxmlformats.org/package/2006/relationships"><Relationship Id="rId1" Type="http://schemas.openxmlformats.org/officeDocument/2006/relationships/oleObject" Target="file:///C:\Users\flori.dumitrache\Documents\Servici\ANPM_SOER\RAP%202017\Grafice%20anpm%202017.xlsx" TargetMode="External"/></Relationships>
</file>

<file path=word/charts/_rels/chart61.xml.rels><?xml version="1.0" encoding="UTF-8" standalone="yes"?>
<Relationships xmlns="http://schemas.openxmlformats.org/package/2006/relationships"><Relationship Id="rId2" Type="http://schemas.openxmlformats.org/officeDocument/2006/relationships/oleObject" Target="file:///E:\din%20temp\Sinteze%20PCA+Starea%20mediului\SOER%202016\Presiuni%20calitatea%20apelor.xls" TargetMode="External"/><Relationship Id="rId1" Type="http://schemas.openxmlformats.org/officeDocument/2006/relationships/themeOverride" Target="../theme/themeOverride6.xml"/></Relationships>
</file>

<file path=word/charts/_rels/chart62.xml.rels><?xml version="1.0" encoding="UTF-8" standalone="yes"?>
<Relationships xmlns="http://schemas.openxmlformats.org/package/2006/relationships"><Relationship Id="rId1" Type="http://schemas.openxmlformats.org/officeDocument/2006/relationships/package" Target="../embeddings/Foaie_de_lucru_Microsoft_Excel54.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din%20temp\Plan%20de%20management\PNM%202016-2021\POM%202016-2021-2027%20PC\POM%202018\WISE%20reporting%20POM%202018\Documente%20raportare%20CE%20oct%202018\Centralizare\lucru\calcule%20nr.%20masuri.xls" TargetMode="Externa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Foaie_de_lucru_Microsoft_Excel55.xlsx"/><Relationship Id="rId1" Type="http://schemas.openxmlformats.org/officeDocument/2006/relationships/themeOverride" Target="../theme/themeOverride8.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Foaie_de_lucru_Microsoft_Excel56.xlsx"/><Relationship Id="rId1" Type="http://schemas.openxmlformats.org/officeDocument/2006/relationships/themeOverride" Target="../theme/themeOverride9.xml"/></Relationships>
</file>

<file path=word/charts/_rels/chart66.xml.rels><?xml version="1.0" encoding="UTF-8" standalone="yes"?>
<Relationships xmlns="http://schemas.openxmlformats.org/package/2006/relationships"><Relationship Id="rId1" Type="http://schemas.openxmlformats.org/officeDocument/2006/relationships/package" Target="../embeddings/Foaie_de_lucru_Microsoft_Excel57.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Foaie_de_lucru_Microsoft_Excel58.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Foaie_de_lucru_Microsoft_Excel59.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Foaie_de_lucru_Microsoft_Excel6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aie_de_lucru_Microsoft_Excel6.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Foaie_de_lucru_Microsoft_Excel61.xlsx"/><Relationship Id="rId1" Type="http://schemas.openxmlformats.org/officeDocument/2006/relationships/themeOverride" Target="../theme/themeOverride10.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Foaie_de_lucru_Microsoft_Excel62.xlsx"/><Relationship Id="rId1" Type="http://schemas.openxmlformats.org/officeDocument/2006/relationships/themeOverride" Target="../theme/themeOverride11.xm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Foaie_de_lucru_Microsoft_Excel63.xlsx"/><Relationship Id="rId1" Type="http://schemas.openxmlformats.org/officeDocument/2006/relationships/themeOverride" Target="../theme/themeOverride12.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Foaie_de_lucru_Microsoft_Excel64.xlsx"/><Relationship Id="rId1" Type="http://schemas.openxmlformats.org/officeDocument/2006/relationships/themeOverride" Target="../theme/themeOverride13.xml"/></Relationships>
</file>

<file path=word/charts/_rels/chart74.xml.rels><?xml version="1.0" encoding="UTF-8" standalone="yes"?>
<Relationships xmlns="http://schemas.openxmlformats.org/package/2006/relationships"><Relationship Id="rId1" Type="http://schemas.openxmlformats.org/officeDocument/2006/relationships/package" Target="../embeddings/Foaie_de_lucru_Microsoft_Excel65.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Foaie_de_lucru_Microsoft_Excel66.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Foaie_de_lucru_Microsoft_Excel67.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Foaie_de_lucru_Microsoft_Excel68.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Foaie_de_lucru_Microsoft_Excel69.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Foaie_de_lucru_Microsoft_Excel7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aie_de_lucru_Microsoft_Excel7.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Foaie_de_lucru_Microsoft_Excel71.xlsx"/><Relationship Id="rId1" Type="http://schemas.openxmlformats.org/officeDocument/2006/relationships/themeOverride" Target="../theme/themeOverride14.xml"/></Relationships>
</file>

<file path=word/charts/_rels/chart81.xml.rels><?xml version="1.0" encoding="UTF-8" standalone="yes"?>
<Relationships xmlns="http://schemas.openxmlformats.org/package/2006/relationships"><Relationship Id="rId2" Type="http://schemas.openxmlformats.org/officeDocument/2006/relationships/package" Target="../embeddings/Foaie_de_lucru_Microsoft_Excel72.xlsx"/><Relationship Id="rId1" Type="http://schemas.openxmlformats.org/officeDocument/2006/relationships/themeOverride" Target="../theme/themeOverride15.xml"/></Relationships>
</file>

<file path=word/charts/_rels/chart82.xml.rels><?xml version="1.0" encoding="UTF-8" standalone="yes"?>
<Relationships xmlns="http://schemas.openxmlformats.org/package/2006/relationships"><Relationship Id="rId2" Type="http://schemas.openxmlformats.org/officeDocument/2006/relationships/package" Target="../embeddings/Foaie_de_lucru_Microsoft_Excel73.xlsx"/><Relationship Id="rId1" Type="http://schemas.openxmlformats.org/officeDocument/2006/relationships/themeOverride" Target="../theme/themeOverride16.xml"/></Relationships>
</file>

<file path=word/charts/_rels/chart83.xml.rels><?xml version="1.0" encoding="UTF-8" standalone="yes"?>
<Relationships xmlns="http://schemas.openxmlformats.org/package/2006/relationships"><Relationship Id="rId1" Type="http://schemas.openxmlformats.org/officeDocument/2006/relationships/package" Target="../embeddings/Foaie_de_lucru_Microsoft_Excel74.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Foaie_de_lucru_Microsoft_Excel75.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Foaie_de_lucru_Microsoft_Excel76.xlsx"/></Relationships>
</file>

<file path=word/charts/_rels/chart86.xml.rels><?xml version="1.0" encoding="UTF-8" standalone="yes"?>
<Relationships xmlns="http://schemas.openxmlformats.org/package/2006/relationships"><Relationship Id="rId2" Type="http://schemas.openxmlformats.org/officeDocument/2006/relationships/package" Target="../embeddings/Foaie_de_lucru_Microsoft_Excel77.xlsx"/><Relationship Id="rId1" Type="http://schemas.openxmlformats.org/officeDocument/2006/relationships/themeOverride" Target="../theme/themeOverride17.xml"/></Relationships>
</file>

<file path=word/charts/_rels/chart87.xml.rels><?xml version="1.0" encoding="UTF-8" standalone="yes"?>
<Relationships xmlns="http://schemas.openxmlformats.org/package/2006/relationships"><Relationship Id="rId2" Type="http://schemas.openxmlformats.org/officeDocument/2006/relationships/package" Target="../embeddings/Foaie_de_lucru_Microsoft_Excel78.xlsx"/><Relationship Id="rId1" Type="http://schemas.openxmlformats.org/officeDocument/2006/relationships/themeOverride" Target="../theme/themeOverride18.xm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Diagrama%20din%20Microsoft%20Word" TargetMode="External"/></Relationships>
</file>

<file path=word/charts/_rels/chart89.xml.rels><?xml version="1.0" encoding="UTF-8" standalone="yes"?>
<Relationships xmlns="http://schemas.openxmlformats.org/package/2006/relationships"><Relationship Id="rId3" Type="http://schemas.openxmlformats.org/officeDocument/2006/relationships/package" Target="../embeddings/Foaie_de_lucru_Microsoft_Excel79.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Foaie_de_lucru_Microsoft_Excel8.xlsx"/><Relationship Id="rId1" Type="http://schemas.openxmlformats.org/officeDocument/2006/relationships/themeOverride" Target="../theme/themeOverride2.xml"/></Relationships>
</file>

<file path=word/charts/_rels/chart90.xml.rels><?xml version="1.0" encoding="UTF-8" standalone="yes"?>
<Relationships xmlns="http://schemas.openxmlformats.org/package/2006/relationships"><Relationship Id="rId3" Type="http://schemas.openxmlformats.org/officeDocument/2006/relationships/package" Target="../embeddings/Foaie_de_lucru_Microsoft_Excel80.xlsx"/><Relationship Id="rId2" Type="http://schemas.microsoft.com/office/2011/relationships/chartColorStyle" Target="colors7.xml"/><Relationship Id="rId1" Type="http://schemas.microsoft.com/office/2011/relationships/chartStyle" Target="style7.xml"/></Relationships>
</file>

<file path=word/charts/_rels/chart91.xml.rels><?xml version="1.0" encoding="UTF-8" standalone="yes"?>
<Relationships xmlns="http://schemas.openxmlformats.org/package/2006/relationships"><Relationship Id="rId1" Type="http://schemas.openxmlformats.org/officeDocument/2006/relationships/package" Target="../embeddings/Foaie_de_lucru_Microsoft_Excel8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Foaie_de_lucru_Microsoft_Excel8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Foaie_de_lucru_Microsoft_Excel83.xlsx"/></Relationships>
</file>

<file path=word/charts/_rels/chart94.xml.rels><?xml version="1.0" encoding="UTF-8" standalone="yes"?>
<Relationships xmlns="http://schemas.openxmlformats.org/package/2006/relationships"><Relationship Id="rId3" Type="http://schemas.openxmlformats.org/officeDocument/2006/relationships/package" Target="../embeddings/Foaie_de_lucru_Microsoft_Excel84.xlsx"/><Relationship Id="rId2" Type="http://schemas.microsoft.com/office/2011/relationships/chartColorStyle" Target="colors8.xml"/><Relationship Id="rId1" Type="http://schemas.microsoft.com/office/2011/relationships/chartStyle" Target="style8.xml"/></Relationships>
</file>

<file path=word/charts/_rels/chart95.xml.rels><?xml version="1.0" encoding="UTF-8" standalone="yes"?>
<Relationships xmlns="http://schemas.openxmlformats.org/package/2006/relationships"><Relationship Id="rId1" Type="http://schemas.openxmlformats.org/officeDocument/2006/relationships/package" Target="../embeddings/Foaie_de_lucru_Microsoft_Excel8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Foaie_de_lucru_Microsoft_Excel8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Foaie_de_lucru_Microsoft_Excel8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Foaie_de_lucru_Microsoft_Excel88.xlsx"/></Relationships>
</file>

<file path=word/charts/_rels/chart99.xml.rels><?xml version="1.0" encoding="UTF-8" standalone="yes"?>
<Relationships xmlns="http://schemas.openxmlformats.org/package/2006/relationships"><Relationship Id="rId2" Type="http://schemas.openxmlformats.org/officeDocument/2006/relationships/package" Target="../embeddings/Foaie_de_lucru_Microsoft_Excel89.xlsx"/><Relationship Id="rId1" Type="http://schemas.openxmlformats.org/officeDocument/2006/relationships/themeOverride" Target="../theme/themeOverride2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7142857142862"/>
          <c:y val="8.9201877934273768E-2"/>
          <c:w val="0.65904761904762565"/>
          <c:h val="0.70892018779342725"/>
        </c:manualLayout>
      </c:layout>
      <c:barChart>
        <c:barDir val="col"/>
        <c:grouping val="clustered"/>
        <c:varyColors val="0"/>
        <c:ser>
          <c:idx val="7"/>
          <c:order val="0"/>
          <c:tx>
            <c:strRef>
              <c:f>Sheet1!$A$2</c:f>
              <c:strCache>
                <c:ptCount val="1"/>
                <c:pt idx="0">
                  <c:v>Medii anuale 2018 BR4 - Valoare orientativa</c:v>
                </c:pt>
              </c:strCache>
            </c:strRef>
          </c:tx>
          <c:invertIfNegative val="0"/>
          <c:cat>
            <c:strRef>
              <c:f>Sheet1!$B$1:$F$1</c:f>
              <c:strCache>
                <c:ptCount val="5"/>
                <c:pt idx="0">
                  <c:v>BR1</c:v>
                </c:pt>
                <c:pt idx="1">
                  <c:v>BR2</c:v>
                </c:pt>
                <c:pt idx="2">
                  <c:v>BR3</c:v>
                </c:pt>
                <c:pt idx="3">
                  <c:v>BR4</c:v>
                </c:pt>
                <c:pt idx="4">
                  <c:v>BR5</c:v>
                </c:pt>
              </c:strCache>
            </c:strRef>
          </c:cat>
          <c:val>
            <c:numRef>
              <c:f>Sheet1!$B$2:$F$2</c:f>
              <c:numCache>
                <c:formatCode>General</c:formatCode>
                <c:ptCount val="5"/>
                <c:pt idx="0">
                  <c:v>25.51</c:v>
                </c:pt>
                <c:pt idx="1">
                  <c:v>18.420000000000002</c:v>
                </c:pt>
                <c:pt idx="2">
                  <c:v>14.6</c:v>
                </c:pt>
                <c:pt idx="3">
                  <c:v>16.09</c:v>
                </c:pt>
                <c:pt idx="4">
                  <c:v>10.08</c:v>
                </c:pt>
              </c:numCache>
            </c:numRef>
          </c:val>
          <c:extLst>
            <c:ext xmlns:c16="http://schemas.microsoft.com/office/drawing/2014/chart" uri="{C3380CC4-5D6E-409C-BE32-E72D297353CC}">
              <c16:uniqueId val="{00000000-B779-4331-AEEC-F7C7042B2D5A}"/>
            </c:ext>
          </c:extLst>
        </c:ser>
        <c:dLbls>
          <c:showLegendKey val="0"/>
          <c:showVal val="0"/>
          <c:showCatName val="0"/>
          <c:showSerName val="0"/>
          <c:showPercent val="0"/>
          <c:showBubbleSize val="0"/>
        </c:dLbls>
        <c:gapWidth val="150"/>
        <c:axId val="222548352"/>
        <c:axId val="222551424"/>
      </c:barChart>
      <c:catAx>
        <c:axId val="222548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2551424"/>
        <c:crosses val="autoZero"/>
        <c:auto val="1"/>
        <c:lblAlgn val="ctr"/>
        <c:lblOffset val="100"/>
        <c:tickLblSkip val="1"/>
        <c:tickMarkSkip val="1"/>
        <c:noMultiLvlLbl val="0"/>
      </c:catAx>
      <c:valAx>
        <c:axId val="222551424"/>
        <c:scaling>
          <c:orientation val="minMax"/>
        </c:scaling>
        <c:delete val="0"/>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ro-RO"/>
                  <a:t>micrograme/mc</a:t>
                </a:r>
              </a:p>
            </c:rich>
          </c:tx>
          <c:layout>
            <c:manualLayout>
              <c:xMode val="edge"/>
              <c:yMode val="edge"/>
              <c:x val="2.2251919444649878E-2"/>
              <c:y val="0.2300469616185868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2548352"/>
        <c:crosses val="autoZero"/>
        <c:crossBetween val="between"/>
      </c:valAx>
      <c:spPr>
        <a:solidFill>
          <a:srgbClr val="FFFFCC"/>
        </a:solidFill>
        <a:ln w="12700">
          <a:solidFill>
            <a:srgbClr val="000000"/>
          </a:solidFill>
          <a:prstDash val="solid"/>
        </a:ln>
      </c:spPr>
    </c:plotArea>
    <c:legend>
      <c:legendPos val="r"/>
      <c:layout>
        <c:manualLayout>
          <c:xMode val="edge"/>
          <c:yMode val="edge"/>
          <c:x val="0.77944175943524363"/>
          <c:y val="0.40649270859079834"/>
          <c:w val="0.19978966422300667"/>
          <c:h val="0.25637396591248879"/>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vi-VN"/>
              <a:t>Calitatea precipitaţiilor - municipiul B</a:t>
            </a:r>
            <a:r>
              <a:rPr lang="ro-RO"/>
              <a:t>răila</a:t>
            </a:r>
            <a:r>
              <a:rPr lang="vi-VN"/>
              <a:t>  
media şi minima pH-ului - anul 201</a:t>
            </a:r>
            <a:r>
              <a:rPr lang="en-US"/>
              <a:t>8</a:t>
            </a:r>
            <a:endParaRPr lang="vi-VN"/>
          </a:p>
        </c:rich>
      </c:tx>
      <c:layout>
        <c:manualLayout>
          <c:xMode val="edge"/>
          <c:yMode val="edge"/>
          <c:x val="0.28008615465136277"/>
          <c:y val="7.21811257272367E-2"/>
        </c:manualLayout>
      </c:layout>
      <c:overlay val="0"/>
      <c:spPr>
        <a:noFill/>
        <a:ln w="25401">
          <a:noFill/>
        </a:ln>
      </c:spPr>
    </c:title>
    <c:autoTitleDeleted val="0"/>
    <c:plotArea>
      <c:layout>
        <c:manualLayout>
          <c:layoutTarget val="inner"/>
          <c:xMode val="edge"/>
          <c:yMode val="edge"/>
          <c:x val="0.12025316455696212"/>
          <c:y val="0.29045643153527106"/>
          <c:w val="0.85864978902953881"/>
          <c:h val="0.44813278008298785"/>
        </c:manualLayout>
      </c:layout>
      <c:barChart>
        <c:barDir val="col"/>
        <c:grouping val="clustered"/>
        <c:varyColors val="0"/>
        <c:ser>
          <c:idx val="0"/>
          <c:order val="0"/>
          <c:tx>
            <c:strRef>
              <c:f>Sheet1!$A$5</c:f>
              <c:strCache>
                <c:ptCount val="1"/>
                <c:pt idx="0">
                  <c:v>pH-valoarea medie</c:v>
                </c:pt>
              </c:strCache>
            </c:strRef>
          </c:tx>
          <c:spPr>
            <a:blipFill dpi="0" rotWithShape="0">
              <a:blip xmlns:r="http://schemas.openxmlformats.org/officeDocument/2006/relationships" r:embed="rId2"/>
              <a:srcRect/>
              <a:tile tx="0" ty="0" sx="100000" sy="100000" flip="none" algn="tl"/>
            </a:blipFill>
            <a:ln w="12700">
              <a:solidFill>
                <a:srgbClr val="000000"/>
              </a:solidFill>
              <a:prstDash val="solid"/>
            </a:ln>
          </c:spPr>
          <c:invertIfNegative val="0"/>
          <c:cat>
            <c:strRef>
              <c:f>Sheet1!$B$4:$M$4</c:f>
              <c:strCache>
                <c:ptCount val="12"/>
                <c:pt idx="0">
                  <c:v>ian.</c:v>
                </c:pt>
                <c:pt idx="1">
                  <c:v>feb.</c:v>
                </c:pt>
                <c:pt idx="2">
                  <c:v>mart.</c:v>
                </c:pt>
                <c:pt idx="3">
                  <c:v>apr.</c:v>
                </c:pt>
                <c:pt idx="4">
                  <c:v>mai</c:v>
                </c:pt>
                <c:pt idx="5">
                  <c:v>iunie</c:v>
                </c:pt>
                <c:pt idx="6">
                  <c:v>iulie</c:v>
                </c:pt>
                <c:pt idx="7">
                  <c:v>aug.</c:v>
                </c:pt>
                <c:pt idx="8">
                  <c:v>sept.</c:v>
                </c:pt>
                <c:pt idx="9">
                  <c:v>oct.</c:v>
                </c:pt>
                <c:pt idx="10">
                  <c:v>nov.</c:v>
                </c:pt>
                <c:pt idx="11">
                  <c:v>dec.</c:v>
                </c:pt>
              </c:strCache>
            </c:strRef>
          </c:cat>
          <c:val>
            <c:numRef>
              <c:f>Sheet1!$B$5:$M$5</c:f>
              <c:numCache>
                <c:formatCode>General</c:formatCode>
                <c:ptCount val="12"/>
                <c:pt idx="0">
                  <c:v>7.59</c:v>
                </c:pt>
                <c:pt idx="1">
                  <c:v>7.7</c:v>
                </c:pt>
                <c:pt idx="2">
                  <c:v>7.5</c:v>
                </c:pt>
                <c:pt idx="3" formatCode="0.00">
                  <c:v>0</c:v>
                </c:pt>
                <c:pt idx="4">
                  <c:v>7.7</c:v>
                </c:pt>
                <c:pt idx="5">
                  <c:v>7.29</c:v>
                </c:pt>
                <c:pt idx="6">
                  <c:v>7.15</c:v>
                </c:pt>
                <c:pt idx="7">
                  <c:v>6.97</c:v>
                </c:pt>
                <c:pt idx="8">
                  <c:v>7.68</c:v>
                </c:pt>
                <c:pt idx="9">
                  <c:v>6.98</c:v>
                </c:pt>
                <c:pt idx="10">
                  <c:v>7.16</c:v>
                </c:pt>
                <c:pt idx="11">
                  <c:v>6.63</c:v>
                </c:pt>
              </c:numCache>
            </c:numRef>
          </c:val>
          <c:extLst>
            <c:ext xmlns:c16="http://schemas.microsoft.com/office/drawing/2014/chart" uri="{C3380CC4-5D6E-409C-BE32-E72D297353CC}">
              <c16:uniqueId val="{00000000-A272-4B55-860A-6428BA25DD2D}"/>
            </c:ext>
          </c:extLst>
        </c:ser>
        <c:ser>
          <c:idx val="1"/>
          <c:order val="1"/>
          <c:tx>
            <c:strRef>
              <c:f>Sheet1!$A$6</c:f>
              <c:strCache>
                <c:ptCount val="1"/>
                <c:pt idx="0">
                  <c:v>pH- valoarea minimă</c:v>
                </c:pt>
              </c:strCache>
            </c:strRef>
          </c:tx>
          <c:spPr>
            <a:pattFill prst="pct10">
              <a:fgClr>
                <a:srgbClr val="FF0000"/>
              </a:fgClr>
              <a:bgClr>
                <a:srgbClr val="FF0000"/>
              </a:bgClr>
            </a:pattFill>
            <a:ln w="12700">
              <a:solidFill>
                <a:srgbClr val="000000"/>
              </a:solidFill>
              <a:prstDash val="solid"/>
            </a:ln>
          </c:spPr>
          <c:invertIfNegative val="0"/>
          <c:cat>
            <c:strRef>
              <c:f>Sheet1!$B$4:$M$4</c:f>
              <c:strCache>
                <c:ptCount val="12"/>
                <c:pt idx="0">
                  <c:v>ian.</c:v>
                </c:pt>
                <c:pt idx="1">
                  <c:v>feb.</c:v>
                </c:pt>
                <c:pt idx="2">
                  <c:v>mart.</c:v>
                </c:pt>
                <c:pt idx="3">
                  <c:v>apr.</c:v>
                </c:pt>
                <c:pt idx="4">
                  <c:v>mai</c:v>
                </c:pt>
                <c:pt idx="5">
                  <c:v>iunie</c:v>
                </c:pt>
                <c:pt idx="6">
                  <c:v>iulie</c:v>
                </c:pt>
                <c:pt idx="7">
                  <c:v>aug.</c:v>
                </c:pt>
                <c:pt idx="8">
                  <c:v>sept.</c:v>
                </c:pt>
                <c:pt idx="9">
                  <c:v>oct.</c:v>
                </c:pt>
                <c:pt idx="10">
                  <c:v>nov.</c:v>
                </c:pt>
                <c:pt idx="11">
                  <c:v>dec.</c:v>
                </c:pt>
              </c:strCache>
            </c:strRef>
          </c:cat>
          <c:val>
            <c:numRef>
              <c:f>Sheet1!$B$6:$M$6</c:f>
              <c:numCache>
                <c:formatCode>General</c:formatCode>
                <c:ptCount val="12"/>
                <c:pt idx="0">
                  <c:v>7.37</c:v>
                </c:pt>
                <c:pt idx="1">
                  <c:v>7.06</c:v>
                </c:pt>
                <c:pt idx="2">
                  <c:v>7.11</c:v>
                </c:pt>
                <c:pt idx="3">
                  <c:v>0</c:v>
                </c:pt>
                <c:pt idx="4">
                  <c:v>7.26</c:v>
                </c:pt>
                <c:pt idx="5">
                  <c:v>7.08</c:v>
                </c:pt>
                <c:pt idx="6" formatCode="0.00">
                  <c:v>6.98</c:v>
                </c:pt>
                <c:pt idx="7">
                  <c:v>6.88</c:v>
                </c:pt>
                <c:pt idx="8">
                  <c:v>7.24</c:v>
                </c:pt>
                <c:pt idx="9">
                  <c:v>6.8</c:v>
                </c:pt>
                <c:pt idx="10">
                  <c:v>7.12</c:v>
                </c:pt>
                <c:pt idx="11">
                  <c:v>6.55</c:v>
                </c:pt>
              </c:numCache>
            </c:numRef>
          </c:val>
          <c:extLst>
            <c:ext xmlns:c16="http://schemas.microsoft.com/office/drawing/2014/chart" uri="{C3380CC4-5D6E-409C-BE32-E72D297353CC}">
              <c16:uniqueId val="{00000001-A272-4B55-860A-6428BA25DD2D}"/>
            </c:ext>
          </c:extLst>
        </c:ser>
        <c:dLbls>
          <c:showLegendKey val="0"/>
          <c:showVal val="0"/>
          <c:showCatName val="0"/>
          <c:showSerName val="0"/>
          <c:showPercent val="0"/>
          <c:showBubbleSize val="0"/>
        </c:dLbls>
        <c:gapWidth val="150"/>
        <c:axId val="216251392"/>
        <c:axId val="190702336"/>
      </c:barChart>
      <c:catAx>
        <c:axId val="216251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o-RO"/>
          </a:p>
        </c:txPr>
        <c:crossAx val="190702336"/>
        <c:crosses val="autoZero"/>
        <c:auto val="1"/>
        <c:lblAlgn val="ctr"/>
        <c:lblOffset val="100"/>
        <c:tickLblSkip val="1"/>
        <c:tickMarkSkip val="1"/>
        <c:noMultiLvlLbl val="0"/>
      </c:catAx>
      <c:valAx>
        <c:axId val="190702336"/>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ro-RO"/>
                  <a:t>upH</a:t>
                </a:r>
              </a:p>
            </c:rich>
          </c:tx>
          <c:layout>
            <c:manualLayout>
              <c:xMode val="edge"/>
              <c:yMode val="edge"/>
              <c:x val="1.0548523206751122E-2"/>
              <c:y val="0.47717842323651488"/>
            </c:manualLayout>
          </c:layout>
          <c:overlay val="0"/>
          <c:spPr>
            <a:noFill/>
            <a:ln w="25401">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o-RO"/>
          </a:p>
        </c:txPr>
        <c:crossAx val="216251392"/>
        <c:crosses val="autoZero"/>
        <c:crossBetween val="between"/>
      </c:valAx>
      <c:spPr>
        <a:gradFill rotWithShape="0">
          <a:gsLst>
            <a:gs pos="0">
              <a:srgbClr val="FFFFCC"/>
            </a:gs>
            <a:gs pos="100000">
              <a:srgbClr val="CCCCFF"/>
            </a:gs>
          </a:gsLst>
          <a:lin ang="5400000" scaled="1"/>
        </a:gradFill>
        <a:ln w="12700">
          <a:solidFill>
            <a:srgbClr val="808080"/>
          </a:solidFill>
          <a:prstDash val="solid"/>
        </a:ln>
      </c:spPr>
    </c:plotArea>
    <c:legend>
      <c:legendPos val="b"/>
      <c:layout>
        <c:manualLayout>
          <c:xMode val="edge"/>
          <c:yMode val="edge"/>
          <c:x val="0.21729957805907174"/>
          <c:y val="0.89626556016597458"/>
          <c:w val="0.64767932489451818"/>
          <c:h val="9.1286307053941779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o-RO"/>
        </a:p>
      </c:tx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ro-RO"/>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4991423670669"/>
          <c:y val="4.1198501872659173E-2"/>
          <c:w val="0.61921097770154376"/>
          <c:h val="0.69288389513108617"/>
        </c:manualLayout>
      </c:layout>
      <c:lineChart>
        <c:grouping val="standard"/>
        <c:varyColors val="0"/>
        <c:ser>
          <c:idx val="0"/>
          <c:order val="0"/>
          <c:tx>
            <c:strRef>
              <c:f>Sheet1!$A$2</c:f>
              <c:strCache>
                <c:ptCount val="1"/>
                <c:pt idx="0">
                  <c:v>Romania</c:v>
                </c:pt>
              </c:strCache>
            </c:strRef>
          </c:tx>
          <c:spPr>
            <a:ln w="25380">
              <a:solidFill>
                <a:srgbClr val="00FF00"/>
              </a:solidFill>
              <a:prstDash val="solid"/>
            </a:ln>
          </c:spPr>
          <c:marker>
            <c:symbol val="diamond"/>
            <c:size val="6"/>
            <c:spPr>
              <a:solidFill>
                <a:srgbClr val="000080"/>
              </a:solidFill>
              <a:ln>
                <a:solidFill>
                  <a:srgbClr val="000080"/>
                </a:solidFill>
                <a:prstDash val="solid"/>
              </a:ln>
            </c:spPr>
          </c:marker>
          <c:dLbls>
            <c:dLbl>
              <c:idx val="0"/>
              <c:layout>
                <c:manualLayout>
                  <c:x val="2.3036908504400441E-3"/>
                  <c:y val="-5.3238368252446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BE-4BEB-90EC-56D8EFD78FA1}"/>
                </c:ext>
              </c:extLst>
            </c:dLbl>
            <c:spPr>
              <a:noFill/>
              <a:ln w="25380">
                <a:noFill/>
              </a:ln>
            </c:spPr>
            <c:txPr>
              <a:bodyPr/>
              <a:lstStyle/>
              <a:p>
                <a:pPr>
                  <a:defRPr sz="975" b="0"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General</c:formatCode>
                <c:ptCount val="8"/>
                <c:pt idx="0">
                  <c:v>330</c:v>
                </c:pt>
                <c:pt idx="1">
                  <c:v>312</c:v>
                </c:pt>
                <c:pt idx="2">
                  <c:v>300</c:v>
                </c:pt>
                <c:pt idx="3">
                  <c:v>291</c:v>
                </c:pt>
                <c:pt idx="4">
                  <c:v>285</c:v>
                </c:pt>
                <c:pt idx="5">
                  <c:v>280</c:v>
                </c:pt>
                <c:pt idx="6">
                  <c:v>275</c:v>
                </c:pt>
                <c:pt idx="7">
                  <c:v>270</c:v>
                </c:pt>
              </c:numCache>
            </c:numRef>
          </c:val>
          <c:smooth val="0"/>
          <c:extLst>
            <c:ext xmlns:c16="http://schemas.microsoft.com/office/drawing/2014/chart" uri="{C3380CC4-5D6E-409C-BE32-E72D297353CC}">
              <c16:uniqueId val="{00000001-24BE-4BEB-90EC-56D8EFD78FA1}"/>
            </c:ext>
          </c:extLst>
        </c:ser>
        <c:ser>
          <c:idx val="1"/>
          <c:order val="1"/>
          <c:tx>
            <c:strRef>
              <c:f>Sheet1!$A$3</c:f>
              <c:strCache>
                <c:ptCount val="1"/>
                <c:pt idx="0">
                  <c:v>EU-27</c:v>
                </c:pt>
              </c:strCache>
            </c:strRef>
          </c:tx>
          <c:spPr>
            <a:ln w="25380">
              <a:solidFill>
                <a:srgbClr val="FF00FF"/>
              </a:solidFill>
              <a:prstDash val="solid"/>
            </a:ln>
          </c:spPr>
          <c:marker>
            <c:symbol val="square"/>
            <c:size val="6"/>
            <c:spPr>
              <a:solidFill>
                <a:srgbClr val="FF00FF"/>
              </a:solidFill>
              <a:ln>
                <a:solidFill>
                  <a:srgbClr val="FF00FF"/>
                </a:solidFill>
                <a:prstDash val="solid"/>
              </a:ln>
            </c:spPr>
          </c:marker>
          <c:dLbls>
            <c:spPr>
              <a:noFill/>
              <a:ln w="25380">
                <a:noFill/>
              </a:ln>
            </c:spPr>
            <c:txPr>
              <a:bodyPr/>
              <a:lstStyle/>
              <a:p>
                <a:pPr>
                  <a:defRPr sz="975" b="0"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Sheet1!$B$3:$I$3</c:f>
              <c:numCache>
                <c:formatCode>General</c:formatCode>
                <c:ptCount val="8"/>
                <c:pt idx="0">
                  <c:v>505</c:v>
                </c:pt>
                <c:pt idx="1">
                  <c:v>500</c:v>
                </c:pt>
                <c:pt idx="2">
                  <c:v>495</c:v>
                </c:pt>
                <c:pt idx="3">
                  <c:v>490</c:v>
                </c:pt>
                <c:pt idx="4">
                  <c:v>485</c:v>
                </c:pt>
                <c:pt idx="5">
                  <c:v>480</c:v>
                </c:pt>
                <c:pt idx="6">
                  <c:v>475</c:v>
                </c:pt>
                <c:pt idx="7">
                  <c:v>470</c:v>
                </c:pt>
              </c:numCache>
            </c:numRef>
          </c:val>
          <c:smooth val="0"/>
          <c:extLst>
            <c:ext xmlns:c16="http://schemas.microsoft.com/office/drawing/2014/chart" uri="{C3380CC4-5D6E-409C-BE32-E72D297353CC}">
              <c16:uniqueId val="{00000002-24BE-4BEB-90EC-56D8EFD78FA1}"/>
            </c:ext>
          </c:extLst>
        </c:ser>
        <c:ser>
          <c:idx val="2"/>
          <c:order val="2"/>
          <c:tx>
            <c:strRef>
              <c:f>Sheet1!$A$4</c:f>
              <c:strCache>
                <c:ptCount val="1"/>
                <c:pt idx="0">
                  <c:v>județul Brăila</c:v>
                </c:pt>
              </c:strCache>
            </c:strRef>
          </c:tx>
          <c:spPr>
            <a:ln w="25380">
              <a:solidFill>
                <a:srgbClr val="FFFF00"/>
              </a:solidFill>
              <a:prstDash val="solid"/>
            </a:ln>
          </c:spPr>
          <c:marker>
            <c:symbol val="triangle"/>
            <c:size val="6"/>
            <c:spPr>
              <a:solidFill>
                <a:srgbClr val="FFFF00"/>
              </a:solidFill>
              <a:ln>
                <a:solidFill>
                  <a:srgbClr val="FFFF00"/>
                </a:solidFill>
                <a:prstDash val="solid"/>
              </a:ln>
            </c:spPr>
          </c:marker>
          <c:dLbls>
            <c:dLbl>
              <c:idx val="0"/>
              <c:layout>
                <c:manualLayout>
                  <c:x val="-1.3133701945443409E-2"/>
                  <c:y val="7.5051116115677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BE-4BEB-90EC-56D8EFD78FA1}"/>
                </c:ext>
              </c:extLst>
            </c:dLbl>
            <c:dLbl>
              <c:idx val="1"/>
              <c:layout>
                <c:manualLayout>
                  <c:x val="-2.0974855248115782E-2"/>
                  <c:y val="-7.451015966097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BE-4BEB-90EC-56D8EFD78FA1}"/>
                </c:ext>
              </c:extLst>
            </c:dLbl>
            <c:spPr>
              <a:noFill/>
              <a:ln w="25380">
                <a:noFill/>
              </a:ln>
            </c:spPr>
            <c:txPr>
              <a:bodyPr/>
              <a:lstStyle/>
              <a:p>
                <a:pPr>
                  <a:defRPr sz="975" b="0"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Sheet1!$B$4:$I$4</c:f>
              <c:numCache>
                <c:formatCode>General</c:formatCode>
                <c:ptCount val="8"/>
                <c:pt idx="0">
                  <c:v>165</c:v>
                </c:pt>
                <c:pt idx="1">
                  <c:v>143</c:v>
                </c:pt>
                <c:pt idx="2">
                  <c:v>140</c:v>
                </c:pt>
                <c:pt idx="3">
                  <c:v>154</c:v>
                </c:pt>
                <c:pt idx="4">
                  <c:v>150</c:v>
                </c:pt>
                <c:pt idx="5">
                  <c:v>172</c:v>
                </c:pt>
                <c:pt idx="6">
                  <c:v>184</c:v>
                </c:pt>
                <c:pt idx="7">
                  <c:v>204</c:v>
                </c:pt>
              </c:numCache>
            </c:numRef>
          </c:val>
          <c:smooth val="0"/>
          <c:extLst>
            <c:ext xmlns:c16="http://schemas.microsoft.com/office/drawing/2014/chart" uri="{C3380CC4-5D6E-409C-BE32-E72D297353CC}">
              <c16:uniqueId val="{00000005-24BE-4BEB-90EC-56D8EFD78FA1}"/>
            </c:ext>
          </c:extLst>
        </c:ser>
        <c:dLbls>
          <c:showLegendKey val="0"/>
          <c:showVal val="0"/>
          <c:showCatName val="0"/>
          <c:showSerName val="0"/>
          <c:showPercent val="0"/>
          <c:showBubbleSize val="0"/>
        </c:dLbls>
        <c:marker val="1"/>
        <c:smooth val="0"/>
        <c:axId val="133369216"/>
        <c:axId val="149190144"/>
      </c:lineChart>
      <c:catAx>
        <c:axId val="133369216"/>
        <c:scaling>
          <c:orientation val="minMax"/>
        </c:scaling>
        <c:delete val="0"/>
        <c:axPos val="b"/>
        <c:title>
          <c:tx>
            <c:rich>
              <a:bodyPr/>
              <a:lstStyle/>
              <a:p>
                <a:pPr>
                  <a:defRPr sz="970" b="0" i="0" u="none" strike="noStrike" baseline="0">
                    <a:solidFill>
                      <a:srgbClr val="000000"/>
                    </a:solidFill>
                    <a:latin typeface="Arial"/>
                    <a:ea typeface="Arial"/>
                    <a:cs typeface="Arial"/>
                  </a:defRPr>
                </a:pPr>
                <a:r>
                  <a:rPr lang="ro-RO"/>
                  <a:t>An</a:t>
                </a:r>
              </a:p>
            </c:rich>
          </c:tx>
          <c:layout>
            <c:manualLayout>
              <c:xMode val="edge"/>
              <c:yMode val="edge"/>
              <c:x val="0.41509441680696146"/>
              <c:y val="0.85338344573860014"/>
            </c:manualLayout>
          </c:layout>
          <c:overlay val="0"/>
          <c:spPr>
            <a:noFill/>
            <a:ln w="25380">
              <a:noFill/>
            </a:ln>
          </c:spPr>
        </c:title>
        <c:numFmt formatCode="General" sourceLinked="1"/>
        <c:majorTickMark val="out"/>
        <c:minorTickMark val="none"/>
        <c:tickLblPos val="nextTo"/>
        <c:spPr>
          <a:ln w="3172">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ro-RO"/>
          </a:p>
        </c:txPr>
        <c:crossAx val="149190144"/>
        <c:crosses val="autoZero"/>
        <c:auto val="1"/>
        <c:lblAlgn val="ctr"/>
        <c:lblOffset val="100"/>
        <c:tickLblSkip val="1"/>
        <c:tickMarkSkip val="1"/>
        <c:noMultiLvlLbl val="0"/>
      </c:catAx>
      <c:valAx>
        <c:axId val="149190144"/>
        <c:scaling>
          <c:orientation val="minMax"/>
        </c:scaling>
        <c:delete val="0"/>
        <c:axPos val="l"/>
        <c:majorGridlines>
          <c:spPr>
            <a:ln w="3172">
              <a:solidFill>
                <a:srgbClr val="000000"/>
              </a:solidFill>
              <a:prstDash val="solid"/>
            </a:ln>
          </c:spPr>
        </c:majorGridlines>
        <c:title>
          <c:tx>
            <c:rich>
              <a:bodyPr/>
              <a:lstStyle/>
              <a:p>
                <a:pPr>
                  <a:defRPr sz="970" b="0" i="0" u="none" strike="noStrike" baseline="0">
                    <a:solidFill>
                      <a:srgbClr val="000000"/>
                    </a:solidFill>
                    <a:latin typeface="Arial"/>
                    <a:ea typeface="Arial"/>
                    <a:cs typeface="Arial"/>
                  </a:defRPr>
                </a:pPr>
                <a:r>
                  <a:rPr lang="ro-RO"/>
                  <a:t>kg/loc./an</a:t>
                </a:r>
              </a:p>
            </c:rich>
          </c:tx>
          <c:layout>
            <c:manualLayout>
              <c:xMode val="edge"/>
              <c:yMode val="edge"/>
              <c:x val="2.7444225154435824E-2"/>
              <c:y val="0.27443623544074969"/>
            </c:manualLayout>
          </c:layout>
          <c:overlay val="0"/>
          <c:spPr>
            <a:noFill/>
            <a:ln w="25380">
              <a:noFill/>
            </a:ln>
          </c:spPr>
        </c:title>
        <c:numFmt formatCode="0" sourceLinked="0"/>
        <c:majorTickMark val="out"/>
        <c:minorTickMark val="none"/>
        <c:tickLblPos val="nextTo"/>
        <c:spPr>
          <a:ln w="3172">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ro-RO"/>
          </a:p>
        </c:txPr>
        <c:crossAx val="133369216"/>
        <c:crosses val="autoZero"/>
        <c:crossBetween val="between"/>
      </c:valAx>
      <c:spPr>
        <a:gradFill rotWithShape="0">
          <a:gsLst>
            <a:gs pos="0">
              <a:srgbClr val="FFFFFF"/>
            </a:gs>
            <a:gs pos="100000">
              <a:srgbClr val="FFFFFF">
                <a:gamma/>
                <a:shade val="46275"/>
                <a:invGamma/>
              </a:srgbClr>
            </a:gs>
          </a:gsLst>
          <a:path path="rect">
            <a:fillToRect r="100000" b="100000"/>
          </a:path>
        </a:gradFill>
        <a:ln w="12690">
          <a:solidFill>
            <a:srgbClr val="C0C0C0"/>
          </a:solidFill>
          <a:prstDash val="solid"/>
        </a:ln>
      </c:spPr>
    </c:plotArea>
    <c:legend>
      <c:legendPos val="r"/>
      <c:layout>
        <c:manualLayout>
          <c:xMode val="edge"/>
          <c:yMode val="edge"/>
          <c:x val="0.7975986070559814"/>
          <c:y val="0.31202998160485018"/>
          <c:w val="0.19554024368338785"/>
          <c:h val="0.24060177805474936"/>
        </c:manualLayout>
      </c:layout>
      <c:overlay val="0"/>
      <c:spPr>
        <a:noFill/>
        <a:ln w="12690">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ro-RO"/>
        </a:p>
      </c:txPr>
    </c:legend>
    <c:plotVisOnly val="1"/>
    <c:dispBlanksAs val="gap"/>
    <c:showDLblsOverMax val="0"/>
  </c:chart>
  <c:spPr>
    <a:gradFill flip="none" rotWithShape="1">
      <a:gsLst>
        <a:gs pos="0">
          <a:srgbClr val="EEECE1">
            <a:gamma/>
            <a:shade val="46275"/>
            <a:invGamma/>
          </a:srgbClr>
        </a:gs>
        <a:gs pos="100000">
          <a:srgbClr val="EEECE1"/>
        </a:gs>
      </a:gsLst>
      <a:path path="shape">
        <a:fillToRect l="50000" t="50000" r="50000" b="50000"/>
      </a:path>
      <a:tileRect/>
    </a:gradFill>
    <a:ln w="6350" cap="flat" cmpd="sng" algn="ctr">
      <a:solidFill>
        <a:srgbClr val="000080"/>
      </a:solidFill>
      <a:prstDash val="solid"/>
      <a:miter lim="800000"/>
      <a:headEnd type="none" w="med" len="med"/>
      <a:tailEnd type="none" w="med" len="med"/>
    </a:ln>
  </c:spPr>
  <c:txPr>
    <a:bodyPr/>
    <a:lstStyle/>
    <a:p>
      <a:pPr>
        <a:defRPr sz="1175" b="1" i="0" u="none" strike="noStrike" baseline="0">
          <a:solidFill>
            <a:srgbClr val="000000"/>
          </a:solidFill>
          <a:latin typeface="Calibri"/>
          <a:ea typeface="Calibri"/>
          <a:cs typeface="Calibri"/>
        </a:defRPr>
      </a:pPr>
      <a:endParaRPr lang="ro-RO"/>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45197740112997E-2"/>
          <c:y val="0.06"/>
          <c:w val="0.7551789077212806"/>
          <c:h val="0.83714285714285719"/>
        </c:manualLayout>
      </c:layout>
      <c:lineChart>
        <c:grouping val="standard"/>
        <c:varyColors val="0"/>
        <c:ser>
          <c:idx val="0"/>
          <c:order val="0"/>
          <c:tx>
            <c:strRef>
              <c:f>Sheet1!$A$2</c:f>
              <c:strCache>
                <c:ptCount val="1"/>
                <c:pt idx="0">
                  <c:v>urban</c:v>
                </c:pt>
              </c:strCache>
            </c:strRef>
          </c:tx>
          <c:spPr>
            <a:ln w="23535">
              <a:solidFill>
                <a:srgbClr val="0000FF"/>
              </a:solidFill>
              <a:prstDash val="solid"/>
            </a:ln>
          </c:spPr>
          <c:marker>
            <c:symbol val="triangle"/>
            <c:size val="8"/>
            <c:spPr>
              <a:solidFill>
                <a:srgbClr val="000080"/>
              </a:solidFill>
              <a:ln>
                <a:solidFill>
                  <a:srgbClr val="000080"/>
                </a:solidFill>
                <a:prstDash val="solid"/>
              </a:ln>
            </c:spPr>
          </c:marker>
          <c:cat>
            <c:numRef>
              <c:f>Sheet1!$B$1:$J$1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Sheet1!$B$2:$J$2</c:f>
              <c:numCache>
                <c:formatCode>General</c:formatCode>
                <c:ptCount val="9"/>
                <c:pt idx="0">
                  <c:v>48570</c:v>
                </c:pt>
                <c:pt idx="1">
                  <c:v>55789</c:v>
                </c:pt>
                <c:pt idx="2">
                  <c:v>46294</c:v>
                </c:pt>
                <c:pt idx="3">
                  <c:v>46846</c:v>
                </c:pt>
                <c:pt idx="4">
                  <c:v>49656</c:v>
                </c:pt>
                <c:pt idx="5">
                  <c:v>44322</c:v>
                </c:pt>
                <c:pt idx="6">
                  <c:v>50135</c:v>
                </c:pt>
                <c:pt idx="7">
                  <c:v>53302</c:v>
                </c:pt>
                <c:pt idx="8">
                  <c:v>52399</c:v>
                </c:pt>
              </c:numCache>
            </c:numRef>
          </c:val>
          <c:smooth val="0"/>
          <c:extLst>
            <c:ext xmlns:c16="http://schemas.microsoft.com/office/drawing/2014/chart" uri="{C3380CC4-5D6E-409C-BE32-E72D297353CC}">
              <c16:uniqueId val="{00000000-3BDC-4501-8091-2B26FC0C770D}"/>
            </c:ext>
          </c:extLst>
        </c:ser>
        <c:ser>
          <c:idx val="1"/>
          <c:order val="1"/>
          <c:tx>
            <c:strRef>
              <c:f>Sheet1!$A$3</c:f>
              <c:strCache>
                <c:ptCount val="1"/>
                <c:pt idx="0">
                  <c:v>rural</c:v>
                </c:pt>
              </c:strCache>
            </c:strRef>
          </c:tx>
          <c:spPr>
            <a:ln w="23535">
              <a:solidFill>
                <a:srgbClr val="008000"/>
              </a:solidFill>
              <a:prstDash val="solid"/>
            </a:ln>
          </c:spPr>
          <c:marker>
            <c:symbol val="triangle"/>
            <c:size val="8"/>
            <c:spPr>
              <a:solidFill>
                <a:srgbClr val="FF00FF"/>
              </a:solidFill>
              <a:ln>
                <a:solidFill>
                  <a:srgbClr val="FF00FF"/>
                </a:solidFill>
                <a:prstDash val="solid"/>
              </a:ln>
            </c:spPr>
          </c:marker>
          <c:cat>
            <c:numRef>
              <c:f>Sheet1!$B$1:$J$1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Sheet1!$B$3:$J$3</c:f>
              <c:numCache>
                <c:formatCode>General</c:formatCode>
                <c:ptCount val="9"/>
                <c:pt idx="0">
                  <c:v>0</c:v>
                </c:pt>
                <c:pt idx="1">
                  <c:v>3699</c:v>
                </c:pt>
                <c:pt idx="2">
                  <c:v>4418</c:v>
                </c:pt>
                <c:pt idx="3">
                  <c:v>2425</c:v>
                </c:pt>
                <c:pt idx="4">
                  <c:v>4150</c:v>
                </c:pt>
                <c:pt idx="5">
                  <c:v>5182</c:v>
                </c:pt>
                <c:pt idx="6">
                  <c:v>5825</c:v>
                </c:pt>
                <c:pt idx="7">
                  <c:v>6520</c:v>
                </c:pt>
                <c:pt idx="8">
                  <c:v>5918</c:v>
                </c:pt>
              </c:numCache>
            </c:numRef>
          </c:val>
          <c:smooth val="0"/>
          <c:extLst>
            <c:ext xmlns:c16="http://schemas.microsoft.com/office/drawing/2014/chart" uri="{C3380CC4-5D6E-409C-BE32-E72D297353CC}">
              <c16:uniqueId val="{00000001-3BDC-4501-8091-2B26FC0C770D}"/>
            </c:ext>
          </c:extLst>
        </c:ser>
        <c:ser>
          <c:idx val="2"/>
          <c:order val="2"/>
          <c:tx>
            <c:strRef>
              <c:f>Sheet1!$A$4</c:f>
              <c:strCache>
                <c:ptCount val="1"/>
                <c:pt idx="0">
                  <c:v>total</c:v>
                </c:pt>
              </c:strCache>
            </c:strRef>
          </c:tx>
          <c:spPr>
            <a:ln w="23535">
              <a:solidFill>
                <a:srgbClr val="FF6600"/>
              </a:solidFill>
              <a:prstDash val="solid"/>
            </a:ln>
          </c:spPr>
          <c:marker>
            <c:symbol val="triangle"/>
            <c:size val="8"/>
            <c:spPr>
              <a:solidFill>
                <a:srgbClr val="FFFF00"/>
              </a:solidFill>
              <a:ln>
                <a:solidFill>
                  <a:srgbClr val="FF6600"/>
                </a:solidFill>
                <a:prstDash val="solid"/>
              </a:ln>
            </c:spPr>
          </c:marker>
          <c:cat>
            <c:numRef>
              <c:f>Sheet1!$B$1:$J$1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Sheet1!$B$4:$J$4</c:f>
              <c:numCache>
                <c:formatCode>General</c:formatCode>
                <c:ptCount val="9"/>
                <c:pt idx="0">
                  <c:v>48570</c:v>
                </c:pt>
                <c:pt idx="1">
                  <c:v>59488</c:v>
                </c:pt>
                <c:pt idx="2">
                  <c:v>50712</c:v>
                </c:pt>
                <c:pt idx="3">
                  <c:v>49271</c:v>
                </c:pt>
                <c:pt idx="4">
                  <c:v>53807</c:v>
                </c:pt>
                <c:pt idx="5">
                  <c:v>49504</c:v>
                </c:pt>
                <c:pt idx="6">
                  <c:v>55960</c:v>
                </c:pt>
                <c:pt idx="7">
                  <c:v>59823</c:v>
                </c:pt>
                <c:pt idx="8">
                  <c:v>58317</c:v>
                </c:pt>
              </c:numCache>
            </c:numRef>
          </c:val>
          <c:smooth val="0"/>
          <c:extLst>
            <c:ext xmlns:c16="http://schemas.microsoft.com/office/drawing/2014/chart" uri="{C3380CC4-5D6E-409C-BE32-E72D297353CC}">
              <c16:uniqueId val="{00000002-3BDC-4501-8091-2B26FC0C770D}"/>
            </c:ext>
          </c:extLst>
        </c:ser>
        <c:dLbls>
          <c:showLegendKey val="0"/>
          <c:showVal val="0"/>
          <c:showCatName val="0"/>
          <c:showSerName val="0"/>
          <c:showPercent val="0"/>
          <c:showBubbleSize val="0"/>
        </c:dLbls>
        <c:marker val="1"/>
        <c:smooth val="0"/>
        <c:axId val="209612208"/>
        <c:axId val="1"/>
      </c:lineChart>
      <c:catAx>
        <c:axId val="209612208"/>
        <c:scaling>
          <c:orientation val="minMax"/>
        </c:scaling>
        <c:delete val="0"/>
        <c:axPos val="b"/>
        <c:numFmt formatCode="General" sourceLinked="1"/>
        <c:majorTickMark val="out"/>
        <c:minorTickMark val="none"/>
        <c:tickLblPos val="nextTo"/>
        <c:spPr>
          <a:ln w="2942">
            <a:solidFill>
              <a:srgbClr val="000000"/>
            </a:solidFill>
            <a:prstDash val="solid"/>
          </a:ln>
        </c:spPr>
        <c:txPr>
          <a:bodyPr rot="0" vert="horz"/>
          <a:lstStyle/>
          <a:p>
            <a:pPr>
              <a:defRPr sz="788" b="1" i="0" u="none" strike="noStrike" baseline="0">
                <a:solidFill>
                  <a:srgbClr val="000000"/>
                </a:solidFill>
                <a:latin typeface="Calibri"/>
                <a:ea typeface="Calibri"/>
                <a:cs typeface="Calibri"/>
              </a:defRPr>
            </a:pPr>
            <a:endParaRPr lang="ro-RO"/>
          </a:p>
        </c:txPr>
        <c:crossAx val="1"/>
        <c:crosses val="autoZero"/>
        <c:auto val="1"/>
        <c:lblAlgn val="ctr"/>
        <c:lblOffset val="100"/>
        <c:tickLblSkip val="1"/>
        <c:tickMarkSkip val="1"/>
        <c:noMultiLvlLbl val="0"/>
      </c:catAx>
      <c:valAx>
        <c:axId val="1"/>
        <c:scaling>
          <c:orientation val="minMax"/>
        </c:scaling>
        <c:delete val="0"/>
        <c:axPos val="l"/>
        <c:majorGridlines>
          <c:spPr>
            <a:ln w="11767">
              <a:solidFill>
                <a:srgbClr val="FFFFFF"/>
              </a:solidFill>
              <a:prstDash val="solid"/>
            </a:ln>
          </c:spPr>
        </c:majorGridlines>
        <c:numFmt formatCode="General" sourceLinked="1"/>
        <c:majorTickMark val="out"/>
        <c:minorTickMark val="none"/>
        <c:tickLblPos val="nextTo"/>
        <c:spPr>
          <a:ln w="2942">
            <a:solidFill>
              <a:srgbClr val="000000"/>
            </a:solidFill>
            <a:prstDash val="solid"/>
          </a:ln>
        </c:spPr>
        <c:txPr>
          <a:bodyPr rot="0" vert="horz"/>
          <a:lstStyle/>
          <a:p>
            <a:pPr>
              <a:defRPr sz="788" b="1" i="0" u="none" strike="noStrike" baseline="0">
                <a:solidFill>
                  <a:srgbClr val="000000"/>
                </a:solidFill>
                <a:latin typeface="Calibri"/>
                <a:ea typeface="Calibri"/>
                <a:cs typeface="Calibri"/>
              </a:defRPr>
            </a:pPr>
            <a:endParaRPr lang="ro-RO"/>
          </a:p>
        </c:txPr>
        <c:crossAx val="209612208"/>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00000" mc:Ignorable="a14" a14:legacySpreadsheetColorIndex="9">
                <a:gamma/>
                <a:shade val="46275"/>
                <a:invGamma/>
              </a:srgbClr>
            </a:gs>
          </a:gsLst>
          <a:lin ang="5400000" scaled="1"/>
        </a:gradFill>
        <a:ln w="11767">
          <a:solidFill>
            <a:srgbClr val="FFFFFF"/>
          </a:solidFill>
          <a:prstDash val="solid"/>
        </a:ln>
      </c:spPr>
    </c:plotArea>
    <c:legend>
      <c:legendPos val="r"/>
      <c:layout>
        <c:manualLayout>
          <c:xMode val="edge"/>
          <c:yMode val="edge"/>
          <c:x val="0.87005649717514122"/>
          <c:y val="0.39428571428571429"/>
          <c:w val="0.1224105461393597"/>
          <c:h val="0.1657142857142857"/>
        </c:manualLayout>
      </c:layout>
      <c:overlay val="0"/>
      <c:spPr>
        <a:noFill/>
        <a:ln w="2942">
          <a:solidFill>
            <a:srgbClr val="000000"/>
          </a:solidFill>
          <a:prstDash val="solid"/>
        </a:ln>
      </c:spPr>
      <c:txPr>
        <a:bodyPr/>
        <a:lstStyle/>
        <a:p>
          <a:pPr>
            <a:defRPr sz="723" b="1" i="0" u="none" strike="noStrike" baseline="0">
              <a:solidFill>
                <a:srgbClr val="000000"/>
              </a:solidFill>
              <a:latin typeface="Calibri"/>
              <a:ea typeface="Calibri"/>
              <a:cs typeface="Calibri"/>
            </a:defRPr>
          </a:pPr>
          <a:endParaRPr lang="ro-RO"/>
        </a:p>
      </c:txPr>
    </c:legend>
    <c:plotVisOnly val="1"/>
    <c:dispBlanksAs val="gap"/>
    <c:showDLblsOverMax val="0"/>
  </c:chart>
  <c:spPr>
    <a:solidFill>
      <a:srgbClr val="FFFFFF"/>
    </a:solidFill>
    <a:ln>
      <a:noFill/>
    </a:ln>
  </c:spPr>
  <c:txPr>
    <a:bodyPr/>
    <a:lstStyle/>
    <a:p>
      <a:pPr>
        <a:defRPr sz="1413" b="1" i="0" u="none" strike="noStrike" baseline="0">
          <a:solidFill>
            <a:srgbClr val="000000"/>
          </a:solidFill>
          <a:latin typeface="Calibri"/>
          <a:ea typeface="Calibri"/>
          <a:cs typeface="Calibri"/>
        </a:defRPr>
      </a:pPr>
      <a:endParaRPr lang="ro-RO"/>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01286173633438E-2"/>
          <c:y val="6.0344827586206899E-2"/>
          <c:w val="0.82958199356913187"/>
          <c:h val="0.7931034482758621"/>
        </c:manualLayout>
      </c:layout>
      <c:lineChart>
        <c:grouping val="standard"/>
        <c:varyColors val="0"/>
        <c:ser>
          <c:idx val="0"/>
          <c:order val="0"/>
          <c:tx>
            <c:strRef>
              <c:f>Sheet1!$B$1</c:f>
              <c:strCache>
                <c:ptCount val="1"/>
                <c:pt idx="0">
                  <c:v> </c:v>
                </c:pt>
              </c:strCache>
            </c:strRef>
          </c:tx>
          <c:spPr>
            <a:ln w="23534">
              <a:solidFill>
                <a:srgbClr val="00CCFF"/>
              </a:solidFill>
              <a:prstDash val="solid"/>
            </a:ln>
          </c:spPr>
          <c:marker>
            <c:symbol val="diamond"/>
            <c:size val="6"/>
            <c:spPr>
              <a:solidFill>
                <a:srgbClr val="000080"/>
              </a:solidFill>
              <a:ln>
                <a:solidFill>
                  <a:srgbClr val="000080"/>
                </a:solidFill>
                <a:prstDash val="solid"/>
              </a:ln>
            </c:spPr>
          </c:marker>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18089</c:v>
                </c:pt>
                <c:pt idx="1">
                  <c:v>14279</c:v>
                </c:pt>
                <c:pt idx="2">
                  <c:v>14072</c:v>
                </c:pt>
                <c:pt idx="3">
                  <c:v>16711</c:v>
                </c:pt>
                <c:pt idx="4">
                  <c:v>18827</c:v>
                </c:pt>
                <c:pt idx="5">
                  <c:v>18595</c:v>
                </c:pt>
                <c:pt idx="6">
                  <c:v>19590</c:v>
                </c:pt>
                <c:pt idx="7">
                  <c:v>22010</c:v>
                </c:pt>
                <c:pt idx="8">
                  <c:v>18010</c:v>
                </c:pt>
              </c:numCache>
            </c:numRef>
          </c:val>
          <c:smooth val="0"/>
          <c:extLst>
            <c:ext xmlns:c16="http://schemas.microsoft.com/office/drawing/2014/chart" uri="{C3380CC4-5D6E-409C-BE32-E72D297353CC}">
              <c16:uniqueId val="{00000000-A1A6-4F40-BD53-64701B4D9973}"/>
            </c:ext>
          </c:extLst>
        </c:ser>
        <c:dLbls>
          <c:showLegendKey val="0"/>
          <c:showVal val="0"/>
          <c:showCatName val="0"/>
          <c:showSerName val="0"/>
          <c:showPercent val="0"/>
          <c:showBubbleSize val="0"/>
        </c:dLbls>
        <c:marker val="1"/>
        <c:smooth val="0"/>
        <c:axId val="209650144"/>
        <c:axId val="1"/>
      </c:lineChart>
      <c:catAx>
        <c:axId val="209650144"/>
        <c:scaling>
          <c:orientation val="minMax"/>
        </c:scaling>
        <c:delete val="0"/>
        <c:axPos val="b"/>
        <c:numFmt formatCode="General" sourceLinked="1"/>
        <c:majorTickMark val="out"/>
        <c:minorTickMark val="none"/>
        <c:tickLblPos val="nextTo"/>
        <c:spPr>
          <a:ln w="2942">
            <a:solidFill>
              <a:srgbClr val="000000"/>
            </a:solidFill>
            <a:prstDash val="solid"/>
          </a:ln>
        </c:spPr>
        <c:txPr>
          <a:bodyPr rot="0" vert="horz"/>
          <a:lstStyle/>
          <a:p>
            <a:pPr>
              <a:defRPr sz="741" b="1" i="0" u="none" strike="noStrike" baseline="0">
                <a:solidFill>
                  <a:srgbClr val="000000"/>
                </a:solidFill>
                <a:latin typeface="Calibri"/>
                <a:ea typeface="Calibri"/>
                <a:cs typeface="Calibri"/>
              </a:defRPr>
            </a:pPr>
            <a:endParaRPr lang="ro-RO"/>
          </a:p>
        </c:txPr>
        <c:crossAx val="1"/>
        <c:crosses val="autoZero"/>
        <c:auto val="1"/>
        <c:lblAlgn val="ctr"/>
        <c:lblOffset val="100"/>
        <c:tickMarkSkip val="1"/>
        <c:noMultiLvlLbl val="0"/>
      </c:catAx>
      <c:valAx>
        <c:axId val="1"/>
        <c:scaling>
          <c:orientation val="minMax"/>
        </c:scaling>
        <c:delete val="0"/>
        <c:axPos val="l"/>
        <c:numFmt formatCode="General" sourceLinked="1"/>
        <c:majorTickMark val="out"/>
        <c:minorTickMark val="none"/>
        <c:tickLblPos val="nextTo"/>
        <c:spPr>
          <a:ln w="2942">
            <a:solidFill>
              <a:srgbClr val="000000"/>
            </a:solidFill>
            <a:prstDash val="solid"/>
          </a:ln>
        </c:spPr>
        <c:txPr>
          <a:bodyPr rot="0" vert="horz"/>
          <a:lstStyle/>
          <a:p>
            <a:pPr>
              <a:defRPr sz="741" b="1" i="0" u="none" strike="noStrike" baseline="0">
                <a:solidFill>
                  <a:srgbClr val="000000"/>
                </a:solidFill>
                <a:latin typeface="Calibri"/>
                <a:ea typeface="Calibri"/>
                <a:cs typeface="Calibri"/>
              </a:defRPr>
            </a:pPr>
            <a:endParaRPr lang="ro-RO"/>
          </a:p>
        </c:txPr>
        <c:crossAx val="209650144"/>
        <c:crosses val="autoZero"/>
        <c:crossBetween val="between"/>
      </c:valAx>
      <c:dTable>
        <c:showHorzBorder val="1"/>
        <c:showVertBorder val="1"/>
        <c:showOutline val="1"/>
        <c:showKeys val="1"/>
        <c:spPr>
          <a:ln w="2942">
            <a:solidFill>
              <a:srgbClr val="000000"/>
            </a:solidFill>
            <a:prstDash val="solid"/>
          </a:ln>
        </c:spPr>
        <c:txPr>
          <a:bodyPr/>
          <a:lstStyle/>
          <a:p>
            <a:pPr rtl="0">
              <a:defRPr sz="741" b="1" i="0" u="none" strike="noStrike" baseline="0">
                <a:solidFill>
                  <a:srgbClr val="000000"/>
                </a:solidFill>
                <a:latin typeface="Calibri"/>
                <a:ea typeface="Calibri"/>
                <a:cs typeface="Calibri"/>
              </a:defRPr>
            </a:pPr>
            <a:endParaRPr lang="ro-RO"/>
          </a:p>
        </c:txPr>
      </c:dTable>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11767">
          <a:solidFill>
            <a:srgbClr val="FFFFFF"/>
          </a:solidFill>
          <a:prstDash val="solid"/>
        </a:ln>
      </c:spPr>
    </c:plotArea>
    <c:legend>
      <c:legendPos val="r"/>
      <c:layout>
        <c:manualLayout>
          <c:xMode val="edge"/>
          <c:yMode val="edge"/>
          <c:x val="0.92926045016077174"/>
          <c:y val="0.42528735632183906"/>
          <c:w val="6.4308681672025719E-2"/>
          <c:h val="5.7471264367816091E-2"/>
        </c:manualLayout>
      </c:layout>
      <c:overlay val="0"/>
      <c:spPr>
        <a:solidFill>
          <a:srgbClr val="FFFFFF"/>
        </a:solidFill>
        <a:ln w="2942">
          <a:solidFill>
            <a:srgbClr val="000000"/>
          </a:solidFill>
          <a:prstDash val="solid"/>
        </a:ln>
      </c:spPr>
      <c:txPr>
        <a:bodyPr/>
        <a:lstStyle/>
        <a:p>
          <a:pPr>
            <a:defRPr sz="681" b="1" i="0" u="none" strike="noStrike" baseline="0">
              <a:solidFill>
                <a:srgbClr val="000000"/>
              </a:solidFill>
              <a:latin typeface="Calibri"/>
              <a:ea typeface="Calibri"/>
              <a:cs typeface="Calibri"/>
            </a:defRPr>
          </a:pPr>
          <a:endParaRPr lang="ro-RO"/>
        </a:p>
      </c:txPr>
    </c:legend>
    <c:plotVisOnly val="1"/>
    <c:dispBlanksAs val="gap"/>
    <c:showDLblsOverMax val="0"/>
  </c:chart>
  <c:spPr>
    <a:noFill/>
    <a:ln>
      <a:noFill/>
    </a:ln>
  </c:spPr>
  <c:txPr>
    <a:bodyPr/>
    <a:lstStyle/>
    <a:p>
      <a:pPr>
        <a:defRPr sz="741" b="1" i="0" u="none" strike="noStrike" baseline="0">
          <a:solidFill>
            <a:srgbClr val="000000"/>
          </a:solidFill>
          <a:latin typeface="Calibri"/>
          <a:ea typeface="Calibri"/>
          <a:cs typeface="Calibri"/>
        </a:defRPr>
      </a:pPr>
      <a:endParaRPr lang="ro-RO"/>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333333333333329E-2"/>
          <c:y val="8.171206225680934E-2"/>
          <c:w val="0.83012820512820518"/>
          <c:h val="0.71984435797665369"/>
        </c:manualLayout>
      </c:layout>
      <c:lineChart>
        <c:grouping val="standard"/>
        <c:varyColors val="0"/>
        <c:ser>
          <c:idx val="0"/>
          <c:order val="0"/>
          <c:tx>
            <c:strRef>
              <c:f>Sheet1!$B$1</c:f>
              <c:strCache>
                <c:ptCount val="1"/>
                <c:pt idx="0">
                  <c:v> </c:v>
                </c:pt>
              </c:strCache>
            </c:strRef>
          </c:tx>
          <c:spPr>
            <a:ln w="23536">
              <a:solidFill>
                <a:srgbClr val="008000"/>
              </a:solidFill>
              <a:prstDash val="solid"/>
            </a:ln>
          </c:spPr>
          <c:marker>
            <c:symbol val="diamond"/>
            <c:size val="6"/>
            <c:spPr>
              <a:solidFill>
                <a:srgbClr val="000080"/>
              </a:solidFill>
              <a:ln>
                <a:solidFill>
                  <a:srgbClr val="000080"/>
                </a:solidFill>
                <a:prstDash val="solid"/>
              </a:ln>
            </c:spPr>
          </c:marker>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12790</c:v>
                </c:pt>
                <c:pt idx="1">
                  <c:v>10853</c:v>
                </c:pt>
                <c:pt idx="2">
                  <c:v>10051</c:v>
                </c:pt>
                <c:pt idx="3">
                  <c:v>4990</c:v>
                </c:pt>
                <c:pt idx="4">
                  <c:v>4467</c:v>
                </c:pt>
                <c:pt idx="5">
                  <c:v>30515</c:v>
                </c:pt>
                <c:pt idx="6">
                  <c:v>28670</c:v>
                </c:pt>
                <c:pt idx="7">
                  <c:v>4210</c:v>
                </c:pt>
                <c:pt idx="8">
                  <c:v>3680</c:v>
                </c:pt>
              </c:numCache>
            </c:numRef>
          </c:val>
          <c:smooth val="0"/>
          <c:extLst>
            <c:ext xmlns:c16="http://schemas.microsoft.com/office/drawing/2014/chart" uri="{C3380CC4-5D6E-409C-BE32-E72D297353CC}">
              <c16:uniqueId val="{00000000-D79C-408D-8BAE-9DD1325829CE}"/>
            </c:ext>
          </c:extLst>
        </c:ser>
        <c:dLbls>
          <c:showLegendKey val="0"/>
          <c:showVal val="0"/>
          <c:showCatName val="0"/>
          <c:showSerName val="0"/>
          <c:showPercent val="0"/>
          <c:showBubbleSize val="0"/>
        </c:dLbls>
        <c:marker val="1"/>
        <c:smooth val="0"/>
        <c:axId val="160211976"/>
        <c:axId val="1"/>
      </c:lineChart>
      <c:catAx>
        <c:axId val="160211976"/>
        <c:scaling>
          <c:orientation val="minMax"/>
        </c:scaling>
        <c:delete val="0"/>
        <c:axPos val="b"/>
        <c:numFmt formatCode="General" sourceLinked="1"/>
        <c:majorTickMark val="out"/>
        <c:minorTickMark val="none"/>
        <c:tickLblPos val="nextTo"/>
        <c:spPr>
          <a:ln w="2942">
            <a:solidFill>
              <a:srgbClr val="000000"/>
            </a:solidFill>
            <a:prstDash val="solid"/>
          </a:ln>
        </c:spPr>
        <c:txPr>
          <a:bodyPr rot="0" vert="horz"/>
          <a:lstStyle/>
          <a:p>
            <a:pPr>
              <a:defRPr sz="741" b="1" i="0" u="none" strike="noStrike" baseline="0">
                <a:solidFill>
                  <a:srgbClr val="000000"/>
                </a:solidFill>
                <a:latin typeface="Calibri"/>
                <a:ea typeface="Calibri"/>
                <a:cs typeface="Calibri"/>
              </a:defRPr>
            </a:pPr>
            <a:endParaRPr lang="ro-RO"/>
          </a:p>
        </c:txPr>
        <c:crossAx val="1"/>
        <c:crosses val="autoZero"/>
        <c:auto val="1"/>
        <c:lblAlgn val="ctr"/>
        <c:lblOffset val="100"/>
        <c:tickMarkSkip val="1"/>
        <c:noMultiLvlLbl val="0"/>
      </c:catAx>
      <c:valAx>
        <c:axId val="1"/>
        <c:scaling>
          <c:orientation val="minMax"/>
        </c:scaling>
        <c:delete val="0"/>
        <c:axPos val="l"/>
        <c:numFmt formatCode="General" sourceLinked="1"/>
        <c:majorTickMark val="out"/>
        <c:minorTickMark val="none"/>
        <c:tickLblPos val="nextTo"/>
        <c:spPr>
          <a:ln w="2942">
            <a:solidFill>
              <a:srgbClr val="000000"/>
            </a:solidFill>
            <a:prstDash val="solid"/>
          </a:ln>
        </c:spPr>
        <c:txPr>
          <a:bodyPr rot="0" vert="horz"/>
          <a:lstStyle/>
          <a:p>
            <a:pPr>
              <a:defRPr sz="741" b="1" i="0" u="none" strike="noStrike" baseline="0">
                <a:solidFill>
                  <a:srgbClr val="000000"/>
                </a:solidFill>
                <a:latin typeface="Calibri"/>
                <a:ea typeface="Calibri"/>
                <a:cs typeface="Calibri"/>
              </a:defRPr>
            </a:pPr>
            <a:endParaRPr lang="ro-RO"/>
          </a:p>
        </c:txPr>
        <c:crossAx val="160211976"/>
        <c:crosses val="autoZero"/>
        <c:crossBetween val="between"/>
      </c:valAx>
      <c:dTable>
        <c:showHorzBorder val="1"/>
        <c:showVertBorder val="1"/>
        <c:showOutline val="1"/>
        <c:showKeys val="1"/>
        <c:spPr>
          <a:ln w="2942">
            <a:solidFill>
              <a:srgbClr val="000000"/>
            </a:solidFill>
            <a:prstDash val="solid"/>
          </a:ln>
        </c:spPr>
        <c:txPr>
          <a:bodyPr/>
          <a:lstStyle/>
          <a:p>
            <a:pPr rtl="0">
              <a:defRPr sz="741" b="1" i="0" u="none" strike="noStrike" baseline="0">
                <a:solidFill>
                  <a:srgbClr val="000000"/>
                </a:solidFill>
                <a:latin typeface="Calibri"/>
                <a:ea typeface="Calibri"/>
                <a:cs typeface="Calibri"/>
              </a:defRPr>
            </a:pPr>
            <a:endParaRPr lang="ro-RO"/>
          </a:p>
        </c:txPr>
      </c:dTable>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11768">
          <a:solidFill>
            <a:srgbClr val="FFFFFF"/>
          </a:solidFill>
          <a:prstDash val="solid"/>
        </a:ln>
      </c:spPr>
    </c:plotArea>
    <c:legend>
      <c:legendPos val="r"/>
      <c:layout>
        <c:manualLayout>
          <c:xMode val="edge"/>
          <c:yMode val="edge"/>
          <c:x val="0.92948717948717952"/>
          <c:y val="0.40077821011673154"/>
          <c:w val="6.4102564102564097E-2"/>
          <c:h val="7.7821011673151752E-2"/>
        </c:manualLayout>
      </c:layout>
      <c:overlay val="0"/>
      <c:spPr>
        <a:solidFill>
          <a:srgbClr val="FFFFFF"/>
        </a:solidFill>
        <a:ln w="2942">
          <a:solidFill>
            <a:srgbClr val="000000"/>
          </a:solidFill>
          <a:prstDash val="solid"/>
        </a:ln>
      </c:spPr>
      <c:txPr>
        <a:bodyPr/>
        <a:lstStyle/>
        <a:p>
          <a:pPr>
            <a:defRPr sz="681" b="1" i="0" u="none" strike="noStrike" baseline="0">
              <a:solidFill>
                <a:srgbClr val="000000"/>
              </a:solidFill>
              <a:latin typeface="Calibri"/>
              <a:ea typeface="Calibri"/>
              <a:cs typeface="Calibri"/>
            </a:defRPr>
          </a:pPr>
          <a:endParaRPr lang="ro-RO"/>
        </a:p>
      </c:txPr>
    </c:legend>
    <c:plotVisOnly val="1"/>
    <c:dispBlanksAs val="gap"/>
    <c:showDLblsOverMax val="0"/>
  </c:chart>
  <c:spPr>
    <a:noFill/>
    <a:ln>
      <a:noFill/>
    </a:ln>
  </c:spPr>
  <c:txPr>
    <a:bodyPr/>
    <a:lstStyle/>
    <a:p>
      <a:pPr>
        <a:defRPr sz="741" b="1" i="0" u="none" strike="noStrike" baseline="0">
          <a:solidFill>
            <a:srgbClr val="000000"/>
          </a:solidFill>
          <a:latin typeface="Calibri"/>
          <a:ea typeface="Calibri"/>
          <a:cs typeface="Calibri"/>
        </a:defRPr>
      </a:pPr>
      <a:endParaRPr lang="ro-RO"/>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73913043478259E-2"/>
          <c:y val="5.8047493403693931E-2"/>
          <c:w val="0.76521739130434785"/>
          <c:h val="0.83905013192612132"/>
        </c:manualLayout>
      </c:layout>
      <c:lineChart>
        <c:grouping val="standard"/>
        <c:varyColors val="0"/>
        <c:ser>
          <c:idx val="0"/>
          <c:order val="0"/>
          <c:tx>
            <c:strRef>
              <c:f>Sheet1!$A$2</c:f>
              <c:strCache>
                <c:ptCount val="1"/>
                <c:pt idx="0">
                  <c:v>total</c:v>
                </c:pt>
              </c:strCache>
            </c:strRef>
          </c:tx>
          <c:spPr>
            <a:ln w="23595">
              <a:solidFill>
                <a:srgbClr val="000080"/>
              </a:solidFill>
              <a:prstDash val="solid"/>
            </a:ln>
          </c:spPr>
          <c:marker>
            <c:symbol val="diamond"/>
            <c:size val="6"/>
            <c:spPr>
              <a:solidFill>
                <a:srgbClr val="000080"/>
              </a:solidFill>
              <a:ln>
                <a:solidFill>
                  <a:srgbClr val="000080"/>
                </a:solidFill>
                <a:prstDash val="solid"/>
              </a:ln>
            </c:spPr>
          </c:marker>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18683</c:v>
                </c:pt>
                <c:pt idx="1">
                  <c:v>17145</c:v>
                </c:pt>
                <c:pt idx="2">
                  <c:v>7517</c:v>
                </c:pt>
                <c:pt idx="3">
                  <c:v>9130</c:v>
                </c:pt>
                <c:pt idx="4">
                  <c:v>8413</c:v>
                </c:pt>
                <c:pt idx="5">
                  <c:v>8669</c:v>
                </c:pt>
              </c:numCache>
            </c:numRef>
          </c:val>
          <c:smooth val="0"/>
          <c:extLst>
            <c:ext xmlns:c16="http://schemas.microsoft.com/office/drawing/2014/chart" uri="{C3380CC4-5D6E-409C-BE32-E72D297353CC}">
              <c16:uniqueId val="{00000000-E202-47A7-A0DA-E0DCCBE67F94}"/>
            </c:ext>
          </c:extLst>
        </c:ser>
        <c:ser>
          <c:idx val="1"/>
          <c:order val="1"/>
          <c:tx>
            <c:strRef>
              <c:f>Sheet1!$A$3</c:f>
              <c:strCache>
                <c:ptCount val="1"/>
                <c:pt idx="0">
                  <c:v>urban</c:v>
                </c:pt>
              </c:strCache>
            </c:strRef>
          </c:tx>
          <c:spPr>
            <a:ln w="23595">
              <a:solidFill>
                <a:srgbClr val="FF00FF"/>
              </a:solidFill>
              <a:prstDash val="solid"/>
            </a:ln>
          </c:spPr>
          <c:marker>
            <c:symbol val="square"/>
            <c:size val="6"/>
            <c:spPr>
              <a:solidFill>
                <a:srgbClr val="FF00FF"/>
              </a:solidFill>
              <a:ln>
                <a:solidFill>
                  <a:srgbClr val="FF00FF"/>
                </a:solidFill>
                <a:prstDash val="solid"/>
              </a:ln>
            </c:spPr>
          </c:marker>
          <c:cat>
            <c:numRef>
              <c:f>Sheet1!$B$1:$G$1</c:f>
              <c:numCache>
                <c:formatCode>General</c:formatCode>
                <c:ptCount val="6"/>
                <c:pt idx="0">
                  <c:v>2012</c:v>
                </c:pt>
                <c:pt idx="1">
                  <c:v>2013</c:v>
                </c:pt>
                <c:pt idx="2">
                  <c:v>2014</c:v>
                </c:pt>
                <c:pt idx="3">
                  <c:v>2015</c:v>
                </c:pt>
                <c:pt idx="4">
                  <c:v>2016</c:v>
                </c:pt>
                <c:pt idx="5">
                  <c:v>2017</c:v>
                </c:pt>
              </c:numCache>
            </c:numRef>
          </c:cat>
          <c:val>
            <c:numRef>
              <c:f>Sheet1!$B$3:$G$3</c:f>
              <c:numCache>
                <c:formatCode>General</c:formatCode>
                <c:ptCount val="6"/>
                <c:pt idx="0">
                  <c:v>18257</c:v>
                </c:pt>
                <c:pt idx="1">
                  <c:v>16719</c:v>
                </c:pt>
                <c:pt idx="2">
                  <c:v>5643</c:v>
                </c:pt>
                <c:pt idx="3">
                  <c:v>8969</c:v>
                </c:pt>
                <c:pt idx="4">
                  <c:v>8252</c:v>
                </c:pt>
                <c:pt idx="5">
                  <c:v>8117</c:v>
                </c:pt>
              </c:numCache>
            </c:numRef>
          </c:val>
          <c:smooth val="0"/>
          <c:extLst>
            <c:ext xmlns:c16="http://schemas.microsoft.com/office/drawing/2014/chart" uri="{C3380CC4-5D6E-409C-BE32-E72D297353CC}">
              <c16:uniqueId val="{00000001-E202-47A7-A0DA-E0DCCBE67F94}"/>
            </c:ext>
          </c:extLst>
        </c:ser>
        <c:ser>
          <c:idx val="2"/>
          <c:order val="2"/>
          <c:tx>
            <c:strRef>
              <c:f>Sheet1!$A$4</c:f>
              <c:strCache>
                <c:ptCount val="1"/>
                <c:pt idx="0">
                  <c:v>rural</c:v>
                </c:pt>
              </c:strCache>
            </c:strRef>
          </c:tx>
          <c:spPr>
            <a:ln w="23595">
              <a:solidFill>
                <a:srgbClr val="339966"/>
              </a:solidFill>
              <a:prstDash val="solid"/>
            </a:ln>
          </c:spPr>
          <c:marker>
            <c:symbol val="triangle"/>
            <c:size val="8"/>
            <c:spPr>
              <a:solidFill>
                <a:srgbClr val="339966"/>
              </a:solidFill>
              <a:ln>
                <a:solidFill>
                  <a:srgbClr val="339966"/>
                </a:solidFill>
                <a:prstDash val="solid"/>
              </a:ln>
            </c:spPr>
          </c:marker>
          <c:cat>
            <c:numRef>
              <c:f>Sheet1!$B$1:$G$1</c:f>
              <c:numCache>
                <c:formatCode>General</c:formatCode>
                <c:ptCount val="6"/>
                <c:pt idx="0">
                  <c:v>2012</c:v>
                </c:pt>
                <c:pt idx="1">
                  <c:v>2013</c:v>
                </c:pt>
                <c:pt idx="2">
                  <c:v>2014</c:v>
                </c:pt>
                <c:pt idx="3">
                  <c:v>2015</c:v>
                </c:pt>
                <c:pt idx="4">
                  <c:v>2016</c:v>
                </c:pt>
                <c:pt idx="5">
                  <c:v>2017</c:v>
                </c:pt>
              </c:numCache>
            </c:numRef>
          </c:cat>
          <c:val>
            <c:numRef>
              <c:f>Sheet1!$B$4:$G$4</c:f>
              <c:numCache>
                <c:formatCode>General</c:formatCode>
                <c:ptCount val="6"/>
                <c:pt idx="0">
                  <c:v>426</c:v>
                </c:pt>
                <c:pt idx="1">
                  <c:v>426</c:v>
                </c:pt>
                <c:pt idx="2">
                  <c:v>1874</c:v>
                </c:pt>
                <c:pt idx="3">
                  <c:v>162</c:v>
                </c:pt>
                <c:pt idx="4">
                  <c:v>161</c:v>
                </c:pt>
                <c:pt idx="5">
                  <c:v>552</c:v>
                </c:pt>
              </c:numCache>
            </c:numRef>
          </c:val>
          <c:smooth val="0"/>
          <c:extLst>
            <c:ext xmlns:c16="http://schemas.microsoft.com/office/drawing/2014/chart" uri="{C3380CC4-5D6E-409C-BE32-E72D297353CC}">
              <c16:uniqueId val="{00000002-E202-47A7-A0DA-E0DCCBE67F94}"/>
            </c:ext>
          </c:extLst>
        </c:ser>
        <c:dLbls>
          <c:showLegendKey val="0"/>
          <c:showVal val="0"/>
          <c:showCatName val="0"/>
          <c:showSerName val="0"/>
          <c:showPercent val="0"/>
          <c:showBubbleSize val="0"/>
        </c:dLbls>
        <c:marker val="1"/>
        <c:smooth val="0"/>
        <c:axId val="160215912"/>
        <c:axId val="1"/>
      </c:lineChart>
      <c:catAx>
        <c:axId val="160215912"/>
        <c:scaling>
          <c:orientation val="minMax"/>
        </c:scaling>
        <c:delete val="0"/>
        <c:axPos val="b"/>
        <c:numFmt formatCode="General" sourceLinked="1"/>
        <c:majorTickMark val="out"/>
        <c:minorTickMark val="none"/>
        <c:tickLblPos val="nextTo"/>
        <c:spPr>
          <a:ln w="2949">
            <a:solidFill>
              <a:srgbClr val="000000"/>
            </a:solidFill>
            <a:prstDash val="solid"/>
          </a:ln>
        </c:spPr>
        <c:txPr>
          <a:bodyPr rot="0" vert="horz"/>
          <a:lstStyle/>
          <a:p>
            <a:pPr>
              <a:defRPr sz="836" b="1" i="0" u="none" strike="noStrike" baseline="0">
                <a:solidFill>
                  <a:srgbClr val="000000"/>
                </a:solidFill>
                <a:latin typeface="Calibri"/>
                <a:ea typeface="Calibri"/>
                <a:cs typeface="Calibri"/>
              </a:defRPr>
            </a:pPr>
            <a:endParaRPr lang="ro-RO"/>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2949">
            <a:solidFill>
              <a:srgbClr val="000000"/>
            </a:solidFill>
            <a:prstDash val="solid"/>
          </a:ln>
        </c:spPr>
        <c:txPr>
          <a:bodyPr rot="0" vert="horz"/>
          <a:lstStyle/>
          <a:p>
            <a:pPr>
              <a:defRPr sz="836" b="1" i="0" u="none" strike="noStrike" baseline="0">
                <a:solidFill>
                  <a:srgbClr val="000000"/>
                </a:solidFill>
                <a:latin typeface="Calibri"/>
                <a:ea typeface="Calibri"/>
                <a:cs typeface="Calibri"/>
              </a:defRPr>
            </a:pPr>
            <a:endParaRPr lang="ro-RO"/>
          </a:p>
        </c:txPr>
        <c:crossAx val="160215912"/>
        <c:crosses val="autoZero"/>
        <c:crossBetween val="between"/>
      </c:valAx>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23595">
          <a:noFill/>
        </a:ln>
      </c:spPr>
    </c:plotArea>
    <c:legend>
      <c:legendPos val="r"/>
      <c:layout>
        <c:manualLayout>
          <c:xMode val="edge"/>
          <c:yMode val="edge"/>
          <c:x val="0.87478260869565216"/>
          <c:y val="0.39577836411609496"/>
          <c:w val="0.11826086956521739"/>
          <c:h val="0.16094986807387862"/>
        </c:manualLayout>
      </c:layout>
      <c:overlay val="0"/>
      <c:spPr>
        <a:noFill/>
        <a:ln w="2949">
          <a:solidFill>
            <a:srgbClr val="000000"/>
          </a:solidFill>
          <a:prstDash val="solid"/>
        </a:ln>
      </c:spPr>
      <c:txPr>
        <a:bodyPr/>
        <a:lstStyle/>
        <a:p>
          <a:pPr>
            <a:defRPr sz="766" b="1" i="0" u="none" strike="noStrike" baseline="0">
              <a:solidFill>
                <a:srgbClr val="000000"/>
              </a:solidFill>
              <a:latin typeface="Calibri"/>
              <a:ea typeface="Calibri"/>
              <a:cs typeface="Calibri"/>
            </a:defRPr>
          </a:pPr>
          <a:endParaRPr lang="ro-RO"/>
        </a:p>
      </c:txPr>
    </c:legend>
    <c:plotVisOnly val="1"/>
    <c:dispBlanksAs val="gap"/>
    <c:showDLblsOverMax val="0"/>
  </c:chart>
  <c:spPr>
    <a:noFill/>
    <a:ln>
      <a:noFill/>
    </a:ln>
  </c:spPr>
  <c:txPr>
    <a:bodyPr/>
    <a:lstStyle/>
    <a:p>
      <a:pPr>
        <a:defRPr sz="1719" b="1" i="0" u="none" strike="noStrike" baseline="0">
          <a:solidFill>
            <a:srgbClr val="000000"/>
          </a:solidFill>
          <a:latin typeface="Calibri"/>
          <a:ea typeface="Calibri"/>
          <a:cs typeface="Calibri"/>
        </a:defRPr>
      </a:pPr>
      <a:endParaRPr lang="ro-RO"/>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65116279069767E-2"/>
          <c:y val="7.7490774907749083E-2"/>
          <c:w val="0.78914728682170543"/>
          <c:h val="0.78966789667896675"/>
        </c:manualLayout>
      </c:layout>
      <c:lineChart>
        <c:grouping val="standard"/>
        <c:varyColors val="0"/>
        <c:ser>
          <c:idx val="0"/>
          <c:order val="0"/>
          <c:tx>
            <c:strRef>
              <c:f>Sheet1!$A$2</c:f>
              <c:strCache>
                <c:ptCount val="1"/>
                <c:pt idx="0">
                  <c:v>total [%]</c:v>
                </c:pt>
              </c:strCache>
            </c:strRef>
          </c:tx>
          <c:spPr>
            <a:ln w="23535">
              <a:solidFill>
                <a:srgbClr val="000080"/>
              </a:solidFill>
              <a:prstDash val="solid"/>
            </a:ln>
          </c:spPr>
          <c:marker>
            <c:symbol val="diamond"/>
            <c:size val="6"/>
            <c:spPr>
              <a:solidFill>
                <a:srgbClr val="000080"/>
              </a:solidFill>
              <a:ln>
                <a:solidFill>
                  <a:srgbClr val="000080"/>
                </a:solidFill>
                <a:prstDash val="solid"/>
              </a:ln>
            </c:spPr>
          </c:marker>
          <c:cat>
            <c:numRef>
              <c:f>Sheet1!$B$1:$J$1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Sheet1!$B$2:$J$2</c:f>
              <c:numCache>
                <c:formatCode>General</c:formatCode>
                <c:ptCount val="9"/>
                <c:pt idx="0">
                  <c:v>49.13</c:v>
                </c:pt>
                <c:pt idx="1">
                  <c:v>58.26</c:v>
                </c:pt>
                <c:pt idx="2">
                  <c:v>80.239999999999995</c:v>
                </c:pt>
                <c:pt idx="3">
                  <c:v>93.67</c:v>
                </c:pt>
                <c:pt idx="4">
                  <c:v>92.26</c:v>
                </c:pt>
                <c:pt idx="5">
                  <c:v>87.1</c:v>
                </c:pt>
                <c:pt idx="6">
                  <c:v>87.45</c:v>
                </c:pt>
                <c:pt idx="7">
                  <c:v>88.25</c:v>
                </c:pt>
                <c:pt idx="8">
                  <c:v>87.1</c:v>
                </c:pt>
              </c:numCache>
            </c:numRef>
          </c:val>
          <c:smooth val="0"/>
          <c:extLst>
            <c:ext xmlns:c16="http://schemas.microsoft.com/office/drawing/2014/chart" uri="{C3380CC4-5D6E-409C-BE32-E72D297353CC}">
              <c16:uniqueId val="{00000000-46AB-4049-81B3-E71CB3B0610C}"/>
            </c:ext>
          </c:extLst>
        </c:ser>
        <c:ser>
          <c:idx val="1"/>
          <c:order val="1"/>
          <c:tx>
            <c:strRef>
              <c:f>Sheet1!$A$3</c:f>
              <c:strCache>
                <c:ptCount val="1"/>
                <c:pt idx="0">
                  <c:v>urban [%]</c:v>
                </c:pt>
              </c:strCache>
            </c:strRef>
          </c:tx>
          <c:spPr>
            <a:ln w="23535">
              <a:solidFill>
                <a:srgbClr val="FF00FF"/>
              </a:solidFill>
              <a:prstDash val="solid"/>
            </a:ln>
          </c:spPr>
          <c:marker>
            <c:symbol val="square"/>
            <c:size val="6"/>
            <c:spPr>
              <a:solidFill>
                <a:srgbClr val="FF00FF"/>
              </a:solidFill>
              <a:ln>
                <a:solidFill>
                  <a:srgbClr val="FF00FF"/>
                </a:solidFill>
                <a:prstDash val="solid"/>
              </a:ln>
            </c:spPr>
          </c:marker>
          <c:cat>
            <c:numRef>
              <c:f>Sheet1!$B$1:$J$1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Sheet1!$B$3:$J$3</c:f>
              <c:numCache>
                <c:formatCode>General</c:formatCode>
                <c:ptCount val="9"/>
                <c:pt idx="0">
                  <c:v>69.17</c:v>
                </c:pt>
                <c:pt idx="1">
                  <c:v>67.63</c:v>
                </c:pt>
                <c:pt idx="2">
                  <c:v>70.36</c:v>
                </c:pt>
                <c:pt idx="3">
                  <c:v>91.88</c:v>
                </c:pt>
                <c:pt idx="4">
                  <c:v>88.75</c:v>
                </c:pt>
                <c:pt idx="5">
                  <c:v>87.9</c:v>
                </c:pt>
                <c:pt idx="6">
                  <c:v>80.53</c:v>
                </c:pt>
                <c:pt idx="7">
                  <c:v>81.77</c:v>
                </c:pt>
                <c:pt idx="8">
                  <c:v>81.760000000000005</c:v>
                </c:pt>
              </c:numCache>
            </c:numRef>
          </c:val>
          <c:smooth val="0"/>
          <c:extLst>
            <c:ext xmlns:c16="http://schemas.microsoft.com/office/drawing/2014/chart" uri="{C3380CC4-5D6E-409C-BE32-E72D297353CC}">
              <c16:uniqueId val="{00000001-46AB-4049-81B3-E71CB3B0610C}"/>
            </c:ext>
          </c:extLst>
        </c:ser>
        <c:ser>
          <c:idx val="2"/>
          <c:order val="2"/>
          <c:tx>
            <c:strRef>
              <c:f>Sheet1!$A$4</c:f>
              <c:strCache>
                <c:ptCount val="1"/>
                <c:pt idx="0">
                  <c:v>rural [%]</c:v>
                </c:pt>
              </c:strCache>
            </c:strRef>
          </c:tx>
          <c:spPr>
            <a:ln w="23535">
              <a:solidFill>
                <a:srgbClr val="FF6600"/>
              </a:solidFill>
              <a:prstDash val="solid"/>
            </a:ln>
          </c:spPr>
          <c:marker>
            <c:symbol val="triangle"/>
            <c:size val="6"/>
            <c:spPr>
              <a:solidFill>
                <a:srgbClr val="FFFF00"/>
              </a:solidFill>
              <a:ln>
                <a:solidFill>
                  <a:srgbClr val="FFFF00"/>
                </a:solidFill>
                <a:prstDash val="solid"/>
              </a:ln>
            </c:spPr>
          </c:marker>
          <c:cat>
            <c:numRef>
              <c:f>Sheet1!$B$1:$J$1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Sheet1!$B$4:$J$4</c:f>
              <c:numCache>
                <c:formatCode>General</c:formatCode>
                <c:ptCount val="9"/>
                <c:pt idx="0">
                  <c:v>11.9</c:v>
                </c:pt>
                <c:pt idx="1">
                  <c:v>40.85</c:v>
                </c:pt>
                <c:pt idx="2">
                  <c:v>96.6</c:v>
                </c:pt>
                <c:pt idx="3">
                  <c:v>96.96</c:v>
                </c:pt>
                <c:pt idx="4">
                  <c:v>98.7</c:v>
                </c:pt>
                <c:pt idx="5">
                  <c:v>85.9</c:v>
                </c:pt>
                <c:pt idx="6">
                  <c:v>98.77</c:v>
                </c:pt>
                <c:pt idx="7">
                  <c:v>98.77</c:v>
                </c:pt>
                <c:pt idx="8">
                  <c:v>95.73</c:v>
                </c:pt>
              </c:numCache>
            </c:numRef>
          </c:val>
          <c:smooth val="0"/>
          <c:extLst>
            <c:ext xmlns:c16="http://schemas.microsoft.com/office/drawing/2014/chart" uri="{C3380CC4-5D6E-409C-BE32-E72D297353CC}">
              <c16:uniqueId val="{00000002-46AB-4049-81B3-E71CB3B0610C}"/>
            </c:ext>
          </c:extLst>
        </c:ser>
        <c:dLbls>
          <c:showLegendKey val="0"/>
          <c:showVal val="0"/>
          <c:showCatName val="0"/>
          <c:showSerName val="0"/>
          <c:showPercent val="0"/>
          <c:showBubbleSize val="0"/>
        </c:dLbls>
        <c:marker val="1"/>
        <c:smooth val="0"/>
        <c:axId val="160211320"/>
        <c:axId val="1"/>
      </c:lineChart>
      <c:catAx>
        <c:axId val="160211320"/>
        <c:scaling>
          <c:orientation val="minMax"/>
        </c:scaling>
        <c:delete val="0"/>
        <c:axPos val="b"/>
        <c:numFmt formatCode="General" sourceLinked="1"/>
        <c:majorTickMark val="out"/>
        <c:minorTickMark val="none"/>
        <c:tickLblPos val="nextTo"/>
        <c:spPr>
          <a:ln w="2942">
            <a:solidFill>
              <a:srgbClr val="000000"/>
            </a:solidFill>
            <a:prstDash val="solid"/>
          </a:ln>
        </c:spPr>
        <c:txPr>
          <a:bodyPr rot="0" vert="horz"/>
          <a:lstStyle/>
          <a:p>
            <a:pPr>
              <a:defRPr sz="741" b="1" i="0" u="none" strike="noStrike" baseline="0">
                <a:solidFill>
                  <a:srgbClr val="000000"/>
                </a:solidFill>
                <a:latin typeface="Calibri"/>
                <a:ea typeface="Calibri"/>
                <a:cs typeface="Calibri"/>
              </a:defRPr>
            </a:pPr>
            <a:endParaRPr lang="ro-RO"/>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2942">
            <a:solidFill>
              <a:srgbClr val="000000"/>
            </a:solidFill>
            <a:prstDash val="solid"/>
          </a:ln>
        </c:spPr>
        <c:txPr>
          <a:bodyPr rot="0" vert="horz"/>
          <a:lstStyle/>
          <a:p>
            <a:pPr>
              <a:defRPr sz="741" b="1" i="0" u="none" strike="noStrike" baseline="0">
                <a:solidFill>
                  <a:srgbClr val="000000"/>
                </a:solidFill>
                <a:latin typeface="Calibri"/>
                <a:ea typeface="Calibri"/>
                <a:cs typeface="Calibri"/>
              </a:defRPr>
            </a:pPr>
            <a:endParaRPr lang="ro-RO"/>
          </a:p>
        </c:txPr>
        <c:crossAx val="160211320"/>
        <c:crosses val="autoZero"/>
        <c:crossBetween val="between"/>
      </c:valAx>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23535">
          <a:noFill/>
        </a:ln>
      </c:spPr>
    </c:plotArea>
    <c:legend>
      <c:legendPos val="r"/>
      <c:layout>
        <c:manualLayout>
          <c:xMode val="edge"/>
          <c:yMode val="edge"/>
          <c:x val="0.8651162790697674"/>
          <c:y val="0.36162361623616235"/>
          <c:w val="0.12868217054263567"/>
          <c:h val="0.2140221402214022"/>
        </c:manualLayout>
      </c:layout>
      <c:overlay val="0"/>
      <c:spPr>
        <a:noFill/>
        <a:ln w="2942">
          <a:solidFill>
            <a:srgbClr val="000000"/>
          </a:solidFill>
          <a:prstDash val="solid"/>
        </a:ln>
      </c:spPr>
      <c:txPr>
        <a:bodyPr/>
        <a:lstStyle/>
        <a:p>
          <a:pPr>
            <a:defRPr sz="681" b="1" i="0" u="none" strike="noStrike" baseline="0">
              <a:solidFill>
                <a:srgbClr val="000000"/>
              </a:solidFill>
              <a:latin typeface="Calibri"/>
              <a:ea typeface="Calibri"/>
              <a:cs typeface="Calibri"/>
            </a:defRPr>
          </a:pPr>
          <a:endParaRPr lang="ro-RO"/>
        </a:p>
      </c:txPr>
    </c:legend>
    <c:plotVisOnly val="1"/>
    <c:dispBlanksAs val="gap"/>
    <c:showDLblsOverMax val="0"/>
  </c:chart>
  <c:spPr>
    <a:noFill/>
    <a:ln>
      <a:noFill/>
    </a:ln>
  </c:spPr>
  <c:txPr>
    <a:bodyPr/>
    <a:lstStyle/>
    <a:p>
      <a:pPr>
        <a:defRPr sz="1112" b="1" i="0" u="none" strike="noStrike" baseline="0">
          <a:solidFill>
            <a:srgbClr val="000000"/>
          </a:solidFill>
          <a:latin typeface="Calibri"/>
          <a:ea typeface="Calibri"/>
          <a:cs typeface="Calibri"/>
        </a:defRPr>
      </a:pPr>
      <a:endParaRPr lang="ro-RO"/>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3" b="1" i="0" u="none" strike="noStrike" baseline="0">
                <a:solidFill>
                  <a:srgbClr val="000000"/>
                </a:solidFill>
                <a:latin typeface="Calibri"/>
                <a:ea typeface="Calibri"/>
                <a:cs typeface="Calibri"/>
              </a:defRPr>
            </a:pPr>
            <a:r>
              <a:rPr lang="ro-RO"/>
              <a:t>Deșeuri menajere și asimilabile depozitate în depozite conforme</a:t>
            </a:r>
          </a:p>
        </c:rich>
      </c:tx>
      <c:layout>
        <c:manualLayout>
          <c:xMode val="edge"/>
          <c:yMode val="edge"/>
          <c:x val="0.18633540372670807"/>
          <c:y val="1.893939393939394E-2"/>
        </c:manualLayout>
      </c:layout>
      <c:overlay val="0"/>
      <c:spPr>
        <a:noFill/>
        <a:ln w="23621">
          <a:noFill/>
        </a:ln>
      </c:spPr>
    </c:title>
    <c:autoTitleDeleted val="0"/>
    <c:plotArea>
      <c:layout>
        <c:manualLayout>
          <c:layoutTarget val="inner"/>
          <c:xMode val="edge"/>
          <c:yMode val="edge"/>
          <c:x val="0.13043478260869565"/>
          <c:y val="0.24242424242424243"/>
          <c:w val="0.7360248447204969"/>
          <c:h val="0.51893939393939392"/>
        </c:manualLayout>
      </c:layout>
      <c:lineChart>
        <c:grouping val="standard"/>
        <c:varyColors val="0"/>
        <c:ser>
          <c:idx val="0"/>
          <c:order val="0"/>
          <c:tx>
            <c:strRef>
              <c:f>Sheet1!$A$2</c:f>
              <c:strCache>
                <c:ptCount val="1"/>
                <c:pt idx="0">
                  <c:v>tone</c:v>
                </c:pt>
              </c:strCache>
            </c:strRef>
          </c:tx>
          <c:spPr>
            <a:ln w="35432">
              <a:solidFill>
                <a:srgbClr val="000080"/>
              </a:solidFill>
              <a:prstDash val="solid"/>
            </a:ln>
          </c:spPr>
          <c:marker>
            <c:symbol val="diamond"/>
            <c:size val="8"/>
            <c:spPr>
              <a:solidFill>
                <a:srgbClr val="000080"/>
              </a:solidFill>
              <a:ln>
                <a:solidFill>
                  <a:srgbClr val="000080"/>
                </a:solidFill>
                <a:prstDash val="solid"/>
              </a:ln>
            </c:spPr>
          </c:marker>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General</c:formatCode>
                <c:ptCount val="8"/>
                <c:pt idx="0">
                  <c:v>62246</c:v>
                </c:pt>
                <c:pt idx="1">
                  <c:v>62837</c:v>
                </c:pt>
                <c:pt idx="2">
                  <c:v>72687</c:v>
                </c:pt>
                <c:pt idx="3">
                  <c:v>80642</c:v>
                </c:pt>
                <c:pt idx="4">
                  <c:v>76870</c:v>
                </c:pt>
                <c:pt idx="5">
                  <c:v>84330</c:v>
                </c:pt>
                <c:pt idx="6">
                  <c:v>97788</c:v>
                </c:pt>
                <c:pt idx="7">
                  <c:v>180426</c:v>
                </c:pt>
              </c:numCache>
            </c:numRef>
          </c:val>
          <c:smooth val="0"/>
          <c:extLst>
            <c:ext xmlns:c16="http://schemas.microsoft.com/office/drawing/2014/chart" uri="{C3380CC4-5D6E-409C-BE32-E72D297353CC}">
              <c16:uniqueId val="{00000000-8C5C-4AC4-A8E7-A47B3CB4F541}"/>
            </c:ext>
          </c:extLst>
        </c:ser>
        <c:dLbls>
          <c:showLegendKey val="0"/>
          <c:showVal val="0"/>
          <c:showCatName val="0"/>
          <c:showSerName val="0"/>
          <c:showPercent val="0"/>
          <c:showBubbleSize val="0"/>
        </c:dLbls>
        <c:marker val="1"/>
        <c:smooth val="0"/>
        <c:axId val="160209352"/>
        <c:axId val="1"/>
      </c:lineChart>
      <c:catAx>
        <c:axId val="160209352"/>
        <c:scaling>
          <c:orientation val="minMax"/>
        </c:scaling>
        <c:delete val="0"/>
        <c:axPos val="b"/>
        <c:numFmt formatCode="General" sourceLinked="1"/>
        <c:majorTickMark val="out"/>
        <c:minorTickMark val="none"/>
        <c:tickLblPos val="nextTo"/>
        <c:spPr>
          <a:ln w="2953">
            <a:solidFill>
              <a:srgbClr val="000000"/>
            </a:solidFill>
            <a:prstDash val="solid"/>
          </a:ln>
        </c:spPr>
        <c:txPr>
          <a:bodyPr rot="0" vert="horz"/>
          <a:lstStyle/>
          <a:p>
            <a:pPr>
              <a:defRPr sz="1069" b="1" i="0" u="none" strike="noStrike" baseline="0">
                <a:solidFill>
                  <a:srgbClr val="000000"/>
                </a:solidFill>
                <a:latin typeface="Calibri"/>
                <a:ea typeface="Calibri"/>
                <a:cs typeface="Calibri"/>
              </a:defRPr>
            </a:pPr>
            <a:endParaRPr lang="ro-RO"/>
          </a:p>
        </c:txPr>
        <c:crossAx val="1"/>
        <c:crosses val="autoZero"/>
        <c:auto val="1"/>
        <c:lblAlgn val="ctr"/>
        <c:lblOffset val="100"/>
        <c:tickMarkSkip val="1"/>
        <c:noMultiLvlLbl val="0"/>
      </c:catAx>
      <c:valAx>
        <c:axId val="1"/>
        <c:scaling>
          <c:orientation val="minMax"/>
        </c:scaling>
        <c:delete val="0"/>
        <c:axPos val="l"/>
        <c:majorGridlines>
          <c:spPr>
            <a:ln w="2953">
              <a:solidFill>
                <a:srgbClr val="000000"/>
              </a:solidFill>
              <a:prstDash val="solid"/>
            </a:ln>
          </c:spPr>
        </c:majorGridlines>
        <c:numFmt formatCode="General" sourceLinked="1"/>
        <c:majorTickMark val="out"/>
        <c:minorTickMark val="none"/>
        <c:tickLblPos val="nextTo"/>
        <c:spPr>
          <a:ln w="2953">
            <a:solidFill>
              <a:srgbClr val="000000"/>
            </a:solidFill>
            <a:prstDash val="solid"/>
          </a:ln>
        </c:spPr>
        <c:txPr>
          <a:bodyPr rot="0" vert="horz"/>
          <a:lstStyle/>
          <a:p>
            <a:pPr>
              <a:defRPr sz="1069" b="1" i="0" u="none" strike="noStrike" baseline="0">
                <a:solidFill>
                  <a:srgbClr val="000000"/>
                </a:solidFill>
                <a:latin typeface="Calibri"/>
                <a:ea typeface="Calibri"/>
                <a:cs typeface="Calibri"/>
              </a:defRPr>
            </a:pPr>
            <a:endParaRPr lang="ro-RO"/>
          </a:p>
        </c:txPr>
        <c:crossAx val="160209352"/>
        <c:crosses val="autoZero"/>
        <c:crossBetween val="midCat"/>
      </c:valAx>
      <c:dTable>
        <c:showHorzBorder val="1"/>
        <c:showVertBorder val="1"/>
        <c:showOutline val="1"/>
        <c:showKeys val="1"/>
        <c:spPr>
          <a:ln w="2953">
            <a:solidFill>
              <a:srgbClr val="000000"/>
            </a:solidFill>
            <a:prstDash val="solid"/>
          </a:ln>
        </c:spPr>
        <c:txPr>
          <a:bodyPr/>
          <a:lstStyle/>
          <a:p>
            <a:pPr rtl="0">
              <a:defRPr sz="1069" b="1" i="0" u="none" strike="noStrike" baseline="0">
                <a:solidFill>
                  <a:srgbClr val="000000"/>
                </a:solidFill>
                <a:latin typeface="Calibri"/>
                <a:ea typeface="Calibri"/>
                <a:cs typeface="Calibri"/>
              </a:defRPr>
            </a:pPr>
            <a:endParaRPr lang="ro-RO"/>
          </a:p>
        </c:txPr>
      </c:dTable>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11811">
          <a:solidFill>
            <a:srgbClr val="808080"/>
          </a:solidFill>
          <a:prstDash val="solid"/>
        </a:ln>
      </c:spPr>
    </c:plotArea>
    <c:legend>
      <c:legendPos val="r"/>
      <c:layout>
        <c:manualLayout>
          <c:xMode val="edge"/>
          <c:yMode val="edge"/>
          <c:x val="0.88198757763975155"/>
          <c:y val="0.45454545454545453"/>
          <c:w val="0.11180124223602485"/>
          <c:h val="9.0909090909090912E-2"/>
        </c:manualLayout>
      </c:layout>
      <c:overlay val="0"/>
      <c:spPr>
        <a:noFill/>
        <a:ln w="2953">
          <a:solidFill>
            <a:srgbClr val="000000"/>
          </a:solidFill>
          <a:prstDash val="solid"/>
        </a:ln>
      </c:spPr>
      <c:txPr>
        <a:bodyPr/>
        <a:lstStyle/>
        <a:p>
          <a:pPr>
            <a:defRPr sz="981" b="1" i="0" u="none" strike="noStrike" baseline="0">
              <a:solidFill>
                <a:srgbClr val="000000"/>
              </a:solidFill>
              <a:latin typeface="Calibri"/>
              <a:ea typeface="Calibri"/>
              <a:cs typeface="Calibri"/>
            </a:defRPr>
          </a:pPr>
          <a:endParaRPr lang="ro-RO"/>
        </a:p>
      </c:txPr>
    </c:legend>
    <c:plotVisOnly val="1"/>
    <c:dispBlanksAs val="gap"/>
    <c:showDLblsOverMax val="0"/>
  </c:chart>
  <c:spPr>
    <a:noFill/>
    <a:ln>
      <a:noFill/>
    </a:ln>
  </c:spPr>
  <c:txPr>
    <a:bodyPr/>
    <a:lstStyle/>
    <a:p>
      <a:pPr>
        <a:defRPr sz="1069" b="1" i="0" u="none" strike="noStrike" baseline="0">
          <a:solidFill>
            <a:srgbClr val="000000"/>
          </a:solidFill>
          <a:latin typeface="Calibri"/>
          <a:ea typeface="Calibri"/>
          <a:cs typeface="Calibri"/>
        </a:defRPr>
      </a:pPr>
      <a:endParaRPr lang="ro-RO"/>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2" b="1" i="0" u="none" strike="noStrike" baseline="0">
                <a:solidFill>
                  <a:srgbClr val="000000"/>
                </a:solidFill>
                <a:latin typeface="Calibri"/>
                <a:ea typeface="Calibri"/>
                <a:cs typeface="Calibri"/>
              </a:defRPr>
            </a:pPr>
            <a:r>
              <a:rPr lang="ro-RO"/>
              <a:t>Deşeuri municipale depozitate în depozite urbane neconforme </a:t>
            </a:r>
          </a:p>
        </c:rich>
      </c:tx>
      <c:layout>
        <c:manualLayout>
          <c:xMode val="edge"/>
          <c:yMode val="edge"/>
          <c:x val="0.2057057057057057"/>
          <c:y val="1.9417475728155338E-2"/>
        </c:manualLayout>
      </c:layout>
      <c:overlay val="0"/>
      <c:spPr>
        <a:noFill/>
        <a:ln w="25452">
          <a:noFill/>
        </a:ln>
      </c:spPr>
    </c:title>
    <c:autoTitleDeleted val="0"/>
    <c:plotArea>
      <c:layout>
        <c:manualLayout>
          <c:layoutTarget val="inner"/>
          <c:xMode val="edge"/>
          <c:yMode val="edge"/>
          <c:x val="0.1111111111111111"/>
          <c:y val="0.28155339805825241"/>
          <c:w val="0.77477477477477474"/>
          <c:h val="0.46116504854368934"/>
        </c:manualLayout>
      </c:layout>
      <c:lineChart>
        <c:grouping val="standard"/>
        <c:varyColors val="0"/>
        <c:ser>
          <c:idx val="0"/>
          <c:order val="0"/>
          <c:tx>
            <c:strRef>
              <c:f>Sheet1!$A$2</c:f>
              <c:strCache>
                <c:ptCount val="1"/>
                <c:pt idx="0">
                  <c:v>tone</c:v>
                </c:pt>
              </c:strCache>
            </c:strRef>
          </c:tx>
          <c:spPr>
            <a:ln w="38178">
              <a:solidFill>
                <a:srgbClr val="000080"/>
              </a:solidFill>
              <a:prstDash val="solid"/>
            </a:ln>
          </c:spPr>
          <c:marker>
            <c:symbol val="diamond"/>
            <c:size val="9"/>
            <c:spPr>
              <a:solidFill>
                <a:srgbClr val="000080"/>
              </a:solidFill>
              <a:ln>
                <a:solidFill>
                  <a:srgbClr val="000080"/>
                </a:solidFill>
                <a:prstDash val="solid"/>
              </a:ln>
            </c:spPr>
          </c:marker>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Sheet1!$B$2:$H$2</c:f>
              <c:numCache>
                <c:formatCode>General</c:formatCode>
                <c:ptCount val="7"/>
                <c:pt idx="0">
                  <c:v>627</c:v>
                </c:pt>
                <c:pt idx="1">
                  <c:v>295</c:v>
                </c:pt>
                <c:pt idx="2">
                  <c:v>128</c:v>
                </c:pt>
                <c:pt idx="3">
                  <c:v>120</c:v>
                </c:pt>
                <c:pt idx="4">
                  <c:v>138.15</c:v>
                </c:pt>
                <c:pt idx="5">
                  <c:v>97.43</c:v>
                </c:pt>
                <c:pt idx="6">
                  <c:v>65.58</c:v>
                </c:pt>
              </c:numCache>
            </c:numRef>
          </c:val>
          <c:smooth val="0"/>
          <c:extLst>
            <c:ext xmlns:c16="http://schemas.microsoft.com/office/drawing/2014/chart" uri="{C3380CC4-5D6E-409C-BE32-E72D297353CC}">
              <c16:uniqueId val="{00000000-568A-4579-93D9-7360B15E8290}"/>
            </c:ext>
          </c:extLst>
        </c:ser>
        <c:dLbls>
          <c:showLegendKey val="0"/>
          <c:showVal val="0"/>
          <c:showCatName val="0"/>
          <c:showSerName val="0"/>
          <c:showPercent val="0"/>
          <c:showBubbleSize val="0"/>
        </c:dLbls>
        <c:marker val="1"/>
        <c:smooth val="0"/>
        <c:axId val="130967808"/>
        <c:axId val="130990464"/>
      </c:lineChart>
      <c:catAx>
        <c:axId val="130967808"/>
        <c:scaling>
          <c:orientation val="minMax"/>
        </c:scaling>
        <c:delete val="0"/>
        <c:axPos val="b"/>
        <c:numFmt formatCode="General" sourceLinked="1"/>
        <c:majorTickMark val="out"/>
        <c:minorTickMark val="none"/>
        <c:tickLblPos val="nextTo"/>
        <c:spPr>
          <a:ln w="3182">
            <a:solidFill>
              <a:srgbClr val="000000"/>
            </a:solidFill>
            <a:prstDash val="solid"/>
          </a:ln>
        </c:spPr>
        <c:txPr>
          <a:bodyPr rot="0" vert="horz"/>
          <a:lstStyle/>
          <a:p>
            <a:pPr>
              <a:defRPr sz="902" b="1" i="0" u="none" strike="noStrike" baseline="0">
                <a:solidFill>
                  <a:srgbClr val="000000"/>
                </a:solidFill>
                <a:latin typeface="Calibri"/>
                <a:ea typeface="Calibri"/>
                <a:cs typeface="Calibri"/>
              </a:defRPr>
            </a:pPr>
            <a:endParaRPr lang="ro-RO"/>
          </a:p>
        </c:txPr>
        <c:crossAx val="130990464"/>
        <c:crosses val="autoZero"/>
        <c:auto val="1"/>
        <c:lblAlgn val="ctr"/>
        <c:lblOffset val="100"/>
        <c:tickMarkSkip val="1"/>
        <c:noMultiLvlLbl val="0"/>
      </c:catAx>
      <c:valAx>
        <c:axId val="130990464"/>
        <c:scaling>
          <c:orientation val="minMax"/>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sz="902" b="1" i="0" u="none" strike="noStrike" baseline="0">
                <a:solidFill>
                  <a:srgbClr val="000000"/>
                </a:solidFill>
                <a:latin typeface="Calibri"/>
                <a:ea typeface="Calibri"/>
                <a:cs typeface="Calibri"/>
              </a:defRPr>
            </a:pPr>
            <a:endParaRPr lang="ro-RO"/>
          </a:p>
        </c:txPr>
        <c:crossAx val="130967808"/>
        <c:crosses val="autoZero"/>
        <c:crossBetween val="between"/>
      </c:valAx>
      <c:dTable>
        <c:showHorzBorder val="1"/>
        <c:showVertBorder val="1"/>
        <c:showOutline val="1"/>
        <c:showKeys val="1"/>
        <c:spPr>
          <a:ln w="3182">
            <a:solidFill>
              <a:srgbClr val="000000"/>
            </a:solidFill>
            <a:prstDash val="solid"/>
          </a:ln>
        </c:spPr>
        <c:txPr>
          <a:bodyPr/>
          <a:lstStyle/>
          <a:p>
            <a:pPr rtl="0">
              <a:defRPr sz="902" b="1" i="0" u="none" strike="noStrike" baseline="0">
                <a:solidFill>
                  <a:srgbClr val="000000"/>
                </a:solidFill>
                <a:latin typeface="Calibri"/>
                <a:ea typeface="Calibri"/>
                <a:cs typeface="Calibri"/>
              </a:defRPr>
            </a:pPr>
            <a:endParaRPr lang="ro-RO"/>
          </a:p>
        </c:txPr>
      </c:dTable>
      <c:spPr>
        <a:gradFill rotWithShape="0">
          <a:gsLst>
            <a:gs pos="0">
              <a:srgbClr xmlns:mc="http://schemas.openxmlformats.org/markup-compatibility/2006" xmlns:a14="http://schemas.microsoft.com/office/drawing/2010/main" val="000000" mc:Ignorable="a14" a14:legacySpreadsheetColorIndex="9">
                <a:gamma/>
                <a:shade val="46275"/>
                <a:invGamma/>
              </a:srgbClr>
            </a:gs>
            <a:gs pos="100000">
              <a:srgbClr xmlns:mc="http://schemas.openxmlformats.org/markup-compatibility/2006" xmlns:a14="http://schemas.microsoft.com/office/drawing/2010/main" val="FFFFFF" mc:Ignorable="a14" a14:legacySpreadsheetColorIndex="9"/>
            </a:gs>
          </a:gsLst>
          <a:lin ang="5400000" scaled="1"/>
        </a:gradFill>
        <a:ln w="12726">
          <a:solidFill>
            <a:srgbClr val="808080"/>
          </a:solidFill>
          <a:prstDash val="solid"/>
        </a:ln>
      </c:spPr>
    </c:plotArea>
    <c:legend>
      <c:legendPos val="r"/>
      <c:layout>
        <c:manualLayout>
          <c:xMode val="edge"/>
          <c:yMode val="edge"/>
          <c:x val="0.90090090090090091"/>
          <c:y val="0.4563106796116505"/>
          <c:w val="9.3093093093093091E-2"/>
          <c:h val="0.10194174757281553"/>
        </c:manualLayout>
      </c:layout>
      <c:overlay val="0"/>
      <c:spPr>
        <a:solidFill>
          <a:srgbClr val="FFFFFF"/>
        </a:solidFill>
        <a:ln w="3182">
          <a:solidFill>
            <a:srgbClr val="000000"/>
          </a:solidFill>
          <a:prstDash val="solid"/>
        </a:ln>
      </c:spPr>
      <c:txPr>
        <a:bodyPr/>
        <a:lstStyle/>
        <a:p>
          <a:pPr>
            <a:defRPr sz="827" b="1" i="0" u="none" strike="noStrike" baseline="0">
              <a:solidFill>
                <a:srgbClr val="000000"/>
              </a:solidFill>
              <a:latin typeface="Calibri"/>
              <a:ea typeface="Calibri"/>
              <a:cs typeface="Calibri"/>
            </a:defRPr>
          </a:pPr>
          <a:endParaRPr lang="ro-RO"/>
        </a:p>
      </c:txPr>
    </c:legend>
    <c:plotVisOnly val="1"/>
    <c:dispBlanksAs val="gap"/>
    <c:showDLblsOverMax val="0"/>
  </c:chart>
  <c:spPr>
    <a:noFill/>
    <a:ln>
      <a:noFill/>
    </a:ln>
  </c:spPr>
  <c:txPr>
    <a:bodyPr/>
    <a:lstStyle/>
    <a:p>
      <a:pPr>
        <a:defRPr sz="902" b="1" i="0" u="none" strike="noStrike" baseline="0">
          <a:solidFill>
            <a:srgbClr val="000000"/>
          </a:solidFill>
          <a:latin typeface="Calibri"/>
          <a:ea typeface="Calibri"/>
          <a:cs typeface="Calibri"/>
        </a:defRPr>
      </a:pPr>
      <a:endParaRPr lang="ro-RO"/>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plotArea>
      <c:layout>
        <c:manualLayout>
          <c:layoutTarget val="inner"/>
          <c:xMode val="edge"/>
          <c:yMode val="edge"/>
          <c:x val="0.13569437522841288"/>
          <c:y val="0.16999907531883726"/>
          <c:w val="0.67102401088753916"/>
          <c:h val="0.64508116421753015"/>
        </c:manualLayout>
      </c:layout>
      <c:barChart>
        <c:barDir val="col"/>
        <c:grouping val="clustered"/>
        <c:varyColors val="0"/>
        <c:ser>
          <c:idx val="0"/>
          <c:order val="0"/>
          <c:tx>
            <c:strRef>
              <c:f>Sheet1!$B$1</c:f>
              <c:strCache>
                <c:ptCount val="1"/>
                <c:pt idx="0">
                  <c:v>2013</c:v>
                </c:pt>
              </c:strCache>
            </c:strRef>
          </c:tx>
          <c:invertIfNegative val="0"/>
          <c:cat>
            <c:strRef>
              <c:f>Sheet1!$A$2</c:f>
              <c:strCache>
                <c:ptCount val="1"/>
                <c:pt idx="0">
                  <c:v>Cantități DEEE colectate</c:v>
                </c:pt>
              </c:strCache>
            </c:strRef>
          </c:cat>
          <c:val>
            <c:numRef>
              <c:f>Sheet1!$B$2</c:f>
              <c:numCache>
                <c:formatCode>General</c:formatCode>
                <c:ptCount val="1"/>
                <c:pt idx="0">
                  <c:v>30.75</c:v>
                </c:pt>
              </c:numCache>
            </c:numRef>
          </c:val>
          <c:extLst>
            <c:ext xmlns:c16="http://schemas.microsoft.com/office/drawing/2014/chart" uri="{C3380CC4-5D6E-409C-BE32-E72D297353CC}">
              <c16:uniqueId val="{00000000-D3FB-4404-9B18-142EECBC7877}"/>
            </c:ext>
          </c:extLst>
        </c:ser>
        <c:ser>
          <c:idx val="1"/>
          <c:order val="1"/>
          <c:tx>
            <c:strRef>
              <c:f>Sheet1!$C$1</c:f>
              <c:strCache>
                <c:ptCount val="1"/>
                <c:pt idx="0">
                  <c:v>2014</c:v>
                </c:pt>
              </c:strCache>
            </c:strRef>
          </c:tx>
          <c:invertIfNegative val="0"/>
          <c:cat>
            <c:strRef>
              <c:f>Sheet1!$A$2</c:f>
              <c:strCache>
                <c:ptCount val="1"/>
                <c:pt idx="0">
                  <c:v>Cantități DEEE colectate</c:v>
                </c:pt>
              </c:strCache>
            </c:strRef>
          </c:cat>
          <c:val>
            <c:numRef>
              <c:f>Sheet1!$C$2</c:f>
              <c:numCache>
                <c:formatCode>General</c:formatCode>
                <c:ptCount val="1"/>
                <c:pt idx="0">
                  <c:v>106.75</c:v>
                </c:pt>
              </c:numCache>
            </c:numRef>
          </c:val>
          <c:extLst>
            <c:ext xmlns:c16="http://schemas.microsoft.com/office/drawing/2014/chart" uri="{C3380CC4-5D6E-409C-BE32-E72D297353CC}">
              <c16:uniqueId val="{00000001-D3FB-4404-9B18-142EECBC7877}"/>
            </c:ext>
          </c:extLst>
        </c:ser>
        <c:ser>
          <c:idx val="2"/>
          <c:order val="2"/>
          <c:tx>
            <c:strRef>
              <c:f>Sheet1!$D$1</c:f>
              <c:strCache>
                <c:ptCount val="1"/>
                <c:pt idx="0">
                  <c:v>2015</c:v>
                </c:pt>
              </c:strCache>
            </c:strRef>
          </c:tx>
          <c:invertIfNegative val="0"/>
          <c:cat>
            <c:strRef>
              <c:f>Sheet1!$A$2</c:f>
              <c:strCache>
                <c:ptCount val="1"/>
                <c:pt idx="0">
                  <c:v>Cantități DEEE colectate</c:v>
                </c:pt>
              </c:strCache>
            </c:strRef>
          </c:cat>
          <c:val>
            <c:numRef>
              <c:f>Sheet1!$D$2</c:f>
              <c:numCache>
                <c:formatCode>General</c:formatCode>
                <c:ptCount val="1"/>
                <c:pt idx="0">
                  <c:v>288.8</c:v>
                </c:pt>
              </c:numCache>
            </c:numRef>
          </c:val>
          <c:extLst>
            <c:ext xmlns:c16="http://schemas.microsoft.com/office/drawing/2014/chart" uri="{C3380CC4-5D6E-409C-BE32-E72D297353CC}">
              <c16:uniqueId val="{00000002-D3FB-4404-9B18-142EECBC7877}"/>
            </c:ext>
          </c:extLst>
        </c:ser>
        <c:ser>
          <c:idx val="3"/>
          <c:order val="3"/>
          <c:tx>
            <c:strRef>
              <c:f>Sheet1!$E$1</c:f>
              <c:strCache>
                <c:ptCount val="1"/>
                <c:pt idx="0">
                  <c:v>2016</c:v>
                </c:pt>
              </c:strCache>
            </c:strRef>
          </c:tx>
          <c:invertIfNegative val="0"/>
          <c:cat>
            <c:strRef>
              <c:f>Sheet1!$A$2</c:f>
              <c:strCache>
                <c:ptCount val="1"/>
                <c:pt idx="0">
                  <c:v>Cantități DEEE colectate</c:v>
                </c:pt>
              </c:strCache>
            </c:strRef>
          </c:cat>
          <c:val>
            <c:numRef>
              <c:f>Sheet1!$E$2</c:f>
              <c:numCache>
                <c:formatCode>General</c:formatCode>
                <c:ptCount val="1"/>
                <c:pt idx="0">
                  <c:v>375.19</c:v>
                </c:pt>
              </c:numCache>
            </c:numRef>
          </c:val>
          <c:extLst>
            <c:ext xmlns:c16="http://schemas.microsoft.com/office/drawing/2014/chart" uri="{C3380CC4-5D6E-409C-BE32-E72D297353CC}">
              <c16:uniqueId val="{00000003-D3FB-4404-9B18-142EECBC7877}"/>
            </c:ext>
          </c:extLst>
        </c:ser>
        <c:ser>
          <c:idx val="4"/>
          <c:order val="4"/>
          <c:tx>
            <c:strRef>
              <c:f>Sheet1!$F$1</c:f>
              <c:strCache>
                <c:ptCount val="1"/>
                <c:pt idx="0">
                  <c:v>2017</c:v>
                </c:pt>
              </c:strCache>
            </c:strRef>
          </c:tx>
          <c:invertIfNegative val="0"/>
          <c:cat>
            <c:strRef>
              <c:f>Sheet1!$A$2</c:f>
              <c:strCache>
                <c:ptCount val="1"/>
                <c:pt idx="0">
                  <c:v>Cantități DEEE colectate</c:v>
                </c:pt>
              </c:strCache>
            </c:strRef>
          </c:cat>
          <c:val>
            <c:numRef>
              <c:f>Sheet1!$F$2</c:f>
              <c:numCache>
                <c:formatCode>General</c:formatCode>
                <c:ptCount val="1"/>
                <c:pt idx="0">
                  <c:v>74.995999999999995</c:v>
                </c:pt>
              </c:numCache>
            </c:numRef>
          </c:val>
          <c:extLst>
            <c:ext xmlns:c16="http://schemas.microsoft.com/office/drawing/2014/chart" uri="{C3380CC4-5D6E-409C-BE32-E72D297353CC}">
              <c16:uniqueId val="{00000004-D3FB-4404-9B18-142EECBC7877}"/>
            </c:ext>
          </c:extLst>
        </c:ser>
        <c:ser>
          <c:idx val="5"/>
          <c:order val="5"/>
          <c:tx>
            <c:strRef>
              <c:f>Sheet1!$G$1</c:f>
              <c:strCache>
                <c:ptCount val="1"/>
                <c:pt idx="0">
                  <c:v>2018</c:v>
                </c:pt>
              </c:strCache>
            </c:strRef>
          </c:tx>
          <c:invertIfNegative val="0"/>
          <c:cat>
            <c:strRef>
              <c:f>Sheet1!$A$2</c:f>
              <c:strCache>
                <c:ptCount val="1"/>
                <c:pt idx="0">
                  <c:v>Cantități DEEE colectate</c:v>
                </c:pt>
              </c:strCache>
            </c:strRef>
          </c:cat>
          <c:val>
            <c:numRef>
              <c:f>Sheet1!$G$2</c:f>
              <c:numCache>
                <c:formatCode>General</c:formatCode>
                <c:ptCount val="1"/>
                <c:pt idx="0">
                  <c:v>351.154</c:v>
                </c:pt>
              </c:numCache>
            </c:numRef>
          </c:val>
          <c:extLst>
            <c:ext xmlns:c16="http://schemas.microsoft.com/office/drawing/2014/chart" uri="{C3380CC4-5D6E-409C-BE32-E72D297353CC}">
              <c16:uniqueId val="{00000005-D3FB-4404-9B18-142EECBC7877}"/>
            </c:ext>
          </c:extLst>
        </c:ser>
        <c:dLbls>
          <c:showLegendKey val="0"/>
          <c:showVal val="0"/>
          <c:showCatName val="0"/>
          <c:showSerName val="0"/>
          <c:showPercent val="0"/>
          <c:showBubbleSize val="0"/>
        </c:dLbls>
        <c:gapWidth val="150"/>
        <c:axId val="249991168"/>
        <c:axId val="249992704"/>
      </c:barChart>
      <c:catAx>
        <c:axId val="249991168"/>
        <c:scaling>
          <c:orientation val="minMax"/>
        </c:scaling>
        <c:delete val="0"/>
        <c:axPos val="b"/>
        <c:numFmt formatCode="General" sourceLinked="1"/>
        <c:majorTickMark val="out"/>
        <c:minorTickMark val="none"/>
        <c:tickLblPos val="nextTo"/>
        <c:txPr>
          <a:bodyPr rot="0" vert="horz"/>
          <a:lstStyle/>
          <a:p>
            <a:pPr>
              <a:defRPr lang="ro-RO" sz="998" b="0" i="0" u="none" strike="noStrike" baseline="0">
                <a:solidFill>
                  <a:srgbClr val="000000"/>
                </a:solidFill>
                <a:latin typeface="Calibri"/>
                <a:ea typeface="Calibri"/>
                <a:cs typeface="Calibri"/>
              </a:defRPr>
            </a:pPr>
            <a:endParaRPr lang="ro-RO"/>
          </a:p>
        </c:txPr>
        <c:crossAx val="249992704"/>
        <c:crosses val="autoZero"/>
        <c:auto val="1"/>
        <c:lblAlgn val="ctr"/>
        <c:lblOffset val="100"/>
        <c:noMultiLvlLbl val="0"/>
      </c:catAx>
      <c:valAx>
        <c:axId val="249992704"/>
        <c:scaling>
          <c:orientation val="minMax"/>
        </c:scaling>
        <c:delete val="0"/>
        <c:axPos val="l"/>
        <c:majorGridlines/>
        <c:numFmt formatCode="General" sourceLinked="1"/>
        <c:majorTickMark val="out"/>
        <c:minorTickMark val="none"/>
        <c:tickLblPos val="nextTo"/>
        <c:txPr>
          <a:bodyPr rot="0" vert="horz"/>
          <a:lstStyle/>
          <a:p>
            <a:pPr>
              <a:defRPr lang="ro-RO" sz="998" b="0" i="0" u="none" strike="noStrike" baseline="0">
                <a:solidFill>
                  <a:srgbClr val="000000"/>
                </a:solidFill>
                <a:latin typeface="Calibri"/>
                <a:ea typeface="Calibri"/>
                <a:cs typeface="Calibri"/>
              </a:defRPr>
            </a:pPr>
            <a:endParaRPr lang="ro-RO"/>
          </a:p>
        </c:txPr>
        <c:crossAx val="249991168"/>
        <c:crosses val="autoZero"/>
        <c:crossBetween val="between"/>
      </c:valAx>
    </c:plotArea>
    <c:legend>
      <c:legendPos val="r"/>
      <c:overlay val="0"/>
      <c:txPr>
        <a:bodyPr/>
        <a:lstStyle/>
        <a:p>
          <a:pPr>
            <a:defRPr lang="ro-RO" sz="918" b="0" i="0" u="none" strike="noStrike" baseline="0">
              <a:solidFill>
                <a:srgbClr val="000000"/>
              </a:solidFill>
              <a:latin typeface="Calibri"/>
              <a:ea typeface="Calibri"/>
              <a:cs typeface="Calibri"/>
            </a:defRPr>
          </a:pPr>
          <a:endParaRPr lang="ro-RO"/>
        </a:p>
      </c:txPr>
    </c:legend>
    <c:plotVisOnly val="1"/>
    <c:dispBlanksAs val="gap"/>
    <c:showDLblsOverMax val="0"/>
  </c:chart>
  <c:spPr>
    <a:solidFill>
      <a:srgbClr val="EEECE1"/>
    </a:solidFill>
  </c:spPr>
  <c:txPr>
    <a:bodyPr/>
    <a:lstStyle/>
    <a:p>
      <a:pPr>
        <a:defRPr sz="998" b="0" i="0" u="none" strike="noStrike" baseline="0">
          <a:solidFill>
            <a:srgbClr val="000000"/>
          </a:solidFill>
          <a:latin typeface="Calibri"/>
          <a:ea typeface="Calibri"/>
          <a:cs typeface="Calibri"/>
        </a:defRPr>
      </a:pPr>
      <a:endParaRPr lang="ro-RO"/>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Foaie1!$B$1</c:f>
              <c:strCache>
                <c:ptCount val="1"/>
                <c:pt idx="0">
                  <c:v>Serie 1</c:v>
                </c:pt>
              </c:strCache>
            </c:strRef>
          </c:tx>
          <c:spPr>
            <a:solidFill>
              <a:srgbClr val="C00000"/>
            </a:solidFill>
            <a:ln>
              <a:noFill/>
            </a:ln>
            <a:effectLst/>
          </c:spPr>
          <c:invertIfNegative val="0"/>
          <c:cat>
            <c:numRef>
              <c:f>Foaie1!$A$2:$A$12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Foaie1!$B$2:$B$12</c:f>
              <c:numCache>
                <c:formatCode>General</c:formatCode>
                <c:ptCount val="11"/>
                <c:pt idx="0">
                  <c:v>238</c:v>
                </c:pt>
                <c:pt idx="1">
                  <c:v>391</c:v>
                </c:pt>
                <c:pt idx="2">
                  <c:v>508</c:v>
                </c:pt>
                <c:pt idx="3">
                  <c:v>485</c:v>
                </c:pt>
                <c:pt idx="4">
                  <c:v>2376</c:v>
                </c:pt>
                <c:pt idx="5">
                  <c:v>1838</c:v>
                </c:pt>
                <c:pt idx="6">
                  <c:v>607</c:v>
                </c:pt>
                <c:pt idx="7">
                  <c:v>98</c:v>
                </c:pt>
                <c:pt idx="8">
                  <c:v>290</c:v>
                </c:pt>
                <c:pt idx="9">
                  <c:v>534</c:v>
                </c:pt>
                <c:pt idx="10">
                  <c:v>577</c:v>
                </c:pt>
              </c:numCache>
            </c:numRef>
          </c:val>
          <c:extLst>
            <c:ext xmlns:c16="http://schemas.microsoft.com/office/drawing/2014/chart" uri="{C3380CC4-5D6E-409C-BE32-E72D297353CC}">
              <c16:uniqueId val="{00000000-08A0-4E44-8DA7-44C4E8F789D0}"/>
            </c:ext>
          </c:extLst>
        </c:ser>
        <c:dLbls>
          <c:showLegendKey val="0"/>
          <c:showVal val="0"/>
          <c:showCatName val="0"/>
          <c:showSerName val="0"/>
          <c:showPercent val="0"/>
          <c:showBubbleSize val="0"/>
        </c:dLbls>
        <c:gapWidth val="150"/>
        <c:axId val="715359528"/>
        <c:axId val="715354608"/>
      </c:barChart>
      <c:catAx>
        <c:axId val="71535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715354608"/>
        <c:crosses val="autoZero"/>
        <c:auto val="1"/>
        <c:lblAlgn val="ctr"/>
        <c:lblOffset val="100"/>
        <c:noMultiLvlLbl val="0"/>
      </c:catAx>
      <c:valAx>
        <c:axId val="71535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71535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7142857142862"/>
          <c:y val="8.9201877934273727E-2"/>
          <c:w val="0.65904761904762565"/>
          <c:h val="0.70892018779342725"/>
        </c:manualLayout>
      </c:layout>
      <c:barChart>
        <c:barDir val="col"/>
        <c:grouping val="clustered"/>
        <c:varyColors val="0"/>
        <c:ser>
          <c:idx val="4"/>
          <c:order val="0"/>
          <c:tx>
            <c:strRef>
              <c:f>Sheet1!$A$2</c:f>
              <c:strCache>
                <c:ptCount val="1"/>
                <c:pt idx="0">
                  <c:v>Medii anuale 2014</c:v>
                </c:pt>
              </c:strCache>
            </c:strRef>
          </c:tx>
          <c:spPr>
            <a:ln w="12700">
              <a:solidFill>
                <a:srgbClr val="000000"/>
              </a:solidFill>
              <a:prstDash val="solid"/>
            </a:ln>
          </c:spPr>
          <c:invertIfNegative val="0"/>
          <c:cat>
            <c:strRef>
              <c:f>Sheet1!$B$1:$F$1</c:f>
              <c:strCache>
                <c:ptCount val="5"/>
                <c:pt idx="0">
                  <c:v>BR1</c:v>
                </c:pt>
                <c:pt idx="1">
                  <c:v>BR2</c:v>
                </c:pt>
                <c:pt idx="2">
                  <c:v>BR3</c:v>
                </c:pt>
                <c:pt idx="3">
                  <c:v>BR4</c:v>
                </c:pt>
                <c:pt idx="4">
                  <c:v>BR5</c:v>
                </c:pt>
              </c:strCache>
            </c:strRef>
          </c:cat>
          <c:val>
            <c:numRef>
              <c:f>Sheet1!$B$2:$F$2</c:f>
              <c:numCache>
                <c:formatCode>General</c:formatCode>
                <c:ptCount val="5"/>
                <c:pt idx="0" formatCode="0.00">
                  <c:v>0</c:v>
                </c:pt>
                <c:pt idx="1">
                  <c:v>15.5</c:v>
                </c:pt>
                <c:pt idx="2">
                  <c:v>7.41</c:v>
                </c:pt>
                <c:pt idx="3" formatCode="0.00">
                  <c:v>0</c:v>
                </c:pt>
                <c:pt idx="4" formatCode="0.00">
                  <c:v>0</c:v>
                </c:pt>
              </c:numCache>
            </c:numRef>
          </c:val>
          <c:extLst>
            <c:ext xmlns:c16="http://schemas.microsoft.com/office/drawing/2014/chart" uri="{C3380CC4-5D6E-409C-BE32-E72D297353CC}">
              <c16:uniqueId val="{00000000-3806-4605-8952-806C2B1B601F}"/>
            </c:ext>
          </c:extLst>
        </c:ser>
        <c:ser>
          <c:idx val="5"/>
          <c:order val="1"/>
          <c:tx>
            <c:strRef>
              <c:f>Sheet1!$A$3</c:f>
              <c:strCache>
                <c:ptCount val="1"/>
                <c:pt idx="0">
                  <c:v>Medii anuale 2015</c:v>
                </c:pt>
              </c:strCache>
            </c:strRef>
          </c:tx>
          <c:invertIfNegative val="0"/>
          <c:cat>
            <c:strRef>
              <c:f>Sheet1!$B$1:$F$1</c:f>
              <c:strCache>
                <c:ptCount val="5"/>
                <c:pt idx="0">
                  <c:v>BR1</c:v>
                </c:pt>
                <c:pt idx="1">
                  <c:v>BR2</c:v>
                </c:pt>
                <c:pt idx="2">
                  <c:v>BR3</c:v>
                </c:pt>
                <c:pt idx="3">
                  <c:v>BR4</c:v>
                </c:pt>
                <c:pt idx="4">
                  <c:v>BR5</c:v>
                </c:pt>
              </c:strCache>
            </c:strRef>
          </c:cat>
          <c:val>
            <c:numRef>
              <c:f>Sheet1!$B$3:$F$3</c:f>
              <c:numCache>
                <c:formatCode>General</c:formatCode>
                <c:ptCount val="5"/>
                <c:pt idx="0" formatCode="0.00">
                  <c:v>0</c:v>
                </c:pt>
                <c:pt idx="1">
                  <c:v>12.83</c:v>
                </c:pt>
                <c:pt idx="2" formatCode="0.00">
                  <c:v>0</c:v>
                </c:pt>
                <c:pt idx="3" formatCode="0.00">
                  <c:v>0</c:v>
                </c:pt>
                <c:pt idx="4">
                  <c:v>12.31</c:v>
                </c:pt>
              </c:numCache>
            </c:numRef>
          </c:val>
          <c:extLst>
            <c:ext xmlns:c16="http://schemas.microsoft.com/office/drawing/2014/chart" uri="{C3380CC4-5D6E-409C-BE32-E72D297353CC}">
              <c16:uniqueId val="{00000001-3806-4605-8952-806C2B1B601F}"/>
            </c:ext>
          </c:extLst>
        </c:ser>
        <c:ser>
          <c:idx val="6"/>
          <c:order val="2"/>
          <c:tx>
            <c:strRef>
              <c:f>Sheet1!$A$4</c:f>
              <c:strCache>
                <c:ptCount val="1"/>
                <c:pt idx="0">
                  <c:v>Medii anuale 2016</c:v>
                </c:pt>
              </c:strCache>
            </c:strRef>
          </c:tx>
          <c:invertIfNegative val="0"/>
          <c:cat>
            <c:strRef>
              <c:f>Sheet1!$B$1:$F$1</c:f>
              <c:strCache>
                <c:ptCount val="5"/>
                <c:pt idx="0">
                  <c:v>BR1</c:v>
                </c:pt>
                <c:pt idx="1">
                  <c:v>BR2</c:v>
                </c:pt>
                <c:pt idx="2">
                  <c:v>BR3</c:v>
                </c:pt>
                <c:pt idx="3">
                  <c:v>BR4</c:v>
                </c:pt>
                <c:pt idx="4">
                  <c:v>BR5</c:v>
                </c:pt>
              </c:strCache>
            </c:strRef>
          </c:cat>
          <c:val>
            <c:numRef>
              <c:f>Sheet1!$B$4:$F$4</c:f>
              <c:numCache>
                <c:formatCode>General</c:formatCode>
                <c:ptCount val="5"/>
                <c:pt idx="0">
                  <c:v>20.25</c:v>
                </c:pt>
                <c:pt idx="1">
                  <c:v>20.22</c:v>
                </c:pt>
                <c:pt idx="2">
                  <c:v>17.68</c:v>
                </c:pt>
                <c:pt idx="3">
                  <c:v>12.92</c:v>
                </c:pt>
                <c:pt idx="4">
                  <c:v>12.45</c:v>
                </c:pt>
              </c:numCache>
            </c:numRef>
          </c:val>
          <c:extLst>
            <c:ext xmlns:c16="http://schemas.microsoft.com/office/drawing/2014/chart" uri="{C3380CC4-5D6E-409C-BE32-E72D297353CC}">
              <c16:uniqueId val="{00000002-3806-4605-8952-806C2B1B601F}"/>
            </c:ext>
          </c:extLst>
        </c:ser>
        <c:ser>
          <c:idx val="7"/>
          <c:order val="3"/>
          <c:tx>
            <c:strRef>
              <c:f>Sheet1!$A$5</c:f>
              <c:strCache>
                <c:ptCount val="1"/>
                <c:pt idx="0">
                  <c:v>Medii anuale 2017</c:v>
                </c:pt>
              </c:strCache>
            </c:strRef>
          </c:tx>
          <c:invertIfNegative val="0"/>
          <c:cat>
            <c:strRef>
              <c:f>Sheet1!$B$1:$F$1</c:f>
              <c:strCache>
                <c:ptCount val="5"/>
                <c:pt idx="0">
                  <c:v>BR1</c:v>
                </c:pt>
                <c:pt idx="1">
                  <c:v>BR2</c:v>
                </c:pt>
                <c:pt idx="2">
                  <c:v>BR3</c:v>
                </c:pt>
                <c:pt idx="3">
                  <c:v>BR4</c:v>
                </c:pt>
                <c:pt idx="4">
                  <c:v>BR5</c:v>
                </c:pt>
              </c:strCache>
            </c:strRef>
          </c:cat>
          <c:val>
            <c:numRef>
              <c:f>Sheet1!$B$5:$F$5</c:f>
              <c:numCache>
                <c:formatCode>General</c:formatCode>
                <c:ptCount val="5"/>
                <c:pt idx="0">
                  <c:v>26.25</c:v>
                </c:pt>
                <c:pt idx="1">
                  <c:v>17.170000000000002</c:v>
                </c:pt>
                <c:pt idx="2">
                  <c:v>12.13</c:v>
                </c:pt>
                <c:pt idx="3">
                  <c:v>11.05</c:v>
                </c:pt>
                <c:pt idx="4">
                  <c:v>10.75</c:v>
                </c:pt>
              </c:numCache>
            </c:numRef>
          </c:val>
          <c:extLst>
            <c:ext xmlns:c16="http://schemas.microsoft.com/office/drawing/2014/chart" uri="{C3380CC4-5D6E-409C-BE32-E72D297353CC}">
              <c16:uniqueId val="{00000003-3806-4605-8952-806C2B1B601F}"/>
            </c:ext>
          </c:extLst>
        </c:ser>
        <c:ser>
          <c:idx val="8"/>
          <c:order val="4"/>
          <c:tx>
            <c:strRef>
              <c:f>Sheet1!$A$6</c:f>
              <c:strCache>
                <c:ptCount val="1"/>
                <c:pt idx="0">
                  <c:v>Medii anuale 2018 BR4 - Valori orientative</c:v>
                </c:pt>
              </c:strCache>
            </c:strRef>
          </c:tx>
          <c:invertIfNegative val="0"/>
          <c:cat>
            <c:strRef>
              <c:f>Sheet1!$B$1:$F$1</c:f>
              <c:strCache>
                <c:ptCount val="5"/>
                <c:pt idx="0">
                  <c:v>BR1</c:v>
                </c:pt>
                <c:pt idx="1">
                  <c:v>BR2</c:v>
                </c:pt>
                <c:pt idx="2">
                  <c:v>BR3</c:v>
                </c:pt>
                <c:pt idx="3">
                  <c:v>BR4</c:v>
                </c:pt>
                <c:pt idx="4">
                  <c:v>BR5</c:v>
                </c:pt>
              </c:strCache>
            </c:strRef>
          </c:cat>
          <c:val>
            <c:numRef>
              <c:f>Sheet1!$B$6:$F$6</c:f>
              <c:numCache>
                <c:formatCode>General</c:formatCode>
                <c:ptCount val="5"/>
                <c:pt idx="0">
                  <c:v>25.51</c:v>
                </c:pt>
                <c:pt idx="1">
                  <c:v>18.420000000000002</c:v>
                </c:pt>
                <c:pt idx="2">
                  <c:v>14.6</c:v>
                </c:pt>
                <c:pt idx="3">
                  <c:v>16.09</c:v>
                </c:pt>
                <c:pt idx="4">
                  <c:v>10.08</c:v>
                </c:pt>
              </c:numCache>
            </c:numRef>
          </c:val>
          <c:extLst>
            <c:ext xmlns:c16="http://schemas.microsoft.com/office/drawing/2014/chart" uri="{C3380CC4-5D6E-409C-BE32-E72D297353CC}">
              <c16:uniqueId val="{00000004-3806-4605-8952-806C2B1B601F}"/>
            </c:ext>
          </c:extLst>
        </c:ser>
        <c:dLbls>
          <c:showLegendKey val="0"/>
          <c:showVal val="0"/>
          <c:showCatName val="0"/>
          <c:showSerName val="0"/>
          <c:showPercent val="0"/>
          <c:showBubbleSize val="0"/>
        </c:dLbls>
        <c:gapWidth val="150"/>
        <c:axId val="220852224"/>
        <c:axId val="220853760"/>
      </c:barChart>
      <c:catAx>
        <c:axId val="220852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0853760"/>
        <c:crosses val="autoZero"/>
        <c:auto val="1"/>
        <c:lblAlgn val="ctr"/>
        <c:lblOffset val="100"/>
        <c:tickLblSkip val="1"/>
        <c:tickMarkSkip val="1"/>
        <c:noMultiLvlLbl val="0"/>
      </c:catAx>
      <c:valAx>
        <c:axId val="220853760"/>
        <c:scaling>
          <c:orientation val="minMax"/>
        </c:scaling>
        <c:delete val="0"/>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ro-RO"/>
                  <a:t>micrograme/mc</a:t>
                </a:r>
              </a:p>
            </c:rich>
          </c:tx>
          <c:layout>
            <c:manualLayout>
              <c:xMode val="edge"/>
              <c:yMode val="edge"/>
              <c:x val="2.2251919444649854E-2"/>
              <c:y val="0.23004696161858687"/>
            </c:manualLayout>
          </c:layout>
          <c:overlay val="0"/>
          <c:spPr>
            <a:noFill/>
            <a:ln w="25399">
              <a:noFill/>
            </a:ln>
          </c:spPr>
        </c:title>
        <c:numFmt formatCode="0.0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0852224"/>
        <c:crosses val="autoZero"/>
        <c:crossBetween val="between"/>
      </c:valAx>
      <c:spPr>
        <a:solidFill>
          <a:srgbClr val="FFFFCC"/>
        </a:solidFill>
        <a:ln w="12700">
          <a:solidFill>
            <a:srgbClr val="000000"/>
          </a:solidFill>
          <a:prstDash val="solid"/>
        </a:ln>
      </c:spPr>
    </c:plotArea>
    <c:legend>
      <c:legendPos val="r"/>
      <c:layout>
        <c:manualLayout>
          <c:xMode val="edge"/>
          <c:yMode val="edge"/>
          <c:x val="0.78403946058466834"/>
          <c:y val="8.3622753433847702E-2"/>
          <c:w val="0.17450230790116791"/>
          <c:h val="0.76050704424278803"/>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529126567512441"/>
          <c:y val="0.24020054768695709"/>
          <c:w val="0.45624234470690972"/>
          <c:h val="0.51851286087905268"/>
        </c:manualLayout>
      </c:layout>
      <c:bar3DChart>
        <c:barDir val="col"/>
        <c:grouping val="clustered"/>
        <c:varyColors val="0"/>
        <c:ser>
          <c:idx val="0"/>
          <c:order val="0"/>
          <c:tx>
            <c:strRef>
              <c:f>Sheet1!$B$3</c:f>
              <c:strCache>
                <c:ptCount val="1"/>
                <c:pt idx="0">
                  <c:v>Mortalitate generală/din care</c:v>
                </c:pt>
              </c:strCache>
            </c:strRef>
          </c:tx>
          <c:invertIfNegative val="0"/>
          <c:cat>
            <c:numRef>
              <c:f>Sheet1!$A$4:$A$8</c:f>
              <c:numCache>
                <c:formatCode>General</c:formatCode>
                <c:ptCount val="5"/>
                <c:pt idx="0">
                  <c:v>2014</c:v>
                </c:pt>
                <c:pt idx="1">
                  <c:v>2015</c:v>
                </c:pt>
                <c:pt idx="2">
                  <c:v>2016</c:v>
                </c:pt>
                <c:pt idx="3">
                  <c:v>2017</c:v>
                </c:pt>
                <c:pt idx="4">
                  <c:v>2018</c:v>
                </c:pt>
              </c:numCache>
            </c:numRef>
          </c:cat>
          <c:val>
            <c:numRef>
              <c:f>Sheet1!$B$4:$B$8</c:f>
              <c:numCache>
                <c:formatCode>General</c:formatCode>
                <c:ptCount val="5"/>
                <c:pt idx="0">
                  <c:v>4455</c:v>
                </c:pt>
                <c:pt idx="1">
                  <c:v>12210</c:v>
                </c:pt>
                <c:pt idx="2">
                  <c:v>4613</c:v>
                </c:pt>
                <c:pt idx="3">
                  <c:v>4574</c:v>
                </c:pt>
                <c:pt idx="4">
                  <c:v>4871</c:v>
                </c:pt>
              </c:numCache>
            </c:numRef>
          </c:val>
          <c:extLst>
            <c:ext xmlns:c16="http://schemas.microsoft.com/office/drawing/2014/chart" uri="{C3380CC4-5D6E-409C-BE32-E72D297353CC}">
              <c16:uniqueId val="{00000000-96FD-4C2B-B6C5-5BC0FBC88E02}"/>
            </c:ext>
          </c:extLst>
        </c:ser>
        <c:ser>
          <c:idx val="1"/>
          <c:order val="1"/>
          <c:tx>
            <c:strRef>
              <c:f>Sheet1!$C$3</c:f>
              <c:strCache>
                <c:ptCount val="1"/>
                <c:pt idx="0">
                  <c:v>Boli ale aparatului circulator (număr cazuri)</c:v>
                </c:pt>
              </c:strCache>
            </c:strRef>
          </c:tx>
          <c:invertIfNegative val="0"/>
          <c:cat>
            <c:numRef>
              <c:f>Sheet1!$A$4:$A$8</c:f>
              <c:numCache>
                <c:formatCode>General</c:formatCode>
                <c:ptCount val="5"/>
                <c:pt idx="0">
                  <c:v>2014</c:v>
                </c:pt>
                <c:pt idx="1">
                  <c:v>2015</c:v>
                </c:pt>
                <c:pt idx="2">
                  <c:v>2016</c:v>
                </c:pt>
                <c:pt idx="3">
                  <c:v>2017</c:v>
                </c:pt>
                <c:pt idx="4">
                  <c:v>2018</c:v>
                </c:pt>
              </c:numCache>
            </c:numRef>
          </c:cat>
          <c:val>
            <c:numRef>
              <c:f>Sheet1!$C$4:$C$8</c:f>
              <c:numCache>
                <c:formatCode>General</c:formatCode>
                <c:ptCount val="5"/>
                <c:pt idx="0">
                  <c:v>2484</c:v>
                </c:pt>
                <c:pt idx="1">
                  <c:v>2660</c:v>
                </c:pt>
                <c:pt idx="2">
                  <c:v>2694</c:v>
                </c:pt>
                <c:pt idx="3">
                  <c:v>2720</c:v>
                </c:pt>
                <c:pt idx="4">
                  <c:v>2565</c:v>
                </c:pt>
              </c:numCache>
            </c:numRef>
          </c:val>
          <c:extLst>
            <c:ext xmlns:c16="http://schemas.microsoft.com/office/drawing/2014/chart" uri="{C3380CC4-5D6E-409C-BE32-E72D297353CC}">
              <c16:uniqueId val="{00000001-96FD-4C2B-B6C5-5BC0FBC88E02}"/>
            </c:ext>
          </c:extLst>
        </c:ser>
        <c:ser>
          <c:idx val="2"/>
          <c:order val="2"/>
          <c:tx>
            <c:strRef>
              <c:f>Sheet1!$D$3</c:f>
              <c:strCache>
                <c:ptCount val="1"/>
                <c:pt idx="0">
                  <c:v>Boală ischemică a inimii (număr cazuri)</c:v>
                </c:pt>
              </c:strCache>
            </c:strRef>
          </c:tx>
          <c:invertIfNegative val="0"/>
          <c:cat>
            <c:numRef>
              <c:f>Sheet1!$A$4:$A$8</c:f>
              <c:numCache>
                <c:formatCode>General</c:formatCode>
                <c:ptCount val="5"/>
                <c:pt idx="0">
                  <c:v>2014</c:v>
                </c:pt>
                <c:pt idx="1">
                  <c:v>2015</c:v>
                </c:pt>
                <c:pt idx="2">
                  <c:v>2016</c:v>
                </c:pt>
                <c:pt idx="3">
                  <c:v>2017</c:v>
                </c:pt>
                <c:pt idx="4">
                  <c:v>2018</c:v>
                </c:pt>
              </c:numCache>
            </c:numRef>
          </c:cat>
          <c:val>
            <c:numRef>
              <c:f>Sheet1!$D$4:$D$8</c:f>
              <c:numCache>
                <c:formatCode>General</c:formatCode>
                <c:ptCount val="5"/>
                <c:pt idx="0">
                  <c:v>353</c:v>
                </c:pt>
                <c:pt idx="1">
                  <c:v>345</c:v>
                </c:pt>
                <c:pt idx="2">
                  <c:v>594</c:v>
                </c:pt>
                <c:pt idx="3">
                  <c:v>593</c:v>
                </c:pt>
                <c:pt idx="4">
                  <c:v>819</c:v>
                </c:pt>
              </c:numCache>
            </c:numRef>
          </c:val>
          <c:extLst>
            <c:ext xmlns:c16="http://schemas.microsoft.com/office/drawing/2014/chart" uri="{C3380CC4-5D6E-409C-BE32-E72D297353CC}">
              <c16:uniqueId val="{00000002-96FD-4C2B-B6C5-5BC0FBC88E02}"/>
            </c:ext>
          </c:extLst>
        </c:ser>
        <c:ser>
          <c:idx val="3"/>
          <c:order val="3"/>
          <c:tx>
            <c:strRef>
              <c:f>Sheet1!$E$3</c:f>
              <c:strCache>
                <c:ptCount val="1"/>
                <c:pt idx="0">
                  <c:v>Boli respiratorii (număr cazuri)</c:v>
                </c:pt>
              </c:strCache>
            </c:strRef>
          </c:tx>
          <c:invertIfNegative val="0"/>
          <c:cat>
            <c:numRef>
              <c:f>Sheet1!$A$4:$A$8</c:f>
              <c:numCache>
                <c:formatCode>General</c:formatCode>
                <c:ptCount val="5"/>
                <c:pt idx="0">
                  <c:v>2014</c:v>
                </c:pt>
                <c:pt idx="1">
                  <c:v>2015</c:v>
                </c:pt>
                <c:pt idx="2">
                  <c:v>2016</c:v>
                </c:pt>
                <c:pt idx="3">
                  <c:v>2017</c:v>
                </c:pt>
                <c:pt idx="4">
                  <c:v>2018</c:v>
                </c:pt>
              </c:numCache>
            </c:numRef>
          </c:cat>
          <c:val>
            <c:numRef>
              <c:f>Sheet1!$E$4:$E$8</c:f>
              <c:numCache>
                <c:formatCode>General</c:formatCode>
                <c:ptCount val="5"/>
                <c:pt idx="0">
                  <c:v>260</c:v>
                </c:pt>
                <c:pt idx="1">
                  <c:v>261</c:v>
                </c:pt>
                <c:pt idx="2">
                  <c:v>222</c:v>
                </c:pt>
                <c:pt idx="3">
                  <c:v>319</c:v>
                </c:pt>
                <c:pt idx="4">
                  <c:v>315</c:v>
                </c:pt>
              </c:numCache>
            </c:numRef>
          </c:val>
          <c:extLst>
            <c:ext xmlns:c16="http://schemas.microsoft.com/office/drawing/2014/chart" uri="{C3380CC4-5D6E-409C-BE32-E72D297353CC}">
              <c16:uniqueId val="{00000003-96FD-4C2B-B6C5-5BC0FBC88E02}"/>
            </c:ext>
          </c:extLst>
        </c:ser>
        <c:dLbls>
          <c:showLegendKey val="0"/>
          <c:showVal val="0"/>
          <c:showCatName val="0"/>
          <c:showSerName val="0"/>
          <c:showPercent val="0"/>
          <c:showBubbleSize val="0"/>
        </c:dLbls>
        <c:gapWidth val="102"/>
        <c:gapDepth val="102"/>
        <c:shape val="cylinder"/>
        <c:axId val="250615296"/>
        <c:axId val="250619392"/>
        <c:axId val="0"/>
      </c:bar3DChart>
      <c:catAx>
        <c:axId val="250615296"/>
        <c:scaling>
          <c:orientation val="minMax"/>
        </c:scaling>
        <c:delete val="0"/>
        <c:axPos val="b"/>
        <c:title>
          <c:tx>
            <c:rich>
              <a:bodyPr/>
              <a:lstStyle/>
              <a:p>
                <a:pPr>
                  <a:defRPr sz="999" b="1" i="0" u="none" strike="noStrike" baseline="0">
                    <a:solidFill>
                      <a:srgbClr val="000000"/>
                    </a:solidFill>
                    <a:latin typeface="Arial"/>
                    <a:ea typeface="Arial"/>
                    <a:cs typeface="Arial"/>
                  </a:defRPr>
                </a:pPr>
                <a:r>
                  <a:rPr lang="vi-VN"/>
                  <a:t>Figura nr.VIII.1.1.1. - 1. - Mortalitatea generală, la nivelul județului Brăila, cea datorată afecțiunilor respiratorii și cea prin afecțiuni cardiovasculare în perioada 201</a:t>
                </a:r>
                <a:r>
                  <a:rPr lang="ro-RO"/>
                  <a:t>4</a:t>
                </a:r>
                <a:r>
                  <a:rPr lang="vi-VN"/>
                  <a:t> - 201</a:t>
                </a:r>
                <a:r>
                  <a:rPr lang="ro-RO"/>
                  <a:t>8</a:t>
                </a:r>
                <a:endParaRPr lang="vi-VN"/>
              </a:p>
            </c:rich>
          </c:tx>
          <c:layout>
            <c:manualLayout>
              <c:xMode val="edge"/>
              <c:yMode val="edge"/>
              <c:x val="0.18316166309599993"/>
              <c:y val="1.9159566592637501E-2"/>
            </c:manualLayout>
          </c:layout>
          <c:overlay val="0"/>
        </c:title>
        <c:numFmt formatCode="General" sourceLinked="1"/>
        <c:majorTickMark val="out"/>
        <c:minorTickMark val="none"/>
        <c:tickLblPos val="nextTo"/>
        <c:crossAx val="250619392"/>
        <c:crosses val="autoZero"/>
        <c:auto val="1"/>
        <c:lblAlgn val="ctr"/>
        <c:lblOffset val="100"/>
        <c:noMultiLvlLbl val="0"/>
      </c:catAx>
      <c:valAx>
        <c:axId val="250619392"/>
        <c:scaling>
          <c:orientation val="minMax"/>
        </c:scaling>
        <c:delete val="0"/>
        <c:axPos val="l"/>
        <c:majorGridlines/>
        <c:numFmt formatCode="General" sourceLinked="1"/>
        <c:majorTickMark val="out"/>
        <c:minorTickMark val="none"/>
        <c:tickLblPos val="nextTo"/>
        <c:crossAx val="250615296"/>
        <c:crosses val="autoZero"/>
        <c:crossBetween val="between"/>
      </c:valAx>
      <c:spPr>
        <a:noFill/>
        <a:ln w="25385">
          <a:noFill/>
        </a:ln>
      </c:spPr>
    </c:plotArea>
    <c:legend>
      <c:legendPos val="r"/>
      <c:layout>
        <c:manualLayout>
          <c:xMode val="edge"/>
          <c:yMode val="edge"/>
          <c:x val="0.63014477430604243"/>
          <c:y val="0.35487906319402807"/>
          <c:w val="0.33339750219488762"/>
          <c:h val="0.43354846540136238"/>
        </c:manualLayout>
      </c:layout>
      <c:overlay val="0"/>
      <c:txPr>
        <a:bodyPr/>
        <a:lstStyle/>
        <a:p>
          <a:pPr>
            <a:defRPr>
              <a:latin typeface="Arial" pitchFamily="34" charset="0"/>
              <a:cs typeface="Arial" pitchFamily="34" charset="0"/>
            </a:defRPr>
          </a:pPr>
          <a:endParaRPr lang="ro-RO"/>
        </a:p>
      </c:txPr>
    </c:legend>
    <c:plotVisOnly val="1"/>
    <c:dispBlanksAs val="gap"/>
    <c:showDLblsOverMax val="0"/>
  </c:chart>
  <c:spPr>
    <a:solidFill>
      <a:schemeClr val="accent3">
        <a:lumMod val="20000"/>
        <a:lumOff val="80000"/>
      </a:schemeClr>
    </a:solidFill>
  </c:sp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7" b="1" i="0" u="none" strike="noStrike" kern="1200" baseline="0">
                <a:solidFill>
                  <a:sysClr val="windowText" lastClr="000000"/>
                </a:solidFill>
                <a:latin typeface="+mn-lt"/>
                <a:ea typeface="+mn-ea"/>
                <a:cs typeface="+mn-cs"/>
              </a:defRPr>
            </a:pPr>
            <a:r>
              <a:rPr lang="ro-RO" sz="1197" b="1">
                <a:latin typeface="Arial" pitchFamily="34" charset="0"/>
                <a:cs typeface="Arial" pitchFamily="34" charset="0"/>
              </a:rPr>
              <a:t>Figura nr. VIII.1.1.1. – 2 -</a:t>
            </a:r>
            <a:r>
              <a:rPr lang="ro-RO" sz="1197">
                <a:latin typeface="Arial" pitchFamily="34" charset="0"/>
                <a:cs typeface="Arial" pitchFamily="34" charset="0"/>
              </a:rPr>
              <a:t> </a:t>
            </a:r>
            <a:r>
              <a:rPr lang="en-US" sz="1197">
                <a:latin typeface="Arial" pitchFamily="34" charset="0"/>
                <a:cs typeface="Arial" pitchFamily="34" charset="0"/>
              </a:rPr>
              <a:t>Mortalitate infantilă şi prin afecţiuni respiratorii în mediul Urban în perioada </a:t>
            </a:r>
            <a:r>
              <a:rPr lang="en-US" sz="1197">
                <a:solidFill>
                  <a:sysClr val="windowText" lastClr="000000"/>
                </a:solidFill>
                <a:latin typeface="Arial" pitchFamily="34" charset="0"/>
                <a:cs typeface="Arial" pitchFamily="34" charset="0"/>
              </a:rPr>
              <a:t>201</a:t>
            </a:r>
            <a:r>
              <a:rPr lang="ro-RO" sz="1197">
                <a:solidFill>
                  <a:sysClr val="windowText" lastClr="000000"/>
                </a:solidFill>
                <a:latin typeface="Arial" pitchFamily="34" charset="0"/>
                <a:cs typeface="Arial" pitchFamily="34" charset="0"/>
              </a:rPr>
              <a:t>4</a:t>
            </a:r>
            <a:r>
              <a:rPr lang="en-US" sz="1197">
                <a:solidFill>
                  <a:sysClr val="windowText" lastClr="000000"/>
                </a:solidFill>
                <a:latin typeface="Arial" pitchFamily="34" charset="0"/>
                <a:cs typeface="Arial" pitchFamily="34" charset="0"/>
              </a:rPr>
              <a:t> - 201</a:t>
            </a:r>
            <a:r>
              <a:rPr lang="ro-RO" sz="1197">
                <a:solidFill>
                  <a:sysClr val="windowText" lastClr="000000"/>
                </a:solidFill>
                <a:latin typeface="Arial" pitchFamily="34" charset="0"/>
                <a:cs typeface="Arial" pitchFamily="34" charset="0"/>
              </a:rPr>
              <a:t>8 (numar)</a:t>
            </a:r>
            <a:endParaRPr lang="ro-RO" sz="1200">
              <a:solidFill>
                <a:sysClr val="windowText" lastClr="000000"/>
              </a:solidFill>
            </a:endParaRPr>
          </a:p>
        </c:rich>
      </c:tx>
      <c:overlay val="0"/>
    </c:title>
    <c:autoTitleDeleted val="0"/>
    <c:plotArea>
      <c:layout/>
      <c:barChart>
        <c:barDir val="col"/>
        <c:grouping val="clustered"/>
        <c:varyColors val="0"/>
        <c:ser>
          <c:idx val="0"/>
          <c:order val="0"/>
          <c:tx>
            <c:strRef>
              <c:f>Sheet1!$B$1</c:f>
              <c:strCache>
                <c:ptCount val="1"/>
                <c:pt idx="0">
                  <c:v>Mortalitate infantilă în mediul Urban(decedaţi sub 1 an la 1000 născuţi vii)</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8</c:v>
                </c:pt>
                <c:pt idx="1">
                  <c:v>5</c:v>
                </c:pt>
                <c:pt idx="2">
                  <c:v>9</c:v>
                </c:pt>
                <c:pt idx="3">
                  <c:v>6</c:v>
                </c:pt>
                <c:pt idx="4">
                  <c:v>10</c:v>
                </c:pt>
              </c:numCache>
            </c:numRef>
          </c:val>
          <c:extLst>
            <c:ext xmlns:c16="http://schemas.microsoft.com/office/drawing/2014/chart" uri="{C3380CC4-5D6E-409C-BE32-E72D297353CC}">
              <c16:uniqueId val="{00000000-ABE7-4EF9-84FA-C4FC62F560A1}"/>
            </c:ext>
          </c:extLst>
        </c:ser>
        <c:ser>
          <c:idx val="1"/>
          <c:order val="1"/>
          <c:tx>
            <c:strRef>
              <c:f>Sheet1!$C$1</c:f>
              <c:strCache>
                <c:ptCount val="1"/>
                <c:pt idx="0">
                  <c:v>Mortalitate infantilă prin afecţiuni respiratorii în mediul Urban (decedaţi sub 1 an la 1000 născuţi vii)</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0</c:v>
                </c:pt>
                <c:pt idx="1">
                  <c:v>1</c:v>
                </c:pt>
                <c:pt idx="2">
                  <c:v>2</c:v>
                </c:pt>
                <c:pt idx="3">
                  <c:v>0</c:v>
                </c:pt>
                <c:pt idx="4">
                  <c:v>4</c:v>
                </c:pt>
              </c:numCache>
            </c:numRef>
          </c:val>
          <c:extLst>
            <c:ext xmlns:c16="http://schemas.microsoft.com/office/drawing/2014/chart" uri="{C3380CC4-5D6E-409C-BE32-E72D297353CC}">
              <c16:uniqueId val="{00000001-ABE7-4EF9-84FA-C4FC62F560A1}"/>
            </c:ext>
          </c:extLst>
        </c:ser>
        <c:dLbls>
          <c:showLegendKey val="0"/>
          <c:showVal val="0"/>
          <c:showCatName val="0"/>
          <c:showSerName val="0"/>
          <c:showPercent val="0"/>
          <c:showBubbleSize val="0"/>
        </c:dLbls>
        <c:gapWidth val="150"/>
        <c:axId val="250883456"/>
        <c:axId val="249988224"/>
      </c:barChart>
      <c:catAx>
        <c:axId val="250883456"/>
        <c:scaling>
          <c:orientation val="minMax"/>
        </c:scaling>
        <c:delete val="0"/>
        <c:axPos val="b"/>
        <c:numFmt formatCode="General" sourceLinked="1"/>
        <c:majorTickMark val="out"/>
        <c:minorTickMark val="none"/>
        <c:tickLblPos val="nextTo"/>
        <c:txPr>
          <a:bodyPr/>
          <a:lstStyle/>
          <a:p>
            <a:pPr>
              <a:defRPr sz="1197">
                <a:latin typeface="Arial" pitchFamily="34" charset="0"/>
                <a:cs typeface="Arial" pitchFamily="34" charset="0"/>
              </a:defRPr>
            </a:pPr>
            <a:endParaRPr lang="ro-RO"/>
          </a:p>
        </c:txPr>
        <c:crossAx val="249988224"/>
        <c:crosses val="autoZero"/>
        <c:auto val="1"/>
        <c:lblAlgn val="ctr"/>
        <c:lblOffset val="100"/>
        <c:noMultiLvlLbl val="0"/>
      </c:catAx>
      <c:valAx>
        <c:axId val="249988224"/>
        <c:scaling>
          <c:orientation val="minMax"/>
        </c:scaling>
        <c:delete val="0"/>
        <c:axPos val="l"/>
        <c:majorGridlines/>
        <c:numFmt formatCode="General" sourceLinked="1"/>
        <c:majorTickMark val="out"/>
        <c:minorTickMark val="none"/>
        <c:tickLblPos val="nextTo"/>
        <c:txPr>
          <a:bodyPr/>
          <a:lstStyle/>
          <a:p>
            <a:pPr>
              <a:defRPr sz="1197">
                <a:latin typeface="Arial" pitchFamily="34" charset="0"/>
                <a:cs typeface="Arial" pitchFamily="34" charset="0"/>
              </a:defRPr>
            </a:pPr>
            <a:endParaRPr lang="ro-RO"/>
          </a:p>
        </c:txPr>
        <c:crossAx val="250883456"/>
        <c:crosses val="autoZero"/>
        <c:crossBetween val="between"/>
      </c:valAx>
    </c:plotArea>
    <c:legend>
      <c:legendPos val="r"/>
      <c:overlay val="0"/>
      <c:txPr>
        <a:bodyPr/>
        <a:lstStyle/>
        <a:p>
          <a:pPr>
            <a:defRPr sz="1197">
              <a:latin typeface="Arial" pitchFamily="34" charset="0"/>
              <a:cs typeface="Arial" pitchFamily="34" charset="0"/>
            </a:defRPr>
          </a:pPr>
          <a:endParaRPr lang="ro-RO"/>
        </a:p>
      </c:txPr>
    </c:legend>
    <c:plotVisOnly val="1"/>
    <c:dispBlanksAs val="gap"/>
    <c:showDLblsOverMax val="0"/>
  </c:chart>
  <c:spPr>
    <a:solidFill>
      <a:schemeClr val="accent4">
        <a:lumMod val="20000"/>
        <a:lumOff val="80000"/>
      </a:schemeClr>
    </a:solidFill>
  </c:sp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Brăila</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1147</c:v>
                </c:pt>
                <c:pt idx="1">
                  <c:v>1242</c:v>
                </c:pt>
                <c:pt idx="2">
                  <c:v>1178</c:v>
                </c:pt>
                <c:pt idx="3">
                  <c:v>1194</c:v>
                </c:pt>
                <c:pt idx="4">
                  <c:v>1076</c:v>
                </c:pt>
              </c:numCache>
            </c:numRef>
          </c:val>
          <c:extLst>
            <c:ext xmlns:c16="http://schemas.microsoft.com/office/drawing/2014/chart" uri="{C3380CC4-5D6E-409C-BE32-E72D297353CC}">
              <c16:uniqueId val="{00000000-3A90-4A75-BC81-B816CFB49FBD}"/>
            </c:ext>
          </c:extLst>
        </c:ser>
        <c:ser>
          <c:idx val="1"/>
          <c:order val="1"/>
          <c:tx>
            <c:strRef>
              <c:f>Sheet1!$C$1</c:f>
              <c:strCache>
                <c:ptCount val="1"/>
                <c:pt idx="0">
                  <c:v>Ianca</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71</c:v>
                </c:pt>
                <c:pt idx="1">
                  <c:v>71</c:v>
                </c:pt>
                <c:pt idx="2">
                  <c:v>90</c:v>
                </c:pt>
                <c:pt idx="3">
                  <c:v>29</c:v>
                </c:pt>
                <c:pt idx="4">
                  <c:v>30</c:v>
                </c:pt>
              </c:numCache>
            </c:numRef>
          </c:val>
          <c:extLst>
            <c:ext xmlns:c16="http://schemas.microsoft.com/office/drawing/2014/chart" uri="{C3380CC4-5D6E-409C-BE32-E72D297353CC}">
              <c16:uniqueId val="{00000001-3A90-4A75-BC81-B816CFB49FBD}"/>
            </c:ext>
          </c:extLst>
        </c:ser>
        <c:ser>
          <c:idx val="2"/>
          <c:order val="2"/>
          <c:tx>
            <c:strRef>
              <c:f>Sheet1!$D$1</c:f>
              <c:strCache>
                <c:ptCount val="1"/>
                <c:pt idx="0">
                  <c:v>Făurei</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23</c:v>
                </c:pt>
                <c:pt idx="1">
                  <c:v>33</c:v>
                </c:pt>
                <c:pt idx="2">
                  <c:v>31</c:v>
                </c:pt>
                <c:pt idx="3">
                  <c:v>75</c:v>
                </c:pt>
                <c:pt idx="4">
                  <c:v>23</c:v>
                </c:pt>
              </c:numCache>
            </c:numRef>
          </c:val>
          <c:extLst>
            <c:ext xmlns:c16="http://schemas.microsoft.com/office/drawing/2014/chart" uri="{C3380CC4-5D6E-409C-BE32-E72D297353CC}">
              <c16:uniqueId val="{00000002-3A90-4A75-BC81-B816CFB49FBD}"/>
            </c:ext>
          </c:extLst>
        </c:ser>
        <c:ser>
          <c:idx val="3"/>
          <c:order val="3"/>
          <c:tx>
            <c:strRef>
              <c:f>Sheet1!$E$1</c:f>
              <c:strCache>
                <c:ptCount val="1"/>
                <c:pt idx="0">
                  <c:v>Însurăței</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Sheet1!$E$2:$E$6</c:f>
              <c:numCache>
                <c:formatCode>General</c:formatCode>
                <c:ptCount val="5"/>
                <c:pt idx="0">
                  <c:v>54</c:v>
                </c:pt>
                <c:pt idx="1">
                  <c:v>51</c:v>
                </c:pt>
                <c:pt idx="2">
                  <c:v>59</c:v>
                </c:pt>
                <c:pt idx="3">
                  <c:v>59</c:v>
                </c:pt>
                <c:pt idx="4">
                  <c:v>48</c:v>
                </c:pt>
              </c:numCache>
            </c:numRef>
          </c:val>
          <c:extLst>
            <c:ext xmlns:c16="http://schemas.microsoft.com/office/drawing/2014/chart" uri="{C3380CC4-5D6E-409C-BE32-E72D297353CC}">
              <c16:uniqueId val="{00000003-3A90-4A75-BC81-B816CFB49FBD}"/>
            </c:ext>
          </c:extLst>
        </c:ser>
        <c:dLbls>
          <c:showLegendKey val="0"/>
          <c:showVal val="0"/>
          <c:showCatName val="0"/>
          <c:showSerName val="0"/>
          <c:showPercent val="0"/>
          <c:showBubbleSize val="0"/>
        </c:dLbls>
        <c:gapWidth val="150"/>
        <c:shape val="box"/>
        <c:axId val="250919168"/>
        <c:axId val="251109376"/>
        <c:axId val="0"/>
      </c:bar3DChart>
      <c:catAx>
        <c:axId val="250919168"/>
        <c:scaling>
          <c:orientation val="minMax"/>
        </c:scaling>
        <c:delete val="0"/>
        <c:axPos val="b"/>
        <c:numFmt formatCode="General" sourceLinked="1"/>
        <c:majorTickMark val="out"/>
        <c:minorTickMark val="none"/>
        <c:tickLblPos val="nextTo"/>
        <c:crossAx val="251109376"/>
        <c:crosses val="autoZero"/>
        <c:auto val="1"/>
        <c:lblAlgn val="ctr"/>
        <c:lblOffset val="100"/>
        <c:noMultiLvlLbl val="0"/>
      </c:catAx>
      <c:valAx>
        <c:axId val="251109376"/>
        <c:scaling>
          <c:orientation val="minMax"/>
        </c:scaling>
        <c:delete val="0"/>
        <c:axPos val="l"/>
        <c:majorGridlines/>
        <c:numFmt formatCode="General" sourceLinked="1"/>
        <c:majorTickMark val="out"/>
        <c:minorTickMark val="none"/>
        <c:tickLblPos val="nextTo"/>
        <c:crossAx val="250919168"/>
        <c:crosses val="autoZero"/>
        <c:crossBetween val="between"/>
      </c:valAx>
    </c:plotArea>
    <c:legend>
      <c:legendPos val="r"/>
      <c:overlay val="0"/>
    </c:legend>
    <c:plotVisOnly val="1"/>
    <c:dispBlanksAs val="gap"/>
    <c:showDLblsOverMax val="0"/>
  </c:chart>
  <c:spPr>
    <a:solidFill>
      <a:schemeClr val="accent1">
        <a:lumMod val="20000"/>
        <a:lumOff val="80000"/>
      </a:schemeClr>
    </a:solidFill>
  </c:sp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199">
                <a:latin typeface="Arial" pitchFamily="34" charset="0"/>
                <a:cs typeface="Arial" pitchFamily="34" charset="0"/>
              </a:rPr>
              <a:t>Figura nr.VIII.1.1.1. - 4 - Incidența</a:t>
            </a:r>
            <a:r>
              <a:rPr lang="ro-RO" sz="1199" baseline="0">
                <a:latin typeface="Arial" pitchFamily="34" charset="0"/>
                <a:cs typeface="Arial" pitchFamily="34" charset="0"/>
              </a:rPr>
              <a:t> cazurilor de astm bronșic în orașele din județul Brăila (număr cazuri)</a:t>
            </a:r>
            <a:endParaRPr lang="ro-RO" sz="1200">
              <a:latin typeface="Arial" pitchFamily="34" charset="0"/>
              <a:cs typeface="Arial" pitchFamily="34" charset="0"/>
            </a:endParaRPr>
          </a:p>
        </c:rich>
      </c:tx>
      <c:overlay val="1"/>
    </c:title>
    <c:autoTitleDeleted val="0"/>
    <c:view3D>
      <c:rotX val="15"/>
      <c:rotY val="20"/>
      <c:depthPercent val="100"/>
      <c:rAngAx val="1"/>
    </c:view3D>
    <c:floor>
      <c:thickness val="0"/>
    </c:floor>
    <c:sideWall>
      <c:thickness val="0"/>
      <c:spPr>
        <a:ln>
          <a:solidFill>
            <a:schemeClr val="bg1"/>
          </a:solidFill>
        </a:ln>
      </c:spPr>
    </c:sideWall>
    <c:backWall>
      <c:thickness val="0"/>
      <c:spPr>
        <a:ln>
          <a:solidFill>
            <a:schemeClr val="bg1"/>
          </a:solidFill>
        </a:ln>
      </c:spPr>
    </c:backWall>
    <c:plotArea>
      <c:layout>
        <c:manualLayout>
          <c:layoutTarget val="inner"/>
          <c:xMode val="edge"/>
          <c:yMode val="edge"/>
          <c:x val="7.1726450860309127E-2"/>
          <c:y val="0.24815532673800389"/>
          <c:w val="0.59310112277631544"/>
          <c:h val="0.52912744685540269"/>
        </c:manualLayout>
      </c:layout>
      <c:bar3DChart>
        <c:barDir val="col"/>
        <c:grouping val="clustered"/>
        <c:varyColors val="0"/>
        <c:ser>
          <c:idx val="0"/>
          <c:order val="0"/>
          <c:tx>
            <c:strRef>
              <c:f>Sheet1!$B$2</c:f>
              <c:strCache>
                <c:ptCount val="1"/>
                <c:pt idx="0">
                  <c:v>Mun.Brăila</c:v>
                </c:pt>
              </c:strCache>
            </c:strRef>
          </c:tx>
          <c:invertIfNegative val="0"/>
          <c:cat>
            <c:numRef>
              <c:f>Sheet1!$A$3:$A$7</c:f>
              <c:numCache>
                <c:formatCode>General</c:formatCode>
                <c:ptCount val="5"/>
                <c:pt idx="0">
                  <c:v>2014</c:v>
                </c:pt>
                <c:pt idx="1">
                  <c:v>2015</c:v>
                </c:pt>
                <c:pt idx="2">
                  <c:v>2016</c:v>
                </c:pt>
                <c:pt idx="3">
                  <c:v>2017</c:v>
                </c:pt>
                <c:pt idx="4">
                  <c:v>2018</c:v>
                </c:pt>
              </c:numCache>
            </c:numRef>
          </c:cat>
          <c:val>
            <c:numRef>
              <c:f>Sheet1!$B$3:$B$7</c:f>
              <c:numCache>
                <c:formatCode>General</c:formatCode>
                <c:ptCount val="5"/>
                <c:pt idx="0">
                  <c:v>217</c:v>
                </c:pt>
                <c:pt idx="1">
                  <c:v>210</c:v>
                </c:pt>
                <c:pt idx="2">
                  <c:v>181</c:v>
                </c:pt>
                <c:pt idx="3">
                  <c:v>344</c:v>
                </c:pt>
                <c:pt idx="4">
                  <c:v>209</c:v>
                </c:pt>
              </c:numCache>
            </c:numRef>
          </c:val>
          <c:extLst>
            <c:ext xmlns:c16="http://schemas.microsoft.com/office/drawing/2014/chart" uri="{C3380CC4-5D6E-409C-BE32-E72D297353CC}">
              <c16:uniqueId val="{00000000-233B-44A0-BE1E-8119E7A45EB0}"/>
            </c:ext>
          </c:extLst>
        </c:ser>
        <c:ser>
          <c:idx val="1"/>
          <c:order val="1"/>
          <c:tx>
            <c:strRef>
              <c:f>Sheet1!$C$2</c:f>
              <c:strCache>
                <c:ptCount val="1"/>
                <c:pt idx="0">
                  <c:v>Oraș Ianca</c:v>
                </c:pt>
              </c:strCache>
            </c:strRef>
          </c:tx>
          <c:invertIfNegative val="0"/>
          <c:cat>
            <c:numRef>
              <c:f>Sheet1!$A$3:$A$7</c:f>
              <c:numCache>
                <c:formatCode>General</c:formatCode>
                <c:ptCount val="5"/>
                <c:pt idx="0">
                  <c:v>2014</c:v>
                </c:pt>
                <c:pt idx="1">
                  <c:v>2015</c:v>
                </c:pt>
                <c:pt idx="2">
                  <c:v>2016</c:v>
                </c:pt>
                <c:pt idx="3">
                  <c:v>2017</c:v>
                </c:pt>
                <c:pt idx="4">
                  <c:v>2018</c:v>
                </c:pt>
              </c:numCache>
            </c:numRef>
          </c:cat>
          <c:val>
            <c:numRef>
              <c:f>Sheet1!$C$3:$C$7</c:f>
              <c:numCache>
                <c:formatCode>General</c:formatCode>
                <c:ptCount val="5"/>
                <c:pt idx="0">
                  <c:v>25</c:v>
                </c:pt>
                <c:pt idx="1">
                  <c:v>5</c:v>
                </c:pt>
                <c:pt idx="2">
                  <c:v>31</c:v>
                </c:pt>
                <c:pt idx="3">
                  <c:v>23</c:v>
                </c:pt>
                <c:pt idx="4">
                  <c:v>6</c:v>
                </c:pt>
              </c:numCache>
            </c:numRef>
          </c:val>
          <c:extLst>
            <c:ext xmlns:c16="http://schemas.microsoft.com/office/drawing/2014/chart" uri="{C3380CC4-5D6E-409C-BE32-E72D297353CC}">
              <c16:uniqueId val="{00000001-233B-44A0-BE1E-8119E7A45EB0}"/>
            </c:ext>
          </c:extLst>
        </c:ser>
        <c:ser>
          <c:idx val="2"/>
          <c:order val="2"/>
          <c:tx>
            <c:strRef>
              <c:f>Sheet1!$D$2</c:f>
              <c:strCache>
                <c:ptCount val="1"/>
                <c:pt idx="0">
                  <c:v>Oraș Făurei</c:v>
                </c:pt>
              </c:strCache>
            </c:strRef>
          </c:tx>
          <c:invertIfNegative val="0"/>
          <c:cat>
            <c:numRef>
              <c:f>Sheet1!$A$3:$A$7</c:f>
              <c:numCache>
                <c:formatCode>General</c:formatCode>
                <c:ptCount val="5"/>
                <c:pt idx="0">
                  <c:v>2014</c:v>
                </c:pt>
                <c:pt idx="1">
                  <c:v>2015</c:v>
                </c:pt>
                <c:pt idx="2">
                  <c:v>2016</c:v>
                </c:pt>
                <c:pt idx="3">
                  <c:v>2017</c:v>
                </c:pt>
                <c:pt idx="4">
                  <c:v>2018</c:v>
                </c:pt>
              </c:numCache>
            </c:numRef>
          </c:cat>
          <c:val>
            <c:numRef>
              <c:f>Sheet1!$D$3:$D$7</c:f>
              <c:numCache>
                <c:formatCode>General</c:formatCode>
                <c:ptCount val="5"/>
                <c:pt idx="0">
                  <c:v>27</c:v>
                </c:pt>
                <c:pt idx="1">
                  <c:v>9</c:v>
                </c:pt>
                <c:pt idx="2">
                  <c:v>8</c:v>
                </c:pt>
                <c:pt idx="3">
                  <c:v>4</c:v>
                </c:pt>
                <c:pt idx="4">
                  <c:v>3</c:v>
                </c:pt>
              </c:numCache>
            </c:numRef>
          </c:val>
          <c:extLst>
            <c:ext xmlns:c16="http://schemas.microsoft.com/office/drawing/2014/chart" uri="{C3380CC4-5D6E-409C-BE32-E72D297353CC}">
              <c16:uniqueId val="{00000002-233B-44A0-BE1E-8119E7A45EB0}"/>
            </c:ext>
          </c:extLst>
        </c:ser>
        <c:ser>
          <c:idx val="3"/>
          <c:order val="3"/>
          <c:tx>
            <c:strRef>
              <c:f>Sheet1!$E$2</c:f>
              <c:strCache>
                <c:ptCount val="1"/>
                <c:pt idx="0">
                  <c:v>Oraș Însurăței</c:v>
                </c:pt>
              </c:strCache>
            </c:strRef>
          </c:tx>
          <c:invertIfNegative val="0"/>
          <c:cat>
            <c:numRef>
              <c:f>Sheet1!$A$3:$A$7</c:f>
              <c:numCache>
                <c:formatCode>General</c:formatCode>
                <c:ptCount val="5"/>
                <c:pt idx="0">
                  <c:v>2014</c:v>
                </c:pt>
                <c:pt idx="1">
                  <c:v>2015</c:v>
                </c:pt>
                <c:pt idx="2">
                  <c:v>2016</c:v>
                </c:pt>
                <c:pt idx="3">
                  <c:v>2017</c:v>
                </c:pt>
                <c:pt idx="4">
                  <c:v>2018</c:v>
                </c:pt>
              </c:numCache>
            </c:numRef>
          </c:cat>
          <c:val>
            <c:numRef>
              <c:f>Sheet1!$E$3:$E$7</c:f>
              <c:numCache>
                <c:formatCode>General</c:formatCode>
                <c:ptCount val="5"/>
                <c:pt idx="0">
                  <c:v>10</c:v>
                </c:pt>
                <c:pt idx="1">
                  <c:v>1</c:v>
                </c:pt>
                <c:pt idx="2">
                  <c:v>4</c:v>
                </c:pt>
                <c:pt idx="3">
                  <c:v>5</c:v>
                </c:pt>
                <c:pt idx="4">
                  <c:v>0</c:v>
                </c:pt>
              </c:numCache>
            </c:numRef>
          </c:val>
          <c:extLst>
            <c:ext xmlns:c16="http://schemas.microsoft.com/office/drawing/2014/chart" uri="{C3380CC4-5D6E-409C-BE32-E72D297353CC}">
              <c16:uniqueId val="{00000003-233B-44A0-BE1E-8119E7A45EB0}"/>
            </c:ext>
          </c:extLst>
        </c:ser>
        <c:ser>
          <c:idx val="4"/>
          <c:order val="4"/>
          <c:tx>
            <c:strRef>
              <c:f>Sheet1!$F$2</c:f>
              <c:strCache>
                <c:ptCount val="1"/>
                <c:pt idx="0">
                  <c:v>Total Județ Brăila</c:v>
                </c:pt>
              </c:strCache>
            </c:strRef>
          </c:tx>
          <c:invertIfNegative val="0"/>
          <c:cat>
            <c:numRef>
              <c:f>Sheet1!$A$3:$A$7</c:f>
              <c:numCache>
                <c:formatCode>General</c:formatCode>
                <c:ptCount val="5"/>
                <c:pt idx="0">
                  <c:v>2014</c:v>
                </c:pt>
                <c:pt idx="1">
                  <c:v>2015</c:v>
                </c:pt>
                <c:pt idx="2">
                  <c:v>2016</c:v>
                </c:pt>
                <c:pt idx="3">
                  <c:v>2017</c:v>
                </c:pt>
                <c:pt idx="4">
                  <c:v>2018</c:v>
                </c:pt>
              </c:numCache>
            </c:numRef>
          </c:cat>
          <c:val>
            <c:numRef>
              <c:f>Sheet1!$F$3:$F$7</c:f>
              <c:numCache>
                <c:formatCode>General</c:formatCode>
                <c:ptCount val="5"/>
                <c:pt idx="0">
                  <c:v>504</c:v>
                </c:pt>
                <c:pt idx="1">
                  <c:v>400</c:v>
                </c:pt>
                <c:pt idx="2">
                  <c:v>399</c:v>
                </c:pt>
                <c:pt idx="3">
                  <c:v>376</c:v>
                </c:pt>
                <c:pt idx="4">
                  <c:v>325</c:v>
                </c:pt>
              </c:numCache>
            </c:numRef>
          </c:val>
          <c:extLst>
            <c:ext xmlns:c16="http://schemas.microsoft.com/office/drawing/2014/chart" uri="{C3380CC4-5D6E-409C-BE32-E72D297353CC}">
              <c16:uniqueId val="{00000004-233B-44A0-BE1E-8119E7A45EB0}"/>
            </c:ext>
          </c:extLst>
        </c:ser>
        <c:dLbls>
          <c:showLegendKey val="0"/>
          <c:showVal val="0"/>
          <c:showCatName val="0"/>
          <c:showSerName val="0"/>
          <c:showPercent val="0"/>
          <c:showBubbleSize val="0"/>
        </c:dLbls>
        <c:gapWidth val="150"/>
        <c:shape val="box"/>
        <c:axId val="251731968"/>
        <c:axId val="251733504"/>
        <c:axId val="0"/>
      </c:bar3DChart>
      <c:catAx>
        <c:axId val="251731968"/>
        <c:scaling>
          <c:orientation val="minMax"/>
        </c:scaling>
        <c:delete val="0"/>
        <c:axPos val="b"/>
        <c:numFmt formatCode="General" sourceLinked="1"/>
        <c:majorTickMark val="out"/>
        <c:minorTickMark val="none"/>
        <c:tickLblPos val="nextTo"/>
        <c:txPr>
          <a:bodyPr/>
          <a:lstStyle/>
          <a:p>
            <a:pPr>
              <a:defRPr sz="1199" b="1">
                <a:latin typeface="Arial" pitchFamily="34" charset="0"/>
                <a:cs typeface="Arial" pitchFamily="34" charset="0"/>
              </a:defRPr>
            </a:pPr>
            <a:endParaRPr lang="ro-RO"/>
          </a:p>
        </c:txPr>
        <c:crossAx val="251733504"/>
        <c:crosses val="autoZero"/>
        <c:auto val="1"/>
        <c:lblAlgn val="ctr"/>
        <c:lblOffset val="100"/>
        <c:noMultiLvlLbl val="0"/>
      </c:catAx>
      <c:valAx>
        <c:axId val="251733504"/>
        <c:scaling>
          <c:orientation val="minMax"/>
        </c:scaling>
        <c:delete val="0"/>
        <c:axPos val="l"/>
        <c:majorGridlines/>
        <c:numFmt formatCode="General" sourceLinked="1"/>
        <c:majorTickMark val="out"/>
        <c:minorTickMark val="none"/>
        <c:tickLblPos val="nextTo"/>
        <c:txPr>
          <a:bodyPr/>
          <a:lstStyle/>
          <a:p>
            <a:pPr>
              <a:defRPr sz="1199" b="1">
                <a:latin typeface="Arial" pitchFamily="34" charset="0"/>
                <a:cs typeface="Arial" pitchFamily="34" charset="0"/>
              </a:defRPr>
            </a:pPr>
            <a:endParaRPr lang="ro-RO"/>
          </a:p>
        </c:txPr>
        <c:crossAx val="251731968"/>
        <c:crosses val="autoZero"/>
        <c:crossBetween val="between"/>
      </c:valAx>
      <c:spPr>
        <a:solidFill>
          <a:schemeClr val="accent3">
            <a:lumMod val="20000"/>
            <a:lumOff val="80000"/>
          </a:schemeClr>
        </a:solidFill>
      </c:spPr>
    </c:plotArea>
    <c:legend>
      <c:legendPos val="r"/>
      <c:overlay val="0"/>
      <c:spPr>
        <a:solidFill>
          <a:schemeClr val="accent2">
            <a:lumMod val="40000"/>
            <a:lumOff val="60000"/>
          </a:schemeClr>
        </a:solidFill>
        <a:ln>
          <a:solidFill>
            <a:schemeClr val="bg1"/>
          </a:solidFill>
        </a:ln>
      </c:spPr>
      <c:txPr>
        <a:bodyPr/>
        <a:lstStyle/>
        <a:p>
          <a:pPr>
            <a:defRPr sz="1000" b="1" baseline="0">
              <a:latin typeface="Arial" pitchFamily="34" charset="0"/>
              <a:cs typeface="Arial" pitchFamily="34" charset="0"/>
            </a:defRPr>
          </a:pPr>
          <a:endParaRPr lang="ro-RO"/>
        </a:p>
      </c:txPr>
    </c:legend>
    <c:plotVisOnly val="1"/>
    <c:dispBlanksAs val="gap"/>
    <c:showDLblsOverMax val="0"/>
  </c:chart>
  <c:spPr>
    <a:blipFill>
      <a:blip xmlns:r="http://schemas.openxmlformats.org/officeDocument/2006/relationships" r:embed="rId2"/>
      <a:tile tx="0" ty="0" sx="100000" sy="100000" flip="none" algn="tl"/>
    </a:blipFill>
    <a:ln>
      <a:solidFill>
        <a:schemeClr val="bg1"/>
      </a:solidFill>
    </a:ln>
  </c:spPr>
  <c:txPr>
    <a:bodyPr rot="0" anchor="t" anchorCtr="0"/>
    <a:lstStyle/>
    <a:p>
      <a:pPr>
        <a:defRPr baseline="0">
          <a:ln>
            <a:noFill/>
          </a:ln>
        </a:defRPr>
      </a:pPr>
      <a:endParaRPr lang="ro-RO"/>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a:t>Fig.VIII.1.1.1</a:t>
            </a:r>
            <a:r>
              <a:rPr lang="ro-RO" sz="1200" baseline="0"/>
              <a:t> -5 </a:t>
            </a:r>
            <a:r>
              <a:rPr lang="en-US" sz="1200"/>
              <a:t>Evoluția  concentraţiilor  medii anuale a PM</a:t>
            </a:r>
            <a:r>
              <a:rPr lang="en-US" sz="1200" baseline="-25000"/>
              <a:t>10</a:t>
            </a:r>
            <a:r>
              <a:rPr lang="en-US" sz="1200"/>
              <a:t> - </a:t>
            </a:r>
            <a:r>
              <a:rPr lang="ro-RO" sz="1200"/>
              <a:t>(µg/mc) în județul Brăila în perioada 2012 – 2018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plotArea>
      <c:layout/>
      <c:lineChart>
        <c:grouping val="stacked"/>
        <c:varyColors val="0"/>
        <c:ser>
          <c:idx val="0"/>
          <c:order val="0"/>
          <c:tx>
            <c:strRef>
              <c:f>Sheet1!$B$1</c:f>
              <c:strCache>
                <c:ptCount val="1"/>
                <c:pt idx="0">
                  <c:v>PM10 (concentraţie medie/an)  (µg/mc</c:v>
                </c:pt>
              </c:strCache>
            </c:strRef>
          </c:tx>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28.07</c:v>
                </c:pt>
                <c:pt idx="1">
                  <c:v>36.15</c:v>
                </c:pt>
                <c:pt idx="2">
                  <c:v>46.03</c:v>
                </c:pt>
                <c:pt idx="3">
                  <c:v>36.68</c:v>
                </c:pt>
                <c:pt idx="4">
                  <c:v>27.93</c:v>
                </c:pt>
                <c:pt idx="5">
                  <c:v>20.7</c:v>
                </c:pt>
                <c:pt idx="6">
                  <c:v>16.25</c:v>
                </c:pt>
              </c:numCache>
            </c:numRef>
          </c:val>
          <c:smooth val="0"/>
          <c:extLst>
            <c:ext xmlns:c16="http://schemas.microsoft.com/office/drawing/2014/chart" uri="{C3380CC4-5D6E-409C-BE32-E72D297353CC}">
              <c16:uniqueId val="{00000000-935D-4112-B55E-B1092A88D46D}"/>
            </c:ext>
          </c:extLst>
        </c:ser>
        <c:ser>
          <c:idx val="1"/>
          <c:order val="1"/>
          <c:tx>
            <c:strRef>
              <c:f>Sheet1!$C$1</c:f>
              <c:strCache>
                <c:ptCount val="1"/>
                <c:pt idx="0">
                  <c:v>Column1</c:v>
                </c:pt>
              </c:strCache>
            </c:strRef>
          </c:tx>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Ref>
          </c:val>
          <c:smooth val="0"/>
          <c:extLst>
            <c:ext xmlns:c16="http://schemas.microsoft.com/office/drawing/2014/chart" uri="{C3380CC4-5D6E-409C-BE32-E72D297353CC}">
              <c16:uniqueId val="{00000001-935D-4112-B55E-B1092A88D46D}"/>
            </c:ext>
          </c:extLst>
        </c:ser>
        <c:ser>
          <c:idx val="2"/>
          <c:order val="2"/>
          <c:tx>
            <c:strRef>
              <c:f>Sheet1!$D$1</c:f>
              <c:strCache>
                <c:ptCount val="1"/>
                <c:pt idx="0">
                  <c:v>Column2</c:v>
                </c:pt>
              </c:strCache>
            </c:strRef>
          </c:tx>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Sheet1!$D$2:$D$8</c:f>
            </c:numRef>
          </c:val>
          <c:smooth val="0"/>
          <c:extLst>
            <c:ext xmlns:c16="http://schemas.microsoft.com/office/drawing/2014/chart" uri="{C3380CC4-5D6E-409C-BE32-E72D297353CC}">
              <c16:uniqueId val="{00000002-935D-4112-B55E-B1092A88D46D}"/>
            </c:ext>
          </c:extLst>
        </c:ser>
        <c:dLbls>
          <c:showLegendKey val="0"/>
          <c:showVal val="0"/>
          <c:showCatName val="0"/>
          <c:showSerName val="0"/>
          <c:showPercent val="0"/>
          <c:showBubbleSize val="0"/>
        </c:dLbls>
        <c:marker val="1"/>
        <c:smooth val="0"/>
        <c:axId val="251565568"/>
        <c:axId val="251567104"/>
      </c:lineChart>
      <c:catAx>
        <c:axId val="251565568"/>
        <c:scaling>
          <c:orientation val="minMax"/>
        </c:scaling>
        <c:delete val="0"/>
        <c:axPos val="b"/>
        <c:numFmt formatCode="General" sourceLinked="1"/>
        <c:majorTickMark val="out"/>
        <c:minorTickMark val="none"/>
        <c:tickLblPos val="nextTo"/>
        <c:crossAx val="251567104"/>
        <c:crosses val="autoZero"/>
        <c:auto val="1"/>
        <c:lblAlgn val="ctr"/>
        <c:lblOffset val="100"/>
        <c:noMultiLvlLbl val="0"/>
      </c:catAx>
      <c:valAx>
        <c:axId val="251567104"/>
        <c:scaling>
          <c:orientation val="minMax"/>
        </c:scaling>
        <c:delete val="0"/>
        <c:axPos val="l"/>
        <c:majorGridlines/>
        <c:numFmt formatCode="General" sourceLinked="1"/>
        <c:majorTickMark val="out"/>
        <c:minorTickMark val="none"/>
        <c:tickLblPos val="nextTo"/>
        <c:crossAx val="251565568"/>
        <c:crosses val="autoZero"/>
        <c:crossBetween val="between"/>
      </c:valAx>
      <c:spPr>
        <a:solidFill>
          <a:schemeClr val="accent4">
            <a:lumMod val="40000"/>
            <a:lumOff val="60000"/>
          </a:schemeClr>
        </a:solidFill>
      </c:spPr>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a:lstStyle/>
          <a:p>
            <a:pPr algn="ctr" rtl="0">
              <a:defRPr lang="en-US"/>
            </a:pPr>
            <a:r>
              <a:rPr lang="ro-RO"/>
              <a:t>Evoluția</a:t>
            </a:r>
            <a:r>
              <a:rPr lang="ro-RO" baseline="0"/>
              <a:t> zgomotului în parcuri, zone de recreere și odihnă</a:t>
            </a:r>
            <a:endParaRPr lang="ro-RO"/>
          </a:p>
        </c:rich>
      </c:tx>
      <c:overlay val="0"/>
      <c:spPr>
        <a:ln>
          <a:noFill/>
        </a:ln>
      </c:spPr>
    </c:title>
    <c:autoTitleDeleted val="0"/>
    <c:plotArea>
      <c:layout>
        <c:manualLayout>
          <c:layoutTarget val="inner"/>
          <c:xMode val="edge"/>
          <c:yMode val="edge"/>
          <c:x val="0.16814659635435492"/>
          <c:y val="0.21814432989691296"/>
          <c:w val="0.83185340364564564"/>
          <c:h val="0.54355313833191898"/>
        </c:manualLayout>
      </c:layout>
      <c:lineChart>
        <c:grouping val="standard"/>
        <c:varyColors val="0"/>
        <c:ser>
          <c:idx val="0"/>
          <c:order val="0"/>
          <c:tx>
            <c:strRef>
              <c:f>Sheet1!$B$1</c:f>
              <c:strCache>
                <c:ptCount val="1"/>
                <c:pt idx="0">
                  <c:v>media anuală</c:v>
                </c:pt>
              </c:strCache>
            </c:strRef>
          </c:tx>
          <c:spPr>
            <a:ln w="28566">
              <a:solidFill>
                <a:srgbClr val="C00000"/>
              </a:solidFill>
            </a:ln>
          </c:spPr>
          <c:marker>
            <c:symbol val="square"/>
            <c:size val="2"/>
            <c:spPr>
              <a:solidFill>
                <a:srgbClr val="FFFF00"/>
              </a:solidFill>
            </c:spPr>
          </c:marker>
          <c:dLbls>
            <c:dLbl>
              <c:idx val="0"/>
              <c:layout>
                <c:manualLayout>
                  <c:x val="-4.6570583270730735E-2"/>
                  <c:y val="6.4383798616082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E5-4612-82FF-0530E1284B94}"/>
                </c:ext>
              </c:extLst>
            </c:dLbl>
            <c:dLbl>
              <c:idx val="1"/>
              <c:layout>
                <c:manualLayout>
                  <c:x val="-3.798132123943871E-2"/>
                  <c:y val="5.7617811978049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E5-4612-82FF-0530E1284B94}"/>
                </c:ext>
              </c:extLst>
            </c:dLbl>
            <c:dLbl>
              <c:idx val="2"/>
              <c:layout>
                <c:manualLayout>
                  <c:x val="-4.7114252061248904E-2"/>
                  <c:y val="5.3030303030303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E5-4612-82FF-0530E1284B94}"/>
                </c:ext>
              </c:extLst>
            </c:dLbl>
            <c:dLbl>
              <c:idx val="3"/>
              <c:layout>
                <c:manualLayout>
                  <c:x val="-4.5945484729603123E-2"/>
                  <c:y val="5.4099558577905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E5-4612-82FF-0530E1284B94}"/>
                </c:ext>
              </c:extLst>
            </c:dLbl>
            <c:dLbl>
              <c:idx val="4"/>
              <c:layout>
                <c:manualLayout>
                  <c:x val="-4.8717991523148534E-2"/>
                  <c:y val="5.3290085898353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E5-4612-82FF-0530E1284B94}"/>
                </c:ext>
              </c:extLst>
            </c:dLbl>
            <c:spPr>
              <a:noFill/>
              <a:ln>
                <a:noFill/>
              </a:ln>
              <a:effectLst/>
            </c:spPr>
            <c:txPr>
              <a:bodyPr/>
              <a:lstStyle/>
              <a:p>
                <a:pPr>
                  <a:defRPr lang="en-US" sz="900" b="1" i="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54.7</c:v>
                </c:pt>
                <c:pt idx="1">
                  <c:v>55.3</c:v>
                </c:pt>
                <c:pt idx="2">
                  <c:v>54.4</c:v>
                </c:pt>
                <c:pt idx="3">
                  <c:v>53.8</c:v>
                </c:pt>
                <c:pt idx="4">
                  <c:v>52.9</c:v>
                </c:pt>
              </c:numCache>
            </c:numRef>
          </c:val>
          <c:smooth val="0"/>
          <c:extLst>
            <c:ext xmlns:c16="http://schemas.microsoft.com/office/drawing/2014/chart" uri="{C3380CC4-5D6E-409C-BE32-E72D297353CC}">
              <c16:uniqueId val="{00000005-E7E5-4612-82FF-0530E1284B94}"/>
            </c:ext>
          </c:extLst>
        </c:ser>
        <c:ser>
          <c:idx val="1"/>
          <c:order val="1"/>
          <c:tx>
            <c:strRef>
              <c:f>Sheet1!$C$1</c:f>
              <c:strCache>
                <c:ptCount val="1"/>
                <c:pt idx="0">
                  <c:v>limita admisă</c:v>
                </c:pt>
              </c:strCache>
            </c:strRef>
          </c:tx>
          <c:spPr>
            <a:ln w="28566">
              <a:solidFill>
                <a:srgbClr val="D47ACE"/>
              </a:solidFill>
            </a:ln>
          </c:spPr>
          <c:marker>
            <c:symbol val="square"/>
            <c:size val="11"/>
            <c:spPr>
              <a:solidFill>
                <a:srgbClr val="FFFF00"/>
              </a:solidFill>
              <a:ln w="6348">
                <a:solidFill>
                  <a:srgbClr val="D47ACE"/>
                </a:solidFill>
              </a:ln>
            </c:spPr>
          </c:marker>
          <c:dPt>
            <c:idx val="0"/>
            <c:marker>
              <c:symbol val="circle"/>
              <c:size val="5"/>
            </c:marker>
            <c:bubble3D val="0"/>
            <c:extLst>
              <c:ext xmlns:c16="http://schemas.microsoft.com/office/drawing/2014/chart" uri="{C3380CC4-5D6E-409C-BE32-E72D297353CC}">
                <c16:uniqueId val="{00000006-E7E5-4612-82FF-0530E1284B94}"/>
              </c:ext>
            </c:extLst>
          </c:dPt>
          <c:dPt>
            <c:idx val="1"/>
            <c:marker>
              <c:symbol val="circle"/>
              <c:size val="5"/>
            </c:marker>
            <c:bubble3D val="0"/>
            <c:extLst>
              <c:ext xmlns:c16="http://schemas.microsoft.com/office/drawing/2014/chart" uri="{C3380CC4-5D6E-409C-BE32-E72D297353CC}">
                <c16:uniqueId val="{00000007-E7E5-4612-82FF-0530E1284B94}"/>
              </c:ext>
            </c:extLst>
          </c:dPt>
          <c:dPt>
            <c:idx val="2"/>
            <c:marker>
              <c:symbol val="circle"/>
              <c:size val="5"/>
            </c:marker>
            <c:bubble3D val="0"/>
            <c:extLst>
              <c:ext xmlns:c16="http://schemas.microsoft.com/office/drawing/2014/chart" uri="{C3380CC4-5D6E-409C-BE32-E72D297353CC}">
                <c16:uniqueId val="{00000008-E7E5-4612-82FF-0530E1284B94}"/>
              </c:ext>
            </c:extLst>
          </c:dPt>
          <c:dPt>
            <c:idx val="3"/>
            <c:marker>
              <c:symbol val="circle"/>
              <c:size val="5"/>
            </c:marker>
            <c:bubble3D val="0"/>
            <c:extLst>
              <c:ext xmlns:c16="http://schemas.microsoft.com/office/drawing/2014/chart" uri="{C3380CC4-5D6E-409C-BE32-E72D297353CC}">
                <c16:uniqueId val="{00000009-E7E5-4612-82FF-0530E1284B94}"/>
              </c:ext>
            </c:extLst>
          </c:dPt>
          <c:dPt>
            <c:idx val="4"/>
            <c:marker>
              <c:symbol val="circle"/>
              <c:size val="5"/>
            </c:marker>
            <c:bubble3D val="0"/>
            <c:extLst>
              <c:ext xmlns:c16="http://schemas.microsoft.com/office/drawing/2014/chart" uri="{C3380CC4-5D6E-409C-BE32-E72D297353CC}">
                <c16:uniqueId val="{0000000A-E7E5-4612-82FF-0530E1284B94}"/>
              </c:ext>
            </c:extLst>
          </c:dPt>
          <c:dLbls>
            <c:dLbl>
              <c:idx val="0"/>
              <c:layout>
                <c:manualLayout>
                  <c:x val="-5.3846153846153912E-2"/>
                  <c:y val="6.684256816182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E5-4612-82FF-0530E1284B94}"/>
                </c:ext>
              </c:extLst>
            </c:dLbl>
            <c:dLbl>
              <c:idx val="1"/>
              <c:layout>
                <c:manualLayout>
                  <c:x val="-5.3846153846153912E-2"/>
                  <c:y val="6.3324538258575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E5-4612-82FF-0530E1284B94}"/>
                </c:ext>
              </c:extLst>
            </c:dLbl>
            <c:dLbl>
              <c:idx val="2"/>
              <c:layout>
                <c:manualLayout>
                  <c:x val="-5.1282051282051294E-2"/>
                  <c:y val="5.2770448548812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E5-4612-82FF-0530E1284B94}"/>
                </c:ext>
              </c:extLst>
            </c:dLbl>
            <c:dLbl>
              <c:idx val="3"/>
              <c:layout>
                <c:manualLayout>
                  <c:x val="-5.6410256410256432E-2"/>
                  <c:y val="6.3324538258575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E5-4612-82FF-0530E1284B94}"/>
                </c:ext>
              </c:extLst>
            </c:dLbl>
            <c:dLbl>
              <c:idx val="4"/>
              <c:layout>
                <c:manualLayout>
                  <c:x val="-6.1538461538461924E-2"/>
                  <c:y val="5.62884784520669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E5-4612-82FF-0530E1284B94}"/>
                </c:ext>
              </c:extLst>
            </c:dLbl>
            <c:spPr>
              <a:noFill/>
              <a:ln>
                <a:noFill/>
              </a:ln>
              <a:effectLst/>
            </c:spPr>
            <c:txPr>
              <a:bodyPr/>
              <a:lstStyle/>
              <a:p>
                <a:pPr>
                  <a:defRPr lang="en-US" sz="900" b="1" i="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45</c:v>
                </c:pt>
                <c:pt idx="1">
                  <c:v>45</c:v>
                </c:pt>
                <c:pt idx="2">
                  <c:v>45</c:v>
                </c:pt>
                <c:pt idx="3">
                  <c:v>45</c:v>
                </c:pt>
                <c:pt idx="4">
                  <c:v>45</c:v>
                </c:pt>
              </c:numCache>
            </c:numRef>
          </c:val>
          <c:smooth val="0"/>
          <c:extLst>
            <c:ext xmlns:c16="http://schemas.microsoft.com/office/drawing/2014/chart" uri="{C3380CC4-5D6E-409C-BE32-E72D297353CC}">
              <c16:uniqueId val="{0000000B-E7E5-4612-82FF-0530E1284B94}"/>
            </c:ext>
          </c:extLst>
        </c:ser>
        <c:dLbls>
          <c:showLegendKey val="0"/>
          <c:showVal val="0"/>
          <c:showCatName val="0"/>
          <c:showSerName val="0"/>
          <c:showPercent val="0"/>
          <c:showBubbleSize val="0"/>
        </c:dLbls>
        <c:marker val="1"/>
        <c:smooth val="0"/>
        <c:axId val="251971072"/>
        <c:axId val="251972608"/>
      </c:lineChart>
      <c:catAx>
        <c:axId val="251971072"/>
        <c:scaling>
          <c:orientation val="minMax"/>
        </c:scaling>
        <c:delete val="0"/>
        <c:axPos val="b"/>
        <c:numFmt formatCode="General" sourceLinked="1"/>
        <c:majorTickMark val="none"/>
        <c:minorTickMark val="none"/>
        <c:tickLblPos val="nextTo"/>
        <c:spPr>
          <a:noFill/>
          <a:ln cap="rnd"/>
        </c:spPr>
        <c:txPr>
          <a:bodyPr/>
          <a:lstStyle/>
          <a:p>
            <a:pPr>
              <a:defRPr lang="en-US" sz="900" b="1"/>
            </a:pPr>
            <a:endParaRPr lang="ro-RO"/>
          </a:p>
        </c:txPr>
        <c:crossAx val="251972608"/>
        <c:crossesAt val="0"/>
        <c:auto val="1"/>
        <c:lblAlgn val="ctr"/>
        <c:lblOffset val="100"/>
        <c:noMultiLvlLbl val="0"/>
      </c:catAx>
      <c:valAx>
        <c:axId val="251972608"/>
        <c:scaling>
          <c:orientation val="minMax"/>
          <c:max val="57"/>
          <c:min val="42"/>
        </c:scaling>
        <c:delete val="0"/>
        <c:axPos val="l"/>
        <c:majorGridlines/>
        <c:minorGridlines>
          <c:spPr>
            <a:ln>
              <a:solidFill>
                <a:sysClr val="windowText" lastClr="000000"/>
              </a:solidFill>
            </a:ln>
          </c:spPr>
        </c:minorGridlines>
        <c:title>
          <c:tx>
            <c:rich>
              <a:bodyPr/>
              <a:lstStyle/>
              <a:p>
                <a:pPr>
                  <a:defRPr lang="en-US" sz="1000" b="1" i="0" u="none" strike="noStrike" baseline="0">
                    <a:solidFill>
                      <a:srgbClr val="000000"/>
                    </a:solidFill>
                    <a:latin typeface="Arial"/>
                    <a:ea typeface="Arial"/>
                    <a:cs typeface="Arial"/>
                  </a:defRPr>
                </a:pPr>
                <a:r>
                  <a:rPr lang="ro-RO"/>
                  <a:t>dB(A)</a:t>
                </a:r>
              </a:p>
            </c:rich>
          </c:tx>
          <c:overlay val="0"/>
        </c:title>
        <c:numFmt formatCode="#,##0.0" sourceLinked="0"/>
        <c:majorTickMark val="none"/>
        <c:minorTickMark val="none"/>
        <c:tickLblPos val="nextTo"/>
        <c:spPr>
          <a:noFill/>
        </c:spPr>
        <c:txPr>
          <a:bodyPr/>
          <a:lstStyle/>
          <a:p>
            <a:pPr>
              <a:defRPr lang="en-US" sz="900" b="1"/>
            </a:pPr>
            <a:endParaRPr lang="ro-RO"/>
          </a:p>
        </c:txPr>
        <c:crossAx val="251971072"/>
        <c:crosses val="autoZero"/>
        <c:crossBetween val="between"/>
        <c:majorUnit val="2"/>
        <c:minorUnit val="1"/>
      </c:valAx>
      <c:spPr>
        <a:solidFill>
          <a:srgbClr val="4F81BD">
            <a:lumMod val="20000"/>
            <a:lumOff val="80000"/>
          </a:srgbClr>
        </a:solidFill>
        <a:ln w="12696">
          <a:solidFill>
            <a:sysClr val="windowText" lastClr="000000"/>
          </a:solidFill>
        </a:ln>
      </c:spPr>
    </c:plotArea>
    <c:legend>
      <c:legendPos val="b"/>
      <c:legendEntry>
        <c:idx val="0"/>
        <c:txPr>
          <a:bodyPr/>
          <a:lstStyle/>
          <a:p>
            <a:pPr>
              <a:defRPr sz="900" b="1" i="0" baseline="0"/>
            </a:pPr>
            <a:endParaRPr lang="ro-RO"/>
          </a:p>
        </c:txPr>
      </c:legendEntry>
      <c:legendEntry>
        <c:idx val="1"/>
        <c:txPr>
          <a:bodyPr/>
          <a:lstStyle/>
          <a:p>
            <a:pPr>
              <a:defRPr sz="900" b="1" i="0" baseline="0"/>
            </a:pPr>
            <a:endParaRPr lang="ro-RO"/>
          </a:p>
        </c:txPr>
      </c:legendEntry>
      <c:overlay val="0"/>
      <c:txPr>
        <a:bodyPr/>
        <a:lstStyle/>
        <a:p>
          <a:pPr>
            <a:defRPr lang="en-US"/>
          </a:pPr>
          <a:endParaRPr lang="ro-RO"/>
        </a:p>
      </c:txPr>
    </c:legend>
    <c:plotVisOnly val="1"/>
    <c:dispBlanksAs val="gap"/>
    <c:showDLblsOverMax val="0"/>
  </c:chart>
  <c:spPr>
    <a:solidFill>
      <a:srgbClr val="F79646">
        <a:lumMod val="20000"/>
        <a:lumOff val="80000"/>
      </a:srgbClr>
    </a:solidFill>
  </c:spPr>
  <c:txPr>
    <a:bodyPr/>
    <a:lstStyle/>
    <a:p>
      <a:pPr>
        <a:defRPr sz="1000">
          <a:latin typeface="Arial" pitchFamily="34" charset="0"/>
          <a:cs typeface="Arial" pitchFamily="34" charset="0"/>
        </a:defRPr>
      </a:pPr>
      <a:endParaRPr lang="ro-RO"/>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a:lstStyle/>
          <a:p>
            <a:pPr>
              <a:defRPr lang="en-US" sz="1196">
                <a:latin typeface="Arial" pitchFamily="34" charset="0"/>
                <a:cs typeface="Arial" pitchFamily="34" charset="0"/>
              </a:defRPr>
            </a:pPr>
            <a:r>
              <a:rPr lang="ro-RO" sz="1196">
                <a:latin typeface="Arial" pitchFamily="34" charset="0"/>
                <a:cs typeface="Arial" pitchFamily="34" charset="0"/>
              </a:rPr>
              <a:t>Evoluția zgomotului </a:t>
            </a:r>
            <a:r>
              <a:rPr lang="ro-RO" sz="1090" baseline="0">
                <a:latin typeface="Arial" pitchFamily="34" charset="0"/>
                <a:cs typeface="Arial" pitchFamily="34" charset="0"/>
              </a:rPr>
              <a:t>echivalent</a:t>
            </a:r>
            <a:r>
              <a:rPr lang="ro-RO" sz="1196">
                <a:latin typeface="Arial" pitchFamily="34" charset="0"/>
                <a:cs typeface="Arial" pitchFamily="34" charset="0"/>
              </a:rPr>
              <a:t> pentru străzi</a:t>
            </a:r>
            <a:r>
              <a:rPr lang="ro-RO" sz="1196" baseline="0">
                <a:latin typeface="Arial" pitchFamily="34" charset="0"/>
                <a:cs typeface="Arial" pitchFamily="34" charset="0"/>
              </a:rPr>
              <a:t> magistrale</a:t>
            </a:r>
            <a:r>
              <a:rPr lang="ro-RO" sz="1196">
                <a:latin typeface="Arial" pitchFamily="34" charset="0"/>
                <a:cs typeface="Arial" pitchFamily="34" charset="0"/>
              </a:rPr>
              <a:t> 2014-2018</a:t>
            </a:r>
          </a:p>
        </c:rich>
      </c:tx>
      <c:layout>
        <c:manualLayout>
          <c:xMode val="edge"/>
          <c:yMode val="edge"/>
          <c:x val="0.16420803264403094"/>
          <c:y val="0"/>
        </c:manualLayout>
      </c:layout>
      <c:overlay val="0"/>
    </c:title>
    <c:autoTitleDeleted val="0"/>
    <c:plotArea>
      <c:layout>
        <c:manualLayout>
          <c:layoutTarget val="inner"/>
          <c:xMode val="edge"/>
          <c:yMode val="edge"/>
          <c:x val="0.13990435599220427"/>
          <c:y val="0.16343443755921658"/>
          <c:w val="0.82829136266223602"/>
          <c:h val="0.63137554551243225"/>
        </c:manualLayout>
      </c:layout>
      <c:lineChart>
        <c:grouping val="standard"/>
        <c:varyColors val="0"/>
        <c:ser>
          <c:idx val="0"/>
          <c:order val="0"/>
          <c:tx>
            <c:strRef>
              <c:f>Sheet1!$B$1</c:f>
              <c:strCache>
                <c:ptCount val="1"/>
                <c:pt idx="0">
                  <c:v>media anuală</c:v>
                </c:pt>
              </c:strCache>
            </c:strRef>
          </c:tx>
          <c:spPr>
            <a:ln w="28493"/>
          </c:spPr>
          <c:marker>
            <c:symbol val="none"/>
          </c:marker>
          <c:dLbls>
            <c:dLbl>
              <c:idx val="0"/>
              <c:layout>
                <c:manualLayout>
                  <c:x val="-2.2105805581643122E-2"/>
                  <c:y val="2.78556896364286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A6-4469-B8FB-AFBEE46311E0}"/>
                </c:ext>
              </c:extLst>
            </c:dLbl>
            <c:dLbl>
              <c:idx val="1"/>
              <c:layout>
                <c:manualLayout>
                  <c:x val="-1.5963013797587956E-2"/>
                  <c:y val="-1.946916398763841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A6-4469-B8FB-AFBEE46311E0}"/>
                </c:ext>
              </c:extLst>
            </c:dLbl>
            <c:dLbl>
              <c:idx val="2"/>
              <c:layout>
                <c:manualLayout>
                  <c:x val="-3.0775602590962054E-3"/>
                  <c:y val="-6.53444092684291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A6-4469-B8FB-AFBEE46311E0}"/>
                </c:ext>
              </c:extLst>
            </c:dLbl>
            <c:dLbl>
              <c:idx val="3"/>
              <c:layout>
                <c:manualLayout>
                  <c:x val="-1.9088347901466461E-3"/>
                  <c:y val="-1.52075665098076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A6-4469-B8FB-AFBEE46311E0}"/>
                </c:ext>
              </c:extLst>
            </c:dLbl>
            <c:dLbl>
              <c:idx val="4"/>
              <c:layout>
                <c:manualLayout>
                  <c:x val="-4.8717991523148707E-2"/>
                  <c:y val="5.3290085898353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A6-4469-B8FB-AFBEE46311E0}"/>
                </c:ext>
              </c:extLst>
            </c:dLbl>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67.599999999999994</c:v>
                </c:pt>
                <c:pt idx="1">
                  <c:v>68.8</c:v>
                </c:pt>
                <c:pt idx="2">
                  <c:v>69.599999999999994</c:v>
                </c:pt>
                <c:pt idx="3" formatCode="0.0">
                  <c:v>69</c:v>
                </c:pt>
                <c:pt idx="4" formatCode="0.0">
                  <c:v>67.8</c:v>
                </c:pt>
              </c:numCache>
            </c:numRef>
          </c:val>
          <c:smooth val="0"/>
          <c:extLst>
            <c:ext xmlns:c16="http://schemas.microsoft.com/office/drawing/2014/chart" uri="{C3380CC4-5D6E-409C-BE32-E72D297353CC}">
              <c16:uniqueId val="{00000005-DAA6-4469-B8FB-AFBEE46311E0}"/>
            </c:ext>
          </c:extLst>
        </c:ser>
        <c:ser>
          <c:idx val="1"/>
          <c:order val="1"/>
          <c:tx>
            <c:strRef>
              <c:f>Sheet1!$C$1</c:f>
              <c:strCache>
                <c:ptCount val="1"/>
                <c:pt idx="0">
                  <c:v>limita admisă</c:v>
                </c:pt>
              </c:strCache>
            </c:strRef>
          </c:tx>
          <c:spPr>
            <a:ln w="28493"/>
          </c:spPr>
          <c:marker>
            <c:symbol val="none"/>
          </c:marker>
          <c:dLbls>
            <c:dLbl>
              <c:idx val="0"/>
              <c:spPr/>
              <c:txPr>
                <a:bodyPr/>
                <a:lstStyle/>
                <a:p>
                  <a:pPr>
                    <a:defRPr lang="en-US"/>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A6-4469-B8FB-AFBEE46311E0}"/>
                </c:ext>
              </c:extLst>
            </c:dLbl>
            <c:dLbl>
              <c:idx val="1"/>
              <c:spPr/>
              <c:txPr>
                <a:bodyPr/>
                <a:lstStyle/>
                <a:p>
                  <a:pPr>
                    <a:defRPr lang="en-US"/>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A6-4469-B8FB-AFBEE46311E0}"/>
                </c:ext>
              </c:extLst>
            </c:dLbl>
            <c:dLbl>
              <c:idx val="2"/>
              <c:spPr/>
              <c:txPr>
                <a:bodyPr/>
                <a:lstStyle/>
                <a:p>
                  <a:pPr>
                    <a:defRPr lang="en-US"/>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A6-4469-B8FB-AFBEE46311E0}"/>
                </c:ext>
              </c:extLst>
            </c:dLbl>
            <c:dLbl>
              <c:idx val="3"/>
              <c:spPr/>
              <c:txPr>
                <a:bodyPr/>
                <a:lstStyle/>
                <a:p>
                  <a:pPr>
                    <a:defRPr lang="en-US"/>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A6-4469-B8FB-AFBEE46311E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80</c:v>
                </c:pt>
                <c:pt idx="1">
                  <c:v>80</c:v>
                </c:pt>
                <c:pt idx="2">
                  <c:v>80</c:v>
                </c:pt>
                <c:pt idx="3">
                  <c:v>80</c:v>
                </c:pt>
                <c:pt idx="4">
                  <c:v>80</c:v>
                </c:pt>
              </c:numCache>
            </c:numRef>
          </c:val>
          <c:smooth val="0"/>
          <c:extLst>
            <c:ext xmlns:c16="http://schemas.microsoft.com/office/drawing/2014/chart" uri="{C3380CC4-5D6E-409C-BE32-E72D297353CC}">
              <c16:uniqueId val="{0000000A-DAA6-4469-B8FB-AFBEE46311E0}"/>
            </c:ext>
          </c:extLst>
        </c:ser>
        <c:dLbls>
          <c:showLegendKey val="0"/>
          <c:showVal val="0"/>
          <c:showCatName val="0"/>
          <c:showSerName val="0"/>
          <c:showPercent val="0"/>
          <c:showBubbleSize val="0"/>
        </c:dLbls>
        <c:smooth val="0"/>
        <c:axId val="252226560"/>
        <c:axId val="252236544"/>
      </c:lineChart>
      <c:catAx>
        <c:axId val="252226560"/>
        <c:scaling>
          <c:orientation val="minMax"/>
        </c:scaling>
        <c:delete val="0"/>
        <c:axPos val="b"/>
        <c:numFmt formatCode="General" sourceLinked="1"/>
        <c:majorTickMark val="none"/>
        <c:minorTickMark val="none"/>
        <c:tickLblPos val="nextTo"/>
        <c:txPr>
          <a:bodyPr/>
          <a:lstStyle/>
          <a:p>
            <a:pPr>
              <a:defRPr lang="en-US" sz="1196" b="1">
                <a:latin typeface="Arial" pitchFamily="34" charset="0"/>
                <a:cs typeface="Arial" pitchFamily="34" charset="0"/>
              </a:defRPr>
            </a:pPr>
            <a:endParaRPr lang="ro-RO"/>
          </a:p>
        </c:txPr>
        <c:crossAx val="252236544"/>
        <c:crossesAt val="0"/>
        <c:auto val="1"/>
        <c:lblAlgn val="ctr"/>
        <c:lblOffset val="100"/>
        <c:noMultiLvlLbl val="0"/>
      </c:catAx>
      <c:valAx>
        <c:axId val="252236544"/>
        <c:scaling>
          <c:orientation val="minMax"/>
          <c:max val="82"/>
          <c:min val="42"/>
        </c:scaling>
        <c:delete val="0"/>
        <c:axPos val="l"/>
        <c:majorGridlines/>
        <c:minorGridlines/>
        <c:title>
          <c:tx>
            <c:rich>
              <a:bodyPr/>
              <a:lstStyle/>
              <a:p>
                <a:pPr>
                  <a:defRPr lang="en-US" sz="990" b="1" i="0" u="none" strike="noStrike" baseline="0">
                    <a:solidFill>
                      <a:srgbClr val="000000"/>
                    </a:solidFill>
                    <a:latin typeface="Calibri"/>
                    <a:ea typeface="Calibri"/>
                    <a:cs typeface="Calibri"/>
                  </a:defRPr>
                </a:pPr>
                <a:r>
                  <a:rPr lang="ro-RO"/>
                  <a:t>dB(A)</a:t>
                </a:r>
              </a:p>
            </c:rich>
          </c:tx>
          <c:overlay val="0"/>
        </c:title>
        <c:numFmt formatCode="#,##0.0" sourceLinked="0"/>
        <c:majorTickMark val="none"/>
        <c:minorTickMark val="none"/>
        <c:tickLblPos val="nextTo"/>
        <c:txPr>
          <a:bodyPr/>
          <a:lstStyle/>
          <a:p>
            <a:pPr>
              <a:defRPr lang="en-US" sz="1090" b="1" baseline="0">
                <a:latin typeface="Arial" pitchFamily="34" charset="0"/>
                <a:cs typeface="Arial" pitchFamily="34" charset="0"/>
              </a:defRPr>
            </a:pPr>
            <a:endParaRPr lang="ro-RO"/>
          </a:p>
        </c:txPr>
        <c:crossAx val="252226560"/>
        <c:crosses val="autoZero"/>
        <c:crossBetween val="between"/>
        <c:majorUnit val="5"/>
        <c:minorUnit val="2"/>
      </c:valAx>
      <c:spPr>
        <a:solidFill>
          <a:srgbClr val="4F81BD">
            <a:lumMod val="20000"/>
            <a:lumOff val="80000"/>
          </a:srgbClr>
        </a:solidFill>
      </c:spPr>
    </c:plotArea>
    <c:legend>
      <c:legendPos val="b"/>
      <c:legendEntry>
        <c:idx val="0"/>
        <c:txPr>
          <a:bodyPr/>
          <a:lstStyle/>
          <a:p>
            <a:pPr>
              <a:defRPr sz="1196">
                <a:latin typeface="Arial" pitchFamily="34" charset="0"/>
                <a:cs typeface="Arial" pitchFamily="34" charset="0"/>
              </a:defRPr>
            </a:pPr>
            <a:endParaRPr lang="ro-RO"/>
          </a:p>
        </c:txPr>
      </c:legendEntry>
      <c:layout>
        <c:manualLayout>
          <c:xMode val="edge"/>
          <c:yMode val="edge"/>
          <c:x val="0.25209017097161918"/>
          <c:y val="0.90499815881223356"/>
          <c:w val="0.52336134618686658"/>
          <c:h val="7.1664668782074045E-2"/>
        </c:manualLayout>
      </c:layout>
      <c:overlay val="0"/>
      <c:txPr>
        <a:bodyPr/>
        <a:lstStyle/>
        <a:p>
          <a:pPr>
            <a:defRPr lang="en-US" sz="1196">
              <a:latin typeface="Arial" pitchFamily="34" charset="0"/>
              <a:cs typeface="Arial" pitchFamily="34" charset="0"/>
            </a:defRPr>
          </a:pPr>
          <a:endParaRPr lang="ro-RO"/>
        </a:p>
      </c:txPr>
    </c:legend>
    <c:plotVisOnly val="1"/>
    <c:dispBlanksAs val="gap"/>
    <c:showDLblsOverMax val="0"/>
  </c:chart>
  <c:spPr>
    <a:solidFill>
      <a:srgbClr val="F79646">
        <a:lumMod val="20000"/>
        <a:lumOff val="80000"/>
      </a:srgbClr>
    </a:solidFill>
  </c:sp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a:lstStyle/>
          <a:p>
            <a:pPr>
              <a:defRPr lang="en-US" sz="1198">
                <a:latin typeface="Arial" pitchFamily="34" charset="0"/>
                <a:cs typeface="Arial" pitchFamily="34" charset="0"/>
              </a:defRPr>
            </a:pPr>
            <a:r>
              <a:rPr lang="ro-RO" sz="1198">
                <a:latin typeface="Arial" pitchFamily="34" charset="0"/>
                <a:cs typeface="Arial" pitchFamily="34" charset="0"/>
              </a:rPr>
              <a:t>Evoluția zgomotului echivalent pentru piețe,spații comerciale, restaurante în aer liber - 2014- 2018</a:t>
            </a:r>
          </a:p>
        </c:rich>
      </c:tx>
      <c:overlay val="0"/>
    </c:title>
    <c:autoTitleDeleted val="0"/>
    <c:plotArea>
      <c:layout>
        <c:manualLayout>
          <c:layoutTarget val="inner"/>
          <c:xMode val="edge"/>
          <c:yMode val="edge"/>
          <c:x val="0.14978173522702609"/>
          <c:y val="0.17053192831011538"/>
          <c:w val="0.82829136266223602"/>
          <c:h val="0.63137554551243225"/>
        </c:manualLayout>
      </c:layout>
      <c:barChart>
        <c:barDir val="col"/>
        <c:grouping val="clustered"/>
        <c:varyColors val="0"/>
        <c:ser>
          <c:idx val="0"/>
          <c:order val="0"/>
          <c:tx>
            <c:strRef>
              <c:f>Sheet1!$B$1</c:f>
              <c:strCache>
                <c:ptCount val="1"/>
                <c:pt idx="0">
                  <c:v>media anuală</c:v>
                </c:pt>
              </c:strCache>
            </c:strRef>
          </c:tx>
          <c:spPr>
            <a:ln w="28518"/>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64.2</c:v>
                </c:pt>
                <c:pt idx="1">
                  <c:v>62.3</c:v>
                </c:pt>
                <c:pt idx="2">
                  <c:v>60.9</c:v>
                </c:pt>
                <c:pt idx="3" formatCode="0.0">
                  <c:v>55.23</c:v>
                </c:pt>
                <c:pt idx="4" formatCode="0.0">
                  <c:v>56.6</c:v>
                </c:pt>
              </c:numCache>
            </c:numRef>
          </c:val>
          <c:extLst>
            <c:ext xmlns:c16="http://schemas.microsoft.com/office/drawing/2014/chart" uri="{C3380CC4-5D6E-409C-BE32-E72D297353CC}">
              <c16:uniqueId val="{00000000-5FCD-4D96-8CBD-24FDCC865AC5}"/>
            </c:ext>
          </c:extLst>
        </c:ser>
        <c:ser>
          <c:idx val="1"/>
          <c:order val="1"/>
          <c:tx>
            <c:strRef>
              <c:f>Sheet1!$C$1</c:f>
              <c:strCache>
                <c:ptCount val="1"/>
                <c:pt idx="0">
                  <c:v>limita admisă</c:v>
                </c:pt>
              </c:strCache>
            </c:strRef>
          </c:tx>
          <c:spPr>
            <a:ln w="28518"/>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65</c:v>
                </c:pt>
                <c:pt idx="1">
                  <c:v>65</c:v>
                </c:pt>
                <c:pt idx="2">
                  <c:v>65</c:v>
                </c:pt>
                <c:pt idx="3">
                  <c:v>65</c:v>
                </c:pt>
                <c:pt idx="4">
                  <c:v>65</c:v>
                </c:pt>
              </c:numCache>
            </c:numRef>
          </c:val>
          <c:extLst>
            <c:ext xmlns:c16="http://schemas.microsoft.com/office/drawing/2014/chart" uri="{C3380CC4-5D6E-409C-BE32-E72D297353CC}">
              <c16:uniqueId val="{00000001-5FCD-4D96-8CBD-24FDCC865AC5}"/>
            </c:ext>
          </c:extLst>
        </c:ser>
        <c:dLbls>
          <c:showLegendKey val="0"/>
          <c:showVal val="0"/>
          <c:showCatName val="0"/>
          <c:showSerName val="0"/>
          <c:showPercent val="0"/>
          <c:showBubbleSize val="0"/>
        </c:dLbls>
        <c:gapWidth val="150"/>
        <c:axId val="252344192"/>
        <c:axId val="252345728"/>
      </c:barChart>
      <c:catAx>
        <c:axId val="252344192"/>
        <c:scaling>
          <c:orientation val="minMax"/>
        </c:scaling>
        <c:delete val="0"/>
        <c:axPos val="b"/>
        <c:numFmt formatCode="General" sourceLinked="1"/>
        <c:majorTickMark val="none"/>
        <c:minorTickMark val="none"/>
        <c:tickLblPos val="nextTo"/>
        <c:txPr>
          <a:bodyPr/>
          <a:lstStyle/>
          <a:p>
            <a:pPr>
              <a:defRPr lang="en-US" sz="1198" b="1">
                <a:latin typeface="Arial" pitchFamily="34" charset="0"/>
                <a:cs typeface="Arial" pitchFamily="34" charset="0"/>
              </a:defRPr>
            </a:pPr>
            <a:endParaRPr lang="ro-RO"/>
          </a:p>
        </c:txPr>
        <c:crossAx val="252345728"/>
        <c:crossesAt val="0"/>
        <c:auto val="1"/>
        <c:lblAlgn val="ctr"/>
        <c:lblOffset val="100"/>
        <c:noMultiLvlLbl val="0"/>
      </c:catAx>
      <c:valAx>
        <c:axId val="252345728"/>
        <c:scaling>
          <c:orientation val="minMax"/>
          <c:max val="82"/>
          <c:min val="42"/>
        </c:scaling>
        <c:delete val="0"/>
        <c:axPos val="l"/>
        <c:majorGridlines/>
        <c:minorGridlines/>
        <c:title>
          <c:tx>
            <c:rich>
              <a:bodyPr/>
              <a:lstStyle/>
              <a:p>
                <a:pPr>
                  <a:defRPr lang="en-US" sz="995" b="1" i="0" u="none" strike="noStrike" baseline="0">
                    <a:solidFill>
                      <a:srgbClr val="000000"/>
                    </a:solidFill>
                    <a:latin typeface="Calibri"/>
                    <a:ea typeface="Calibri"/>
                    <a:cs typeface="Calibri"/>
                  </a:defRPr>
                </a:pPr>
                <a:r>
                  <a:rPr lang="ro-RO"/>
                  <a:t>dB(A)</a:t>
                </a:r>
              </a:p>
            </c:rich>
          </c:tx>
          <c:overlay val="0"/>
        </c:title>
        <c:numFmt formatCode="#,##0.0" sourceLinked="0"/>
        <c:majorTickMark val="none"/>
        <c:minorTickMark val="none"/>
        <c:tickLblPos val="nextTo"/>
        <c:txPr>
          <a:bodyPr/>
          <a:lstStyle/>
          <a:p>
            <a:pPr>
              <a:defRPr lang="en-US" sz="1100" b="1">
                <a:latin typeface="Arial" pitchFamily="34" charset="0"/>
                <a:cs typeface="Arial" pitchFamily="34" charset="0"/>
              </a:defRPr>
            </a:pPr>
            <a:endParaRPr lang="ro-RO"/>
          </a:p>
        </c:txPr>
        <c:crossAx val="252344192"/>
        <c:crosses val="autoZero"/>
        <c:crossBetween val="between"/>
        <c:majorUnit val="5"/>
        <c:minorUnit val="2"/>
      </c:valAx>
      <c:spPr>
        <a:solidFill>
          <a:srgbClr val="4BACC6">
            <a:lumMod val="20000"/>
            <a:lumOff val="80000"/>
          </a:srgbClr>
        </a:solidFill>
      </c:spPr>
    </c:plotArea>
    <c:legend>
      <c:legendPos val="b"/>
      <c:legendEntry>
        <c:idx val="0"/>
        <c:txPr>
          <a:bodyPr/>
          <a:lstStyle/>
          <a:p>
            <a:pPr>
              <a:defRPr sz="1198">
                <a:latin typeface="Arial" pitchFamily="34" charset="0"/>
                <a:cs typeface="Arial" pitchFamily="34" charset="0"/>
              </a:defRPr>
            </a:pPr>
            <a:endParaRPr lang="ro-RO"/>
          </a:p>
        </c:txPr>
      </c:legendEntry>
      <c:layout>
        <c:manualLayout>
          <c:xMode val="edge"/>
          <c:yMode val="edge"/>
          <c:x val="0.25209013024315324"/>
          <c:y val="0.90499846825140562"/>
          <c:w val="0.49171257366414933"/>
          <c:h val="7.8496071271849335E-2"/>
        </c:manualLayout>
      </c:layout>
      <c:overlay val="0"/>
      <c:txPr>
        <a:bodyPr/>
        <a:lstStyle/>
        <a:p>
          <a:pPr>
            <a:defRPr lang="en-US" sz="1198">
              <a:latin typeface="Arial" pitchFamily="34" charset="0"/>
              <a:cs typeface="Arial" pitchFamily="34" charset="0"/>
            </a:defRPr>
          </a:pPr>
          <a:endParaRPr lang="ro-RO"/>
        </a:p>
      </c:txPr>
    </c:legend>
    <c:plotVisOnly val="1"/>
    <c:dispBlanksAs val="gap"/>
    <c:showDLblsOverMax val="0"/>
  </c:chart>
  <c:spPr>
    <a:solidFill>
      <a:srgbClr val="F79646">
        <a:lumMod val="20000"/>
        <a:lumOff val="80000"/>
      </a:srgbClr>
    </a:solidFill>
  </c:sp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Suprafaţa totală spaţii verzi</c:v>
                </c:pt>
              </c:strCache>
            </c:strRef>
          </c:tx>
          <c:spPr>
            <a:solidFill>
              <a:srgbClr val="00B050"/>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471.46</c:v>
                </c:pt>
                <c:pt idx="1">
                  <c:v>471.46</c:v>
                </c:pt>
                <c:pt idx="2">
                  <c:v>471.46</c:v>
                </c:pt>
                <c:pt idx="3">
                  <c:v>470.53</c:v>
                </c:pt>
                <c:pt idx="4">
                  <c:v>470.53</c:v>
                </c:pt>
              </c:numCache>
            </c:numRef>
          </c:val>
          <c:extLst>
            <c:ext xmlns:c16="http://schemas.microsoft.com/office/drawing/2014/chart" uri="{C3380CC4-5D6E-409C-BE32-E72D297353CC}">
              <c16:uniqueId val="{00000000-834C-4AC8-A8B9-7297DA2C1D7A}"/>
            </c:ext>
          </c:extLst>
        </c:ser>
        <c:ser>
          <c:idx val="1"/>
          <c:order val="1"/>
          <c:tx>
            <c:strRef>
              <c:f>Sheet1!$C$1</c:f>
              <c:strCache>
                <c:ptCount val="1"/>
                <c:pt idx="0">
                  <c:v>Suprafață intravilan</c:v>
                </c:pt>
              </c:strCache>
            </c:strRef>
          </c:tx>
          <c:spPr>
            <a:solidFill>
              <a:srgbClr val="FFFF00"/>
            </a:solidFill>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4201.41</c:v>
                </c:pt>
                <c:pt idx="1">
                  <c:v>4201.41</c:v>
                </c:pt>
                <c:pt idx="2">
                  <c:v>4201.41</c:v>
                </c:pt>
                <c:pt idx="3">
                  <c:v>4201.41</c:v>
                </c:pt>
                <c:pt idx="4">
                  <c:v>4201.41</c:v>
                </c:pt>
              </c:numCache>
            </c:numRef>
          </c:val>
          <c:extLst>
            <c:ext xmlns:c16="http://schemas.microsoft.com/office/drawing/2014/chart" uri="{C3380CC4-5D6E-409C-BE32-E72D297353CC}">
              <c16:uniqueId val="{00000001-834C-4AC8-A8B9-7297DA2C1D7A}"/>
            </c:ext>
          </c:extLst>
        </c:ser>
        <c:dLbls>
          <c:showLegendKey val="0"/>
          <c:showVal val="0"/>
          <c:showCatName val="0"/>
          <c:showSerName val="0"/>
          <c:showPercent val="0"/>
          <c:showBubbleSize val="0"/>
        </c:dLbls>
        <c:gapWidth val="150"/>
        <c:shape val="box"/>
        <c:axId val="252216448"/>
        <c:axId val="252217984"/>
        <c:axId val="0"/>
      </c:bar3DChart>
      <c:catAx>
        <c:axId val="252216448"/>
        <c:scaling>
          <c:orientation val="minMax"/>
        </c:scaling>
        <c:delete val="0"/>
        <c:axPos val="b"/>
        <c:numFmt formatCode="General" sourceLinked="1"/>
        <c:majorTickMark val="out"/>
        <c:minorTickMark val="none"/>
        <c:tickLblPos val="nextTo"/>
        <c:txPr>
          <a:bodyPr/>
          <a:lstStyle/>
          <a:p>
            <a:pPr>
              <a:defRPr lang="ro-RO"/>
            </a:pPr>
            <a:endParaRPr lang="ro-RO"/>
          </a:p>
        </c:txPr>
        <c:crossAx val="252217984"/>
        <c:crosses val="autoZero"/>
        <c:auto val="1"/>
        <c:lblAlgn val="ctr"/>
        <c:lblOffset val="100"/>
        <c:noMultiLvlLbl val="0"/>
      </c:catAx>
      <c:valAx>
        <c:axId val="252217984"/>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2216448"/>
        <c:crosses val="autoZero"/>
        <c:crossBetween val="between"/>
      </c:valAx>
      <c:spPr>
        <a:noFill/>
        <a:ln w="25391">
          <a:noFill/>
        </a:ln>
      </c:spPr>
    </c:plotArea>
    <c:legend>
      <c:legendPos val="r"/>
      <c:overlay val="0"/>
      <c:txPr>
        <a:bodyPr/>
        <a:lstStyle/>
        <a:p>
          <a:pPr>
            <a:defRPr lang="ro-RO"/>
          </a:pPr>
          <a:endParaRPr lang="ro-RO"/>
        </a:p>
      </c:txPr>
    </c:legend>
    <c:plotVisOnly val="1"/>
    <c:dispBlanksAs val="gap"/>
    <c:showDLblsOverMax val="0"/>
  </c:chart>
  <c:spPr>
    <a:solidFill>
      <a:srgbClr val="F79646">
        <a:lumMod val="20000"/>
        <a:lumOff val="80000"/>
      </a:srgbClr>
    </a:solidFill>
  </c:sp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Suprafata spatiu verde pe cap de locuitor din mediul urban, tendinta 2014-2018</c:v>
                </c:pt>
              </c:strCache>
            </c:strRef>
          </c:tx>
          <c:spPr>
            <a:solidFill>
              <a:srgbClr val="00B050"/>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26.14</c:v>
                </c:pt>
                <c:pt idx="1">
                  <c:v>26.14</c:v>
                </c:pt>
                <c:pt idx="2">
                  <c:v>26.14</c:v>
                </c:pt>
                <c:pt idx="3">
                  <c:v>26.1</c:v>
                </c:pt>
                <c:pt idx="4">
                  <c:v>26.1</c:v>
                </c:pt>
              </c:numCache>
            </c:numRef>
          </c:val>
          <c:extLst>
            <c:ext xmlns:c16="http://schemas.microsoft.com/office/drawing/2014/chart" uri="{C3380CC4-5D6E-409C-BE32-E72D297353CC}">
              <c16:uniqueId val="{00000000-EB05-42BD-B86F-6D72A8465DFA}"/>
            </c:ext>
          </c:extLst>
        </c:ser>
        <c:dLbls>
          <c:showLegendKey val="0"/>
          <c:showVal val="0"/>
          <c:showCatName val="0"/>
          <c:showSerName val="0"/>
          <c:showPercent val="0"/>
          <c:showBubbleSize val="0"/>
        </c:dLbls>
        <c:gapWidth val="150"/>
        <c:shape val="box"/>
        <c:axId val="252729600"/>
        <c:axId val="252735488"/>
        <c:axId val="0"/>
      </c:bar3DChart>
      <c:catAx>
        <c:axId val="252729600"/>
        <c:scaling>
          <c:orientation val="minMax"/>
        </c:scaling>
        <c:delete val="0"/>
        <c:axPos val="b"/>
        <c:numFmt formatCode="General" sourceLinked="1"/>
        <c:majorTickMark val="out"/>
        <c:minorTickMark val="none"/>
        <c:tickLblPos val="nextTo"/>
        <c:txPr>
          <a:bodyPr/>
          <a:lstStyle/>
          <a:p>
            <a:pPr>
              <a:defRPr lang="ro-RO"/>
            </a:pPr>
            <a:endParaRPr lang="ro-RO"/>
          </a:p>
        </c:txPr>
        <c:crossAx val="252735488"/>
        <c:crosses val="autoZero"/>
        <c:auto val="1"/>
        <c:lblAlgn val="ctr"/>
        <c:lblOffset val="100"/>
        <c:noMultiLvlLbl val="0"/>
      </c:catAx>
      <c:valAx>
        <c:axId val="252735488"/>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2729600"/>
        <c:crosses val="autoZero"/>
        <c:crossBetween val="between"/>
      </c:valAx>
      <c:spPr>
        <a:noFill/>
        <a:ln w="25372">
          <a:noFill/>
        </a:ln>
      </c:spPr>
    </c:plotArea>
    <c:legend>
      <c:legendPos val="r"/>
      <c:overlay val="0"/>
      <c:txPr>
        <a:bodyPr/>
        <a:lstStyle/>
        <a:p>
          <a:pPr>
            <a:defRPr lang="ro-RO"/>
          </a:pPr>
          <a:endParaRPr lang="ro-RO"/>
        </a:p>
      </c:txPr>
    </c:legend>
    <c:plotVisOnly val="1"/>
    <c:dispBlanksAs val="gap"/>
    <c:showDLblsOverMax val="0"/>
  </c:chart>
  <c:spPr>
    <a:solidFill>
      <a:srgbClr val="F79646">
        <a:lumMod val="20000"/>
        <a:lumOff val="80000"/>
      </a:srgb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60994"/>
          <c:h val="0.60487804878050266"/>
        </c:manualLayout>
      </c:layout>
      <c:bar3DChart>
        <c:barDir val="col"/>
        <c:grouping val="clustered"/>
        <c:varyColors val="0"/>
        <c:ser>
          <c:idx val="4"/>
          <c:order val="0"/>
          <c:tx>
            <c:strRef>
              <c:f>Sheet1!$A$2</c:f>
              <c:strCache>
                <c:ptCount val="1"/>
                <c:pt idx="0">
                  <c:v>Medii anuale 2014</c:v>
                </c:pt>
              </c:strCache>
            </c:strRef>
          </c:tx>
          <c:spPr>
            <a:solidFill>
              <a:srgbClr val="660066"/>
            </a:solidFill>
            <a:ln w="12699">
              <a:solidFill>
                <a:srgbClr val="000000"/>
              </a:solidFill>
              <a:prstDash val="solid"/>
            </a:ln>
          </c:spPr>
          <c:invertIfNegative val="0"/>
          <c:cat>
            <c:strRef>
              <c:f>Sheet1!$B$1:$F$1</c:f>
              <c:strCache>
                <c:ptCount val="5"/>
                <c:pt idx="0">
                  <c:v>BR1</c:v>
                </c:pt>
                <c:pt idx="1">
                  <c:v>BR2</c:v>
                </c:pt>
                <c:pt idx="2">
                  <c:v>BR3</c:v>
                </c:pt>
                <c:pt idx="3">
                  <c:v>BR4</c:v>
                </c:pt>
                <c:pt idx="4">
                  <c:v>BR5</c:v>
                </c:pt>
              </c:strCache>
            </c:strRef>
          </c:cat>
          <c:val>
            <c:numRef>
              <c:f>Sheet1!$B$2:$F$2</c:f>
              <c:numCache>
                <c:formatCode>General</c:formatCode>
                <c:ptCount val="5"/>
              </c:numCache>
            </c:numRef>
          </c:val>
          <c:extLst>
            <c:ext xmlns:c16="http://schemas.microsoft.com/office/drawing/2014/chart" uri="{C3380CC4-5D6E-409C-BE32-E72D297353CC}">
              <c16:uniqueId val="{00000000-20A1-4ED2-A272-C3D4F13D1440}"/>
            </c:ext>
          </c:extLst>
        </c:ser>
        <c:ser>
          <c:idx val="5"/>
          <c:order val="1"/>
          <c:tx>
            <c:strRef>
              <c:f>Sheet1!$A$3</c:f>
              <c:strCache>
                <c:ptCount val="1"/>
                <c:pt idx="0">
                  <c:v>Medii anuale 2015</c:v>
                </c:pt>
              </c:strCache>
            </c:strRef>
          </c:tx>
          <c:invertIfNegative val="0"/>
          <c:cat>
            <c:strRef>
              <c:f>Sheet1!$B$1:$F$1</c:f>
              <c:strCache>
                <c:ptCount val="5"/>
                <c:pt idx="0">
                  <c:v>BR1</c:v>
                </c:pt>
                <c:pt idx="1">
                  <c:v>BR2</c:v>
                </c:pt>
                <c:pt idx="2">
                  <c:v>BR3</c:v>
                </c:pt>
                <c:pt idx="3">
                  <c:v>BR4</c:v>
                </c:pt>
                <c:pt idx="4">
                  <c:v>BR5</c:v>
                </c:pt>
              </c:strCache>
            </c:strRef>
          </c:cat>
          <c:val>
            <c:numRef>
              <c:f>Sheet1!$B$3:$F$3</c:f>
              <c:numCache>
                <c:formatCode>General</c:formatCode>
                <c:ptCount val="5"/>
                <c:pt idx="2">
                  <c:v>8.31</c:v>
                </c:pt>
              </c:numCache>
            </c:numRef>
          </c:val>
          <c:extLst>
            <c:ext xmlns:c16="http://schemas.microsoft.com/office/drawing/2014/chart" uri="{C3380CC4-5D6E-409C-BE32-E72D297353CC}">
              <c16:uniqueId val="{00000001-20A1-4ED2-A272-C3D4F13D1440}"/>
            </c:ext>
          </c:extLst>
        </c:ser>
        <c:ser>
          <c:idx val="6"/>
          <c:order val="2"/>
          <c:tx>
            <c:strRef>
              <c:f>Sheet1!$A$4</c:f>
              <c:strCache>
                <c:ptCount val="1"/>
                <c:pt idx="0">
                  <c:v>Medii anuale 2016</c:v>
                </c:pt>
              </c:strCache>
            </c:strRef>
          </c:tx>
          <c:invertIfNegative val="0"/>
          <c:cat>
            <c:strRef>
              <c:f>Sheet1!$B$1:$F$1</c:f>
              <c:strCache>
                <c:ptCount val="5"/>
                <c:pt idx="0">
                  <c:v>BR1</c:v>
                </c:pt>
                <c:pt idx="1">
                  <c:v>BR2</c:v>
                </c:pt>
                <c:pt idx="2">
                  <c:v>BR3</c:v>
                </c:pt>
                <c:pt idx="3">
                  <c:v>BR4</c:v>
                </c:pt>
                <c:pt idx="4">
                  <c:v>BR5</c:v>
                </c:pt>
              </c:strCache>
            </c:strRef>
          </c:cat>
          <c:val>
            <c:numRef>
              <c:f>Sheet1!$B$4:$F$4</c:f>
              <c:numCache>
                <c:formatCode>General</c:formatCode>
                <c:ptCount val="5"/>
                <c:pt idx="0">
                  <c:v>5.09</c:v>
                </c:pt>
                <c:pt idx="1">
                  <c:v>3.59</c:v>
                </c:pt>
                <c:pt idx="2">
                  <c:v>2.77</c:v>
                </c:pt>
                <c:pt idx="3">
                  <c:v>5.45</c:v>
                </c:pt>
                <c:pt idx="4">
                  <c:v>3.56</c:v>
                </c:pt>
              </c:numCache>
            </c:numRef>
          </c:val>
          <c:extLst>
            <c:ext xmlns:c16="http://schemas.microsoft.com/office/drawing/2014/chart" uri="{C3380CC4-5D6E-409C-BE32-E72D297353CC}">
              <c16:uniqueId val="{00000002-20A1-4ED2-A272-C3D4F13D1440}"/>
            </c:ext>
          </c:extLst>
        </c:ser>
        <c:ser>
          <c:idx val="7"/>
          <c:order val="3"/>
          <c:tx>
            <c:strRef>
              <c:f>Sheet1!$A$5</c:f>
              <c:strCache>
                <c:ptCount val="1"/>
                <c:pt idx="0">
                  <c:v>Medii anuale 2017</c:v>
                </c:pt>
              </c:strCache>
            </c:strRef>
          </c:tx>
          <c:invertIfNegative val="0"/>
          <c:cat>
            <c:strRef>
              <c:f>Sheet1!$B$1:$F$1</c:f>
              <c:strCache>
                <c:ptCount val="5"/>
                <c:pt idx="0">
                  <c:v>BR1</c:v>
                </c:pt>
                <c:pt idx="1">
                  <c:v>BR2</c:v>
                </c:pt>
                <c:pt idx="2">
                  <c:v>BR3</c:v>
                </c:pt>
                <c:pt idx="3">
                  <c:v>BR4</c:v>
                </c:pt>
                <c:pt idx="4">
                  <c:v>BR5</c:v>
                </c:pt>
              </c:strCache>
            </c:strRef>
          </c:cat>
          <c:val>
            <c:numRef>
              <c:f>Sheet1!$B$5:$F$5</c:f>
              <c:numCache>
                <c:formatCode>General</c:formatCode>
                <c:ptCount val="5"/>
                <c:pt idx="0">
                  <c:v>5.08</c:v>
                </c:pt>
                <c:pt idx="1">
                  <c:v>4.41</c:v>
                </c:pt>
                <c:pt idx="2">
                  <c:v>5.27</c:v>
                </c:pt>
                <c:pt idx="3">
                  <c:v>5.36</c:v>
                </c:pt>
                <c:pt idx="4">
                  <c:v>4.59</c:v>
                </c:pt>
              </c:numCache>
            </c:numRef>
          </c:val>
          <c:extLst>
            <c:ext xmlns:c16="http://schemas.microsoft.com/office/drawing/2014/chart" uri="{C3380CC4-5D6E-409C-BE32-E72D297353CC}">
              <c16:uniqueId val="{00000003-20A1-4ED2-A272-C3D4F13D1440}"/>
            </c:ext>
          </c:extLst>
        </c:ser>
        <c:ser>
          <c:idx val="8"/>
          <c:order val="4"/>
          <c:tx>
            <c:strRef>
              <c:f>Sheet1!$A$6</c:f>
              <c:strCache>
                <c:ptCount val="1"/>
                <c:pt idx="0">
                  <c:v>Medii anuale 2018</c:v>
                </c:pt>
              </c:strCache>
            </c:strRef>
          </c:tx>
          <c:invertIfNegative val="0"/>
          <c:cat>
            <c:strRef>
              <c:f>Sheet1!$B$1:$F$1</c:f>
              <c:strCache>
                <c:ptCount val="5"/>
                <c:pt idx="0">
                  <c:v>BR1</c:v>
                </c:pt>
                <c:pt idx="1">
                  <c:v>BR2</c:v>
                </c:pt>
                <c:pt idx="2">
                  <c:v>BR3</c:v>
                </c:pt>
                <c:pt idx="3">
                  <c:v>BR4</c:v>
                </c:pt>
                <c:pt idx="4">
                  <c:v>BR5</c:v>
                </c:pt>
              </c:strCache>
            </c:strRef>
          </c:cat>
          <c:val>
            <c:numRef>
              <c:f>Sheet1!$B$6:$F$6</c:f>
              <c:numCache>
                <c:formatCode>General</c:formatCode>
                <c:ptCount val="5"/>
                <c:pt idx="0">
                  <c:v>5.84</c:v>
                </c:pt>
                <c:pt idx="1">
                  <c:v>6.27</c:v>
                </c:pt>
                <c:pt idx="2">
                  <c:v>5.4</c:v>
                </c:pt>
                <c:pt idx="3">
                  <c:v>5.04</c:v>
                </c:pt>
                <c:pt idx="4">
                  <c:v>3.74</c:v>
                </c:pt>
              </c:numCache>
            </c:numRef>
          </c:val>
          <c:extLst>
            <c:ext xmlns:c16="http://schemas.microsoft.com/office/drawing/2014/chart" uri="{C3380CC4-5D6E-409C-BE32-E72D297353CC}">
              <c16:uniqueId val="{00000004-20A1-4ED2-A272-C3D4F13D1440}"/>
            </c:ext>
          </c:extLst>
        </c:ser>
        <c:dLbls>
          <c:showLegendKey val="0"/>
          <c:showVal val="0"/>
          <c:showCatName val="0"/>
          <c:showSerName val="0"/>
          <c:showPercent val="0"/>
          <c:showBubbleSize val="0"/>
        </c:dLbls>
        <c:gapWidth val="290"/>
        <c:gapDepth val="0"/>
        <c:shape val="box"/>
        <c:axId val="216232704"/>
        <c:axId val="216234240"/>
        <c:axId val="0"/>
      </c:bar3DChart>
      <c:catAx>
        <c:axId val="216232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16234240"/>
        <c:crosses val="autoZero"/>
        <c:auto val="1"/>
        <c:lblAlgn val="ctr"/>
        <c:lblOffset val="100"/>
        <c:tickLblSkip val="1"/>
        <c:tickMarkSkip val="1"/>
        <c:noMultiLvlLbl val="0"/>
      </c:catAx>
      <c:valAx>
        <c:axId val="21623424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7457853347079262E-2"/>
              <c:y val="0.14634145150461128"/>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16232704"/>
        <c:crosses val="autoZero"/>
        <c:crossBetween val="between"/>
      </c:valAx>
      <c:spPr>
        <a:noFill/>
        <a:ln w="25399">
          <a:noFill/>
        </a:ln>
      </c:spPr>
    </c:plotArea>
    <c:legend>
      <c:legendPos val="r"/>
      <c:layout>
        <c:manualLayout>
          <c:xMode val="edge"/>
          <c:yMode val="edge"/>
          <c:x val="0.76863422432728101"/>
          <c:y val="8.7880363791735347E-2"/>
          <c:w val="0.19205187586845765"/>
          <c:h val="0.78880498077274286"/>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Suprafaţa totală spaţii verzi/ha</c:v>
                </c:pt>
              </c:strCache>
            </c:strRef>
          </c:tx>
          <c:spPr>
            <a:solidFill>
              <a:srgbClr val="00B050"/>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38.799999999999997</c:v>
                </c:pt>
                <c:pt idx="1">
                  <c:v>38.28</c:v>
                </c:pt>
                <c:pt idx="2">
                  <c:v>38.28</c:v>
                </c:pt>
                <c:pt idx="3">
                  <c:v>38.28</c:v>
                </c:pt>
                <c:pt idx="4">
                  <c:v>38.28</c:v>
                </c:pt>
              </c:numCache>
            </c:numRef>
          </c:val>
          <c:extLst>
            <c:ext xmlns:c16="http://schemas.microsoft.com/office/drawing/2014/chart" uri="{C3380CC4-5D6E-409C-BE32-E72D297353CC}">
              <c16:uniqueId val="{00000000-CE53-4029-8164-846DD5A6502C}"/>
            </c:ext>
          </c:extLst>
        </c:ser>
        <c:ser>
          <c:idx val="1"/>
          <c:order val="1"/>
          <c:tx>
            <c:strRef>
              <c:f>Sheet1!$C$1</c:f>
              <c:strCache>
                <c:ptCount val="1"/>
                <c:pt idx="0">
                  <c:v>Suprafață intravilan/ha</c:v>
                </c:pt>
              </c:strCache>
            </c:strRef>
          </c:tx>
          <c:spPr>
            <a:solidFill>
              <a:srgbClr val="FFFF00"/>
            </a:solidFill>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1092</c:v>
                </c:pt>
                <c:pt idx="1">
                  <c:v>1092</c:v>
                </c:pt>
                <c:pt idx="2">
                  <c:v>1092</c:v>
                </c:pt>
                <c:pt idx="3">
                  <c:v>1092</c:v>
                </c:pt>
                <c:pt idx="4">
                  <c:v>1092</c:v>
                </c:pt>
              </c:numCache>
            </c:numRef>
          </c:val>
          <c:extLst>
            <c:ext xmlns:c16="http://schemas.microsoft.com/office/drawing/2014/chart" uri="{C3380CC4-5D6E-409C-BE32-E72D297353CC}">
              <c16:uniqueId val="{00000001-CE53-4029-8164-846DD5A6502C}"/>
            </c:ext>
          </c:extLst>
        </c:ser>
        <c:dLbls>
          <c:showLegendKey val="0"/>
          <c:showVal val="0"/>
          <c:showCatName val="0"/>
          <c:showSerName val="0"/>
          <c:showPercent val="0"/>
          <c:showBubbleSize val="0"/>
        </c:dLbls>
        <c:gapWidth val="150"/>
        <c:shape val="box"/>
        <c:axId val="252690816"/>
        <c:axId val="252692352"/>
        <c:axId val="0"/>
      </c:bar3DChart>
      <c:catAx>
        <c:axId val="252690816"/>
        <c:scaling>
          <c:orientation val="minMax"/>
        </c:scaling>
        <c:delete val="0"/>
        <c:axPos val="b"/>
        <c:numFmt formatCode="General" sourceLinked="1"/>
        <c:majorTickMark val="out"/>
        <c:minorTickMark val="none"/>
        <c:tickLblPos val="nextTo"/>
        <c:txPr>
          <a:bodyPr/>
          <a:lstStyle/>
          <a:p>
            <a:pPr>
              <a:defRPr lang="ro-RO"/>
            </a:pPr>
            <a:endParaRPr lang="ro-RO"/>
          </a:p>
        </c:txPr>
        <c:crossAx val="252692352"/>
        <c:crosses val="autoZero"/>
        <c:auto val="1"/>
        <c:lblAlgn val="ctr"/>
        <c:lblOffset val="100"/>
        <c:noMultiLvlLbl val="0"/>
      </c:catAx>
      <c:valAx>
        <c:axId val="252692352"/>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2690816"/>
        <c:crosses val="autoZero"/>
        <c:crossBetween val="between"/>
      </c:valAx>
      <c:spPr>
        <a:noFill/>
        <a:ln w="25409">
          <a:noFill/>
        </a:ln>
      </c:spPr>
    </c:plotArea>
    <c:legend>
      <c:legendPos val="r"/>
      <c:overlay val="0"/>
      <c:txPr>
        <a:bodyPr/>
        <a:lstStyle/>
        <a:p>
          <a:pPr>
            <a:defRPr lang="ro-RO"/>
          </a:pPr>
          <a:endParaRPr lang="ro-RO"/>
        </a:p>
      </c:txPr>
    </c:legend>
    <c:plotVisOnly val="1"/>
    <c:dispBlanksAs val="gap"/>
    <c:showDLblsOverMax val="0"/>
  </c:chart>
  <c:spPr>
    <a:solidFill>
      <a:srgbClr val="4BACC6">
        <a:lumMod val="20000"/>
        <a:lumOff val="80000"/>
      </a:srgbClr>
    </a:solidFill>
  </c:sp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Sheet1!$B$2</c:f>
              <c:strCache>
                <c:ptCount val="1"/>
                <c:pt idx="0">
                  <c:v>Suprafata spatiu verde pe cap de locuitor din mediul urban, tendinta 2014-2018</c:v>
                </c:pt>
              </c:strCache>
            </c:strRef>
          </c:tx>
          <c:spPr>
            <a:solidFill>
              <a:srgbClr val="00B050"/>
            </a:solidFill>
          </c:spPr>
          <c:invertIfNegative val="0"/>
          <c:cat>
            <c:numRef>
              <c:f>Sheet1!$A$3:$A$7</c:f>
              <c:numCache>
                <c:formatCode>General</c:formatCode>
                <c:ptCount val="5"/>
                <c:pt idx="0">
                  <c:v>2014</c:v>
                </c:pt>
                <c:pt idx="1">
                  <c:v>2015</c:v>
                </c:pt>
                <c:pt idx="2">
                  <c:v>2016</c:v>
                </c:pt>
                <c:pt idx="3">
                  <c:v>2017</c:v>
                </c:pt>
                <c:pt idx="4">
                  <c:v>2018</c:v>
                </c:pt>
              </c:numCache>
            </c:numRef>
          </c:cat>
          <c:val>
            <c:numRef>
              <c:f>Sheet1!$B$3:$B$7</c:f>
              <c:numCache>
                <c:formatCode>General</c:formatCode>
                <c:ptCount val="5"/>
                <c:pt idx="0">
                  <c:v>37.01</c:v>
                </c:pt>
                <c:pt idx="1">
                  <c:v>37.01</c:v>
                </c:pt>
                <c:pt idx="2">
                  <c:v>37.01</c:v>
                </c:pt>
                <c:pt idx="3">
                  <c:v>37.01</c:v>
                </c:pt>
                <c:pt idx="4">
                  <c:v>37.01</c:v>
                </c:pt>
              </c:numCache>
            </c:numRef>
          </c:val>
          <c:extLst>
            <c:ext xmlns:c16="http://schemas.microsoft.com/office/drawing/2014/chart" uri="{C3380CC4-5D6E-409C-BE32-E72D297353CC}">
              <c16:uniqueId val="{00000000-A4D0-4265-83AB-27B37F58E472}"/>
            </c:ext>
          </c:extLst>
        </c:ser>
        <c:dLbls>
          <c:showLegendKey val="0"/>
          <c:showVal val="0"/>
          <c:showCatName val="0"/>
          <c:showSerName val="0"/>
          <c:showPercent val="0"/>
          <c:showBubbleSize val="0"/>
        </c:dLbls>
        <c:gapWidth val="150"/>
        <c:shape val="box"/>
        <c:axId val="252974592"/>
        <c:axId val="252976128"/>
        <c:axId val="0"/>
      </c:bar3DChart>
      <c:catAx>
        <c:axId val="252974592"/>
        <c:scaling>
          <c:orientation val="minMax"/>
        </c:scaling>
        <c:delete val="0"/>
        <c:axPos val="b"/>
        <c:numFmt formatCode="General" sourceLinked="1"/>
        <c:majorTickMark val="out"/>
        <c:minorTickMark val="none"/>
        <c:tickLblPos val="nextTo"/>
        <c:txPr>
          <a:bodyPr/>
          <a:lstStyle/>
          <a:p>
            <a:pPr>
              <a:defRPr lang="ro-RO"/>
            </a:pPr>
            <a:endParaRPr lang="ro-RO"/>
          </a:p>
        </c:txPr>
        <c:crossAx val="252976128"/>
        <c:crosses val="autoZero"/>
        <c:auto val="1"/>
        <c:lblAlgn val="ctr"/>
        <c:lblOffset val="100"/>
        <c:noMultiLvlLbl val="0"/>
      </c:catAx>
      <c:valAx>
        <c:axId val="252976128"/>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2974592"/>
        <c:crosses val="autoZero"/>
        <c:crossBetween val="between"/>
      </c:valAx>
      <c:spPr>
        <a:noFill/>
        <a:ln w="25413">
          <a:noFill/>
        </a:ln>
      </c:spPr>
    </c:plotArea>
    <c:legend>
      <c:legendPos val="r"/>
      <c:overlay val="0"/>
      <c:txPr>
        <a:bodyPr/>
        <a:lstStyle/>
        <a:p>
          <a:pPr>
            <a:defRPr lang="ro-RO"/>
          </a:pPr>
          <a:endParaRPr lang="ro-RO"/>
        </a:p>
      </c:txPr>
    </c:legend>
    <c:plotVisOnly val="1"/>
    <c:dispBlanksAs val="gap"/>
    <c:showDLblsOverMax val="0"/>
  </c:chart>
  <c:spPr>
    <a:solidFill>
      <a:srgbClr val="FFFF00"/>
    </a:solidFill>
  </c:sp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Suprafaţa totală spaţii verzi/ha</c:v>
                </c:pt>
              </c:strCache>
            </c:strRef>
          </c:tx>
          <c:spPr>
            <a:solidFill>
              <a:srgbClr val="00B050"/>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18.07</c:v>
                </c:pt>
                <c:pt idx="1">
                  <c:v>18.07</c:v>
                </c:pt>
                <c:pt idx="2">
                  <c:v>18.07</c:v>
                </c:pt>
                <c:pt idx="3">
                  <c:v>18.07</c:v>
                </c:pt>
                <c:pt idx="4">
                  <c:v>18.07</c:v>
                </c:pt>
              </c:numCache>
            </c:numRef>
          </c:val>
          <c:extLst>
            <c:ext xmlns:c16="http://schemas.microsoft.com/office/drawing/2014/chart" uri="{C3380CC4-5D6E-409C-BE32-E72D297353CC}">
              <c16:uniqueId val="{00000000-B3E2-41E4-9E75-B1D270430EFC}"/>
            </c:ext>
          </c:extLst>
        </c:ser>
        <c:ser>
          <c:idx val="1"/>
          <c:order val="1"/>
          <c:tx>
            <c:strRef>
              <c:f>Sheet1!$C$1</c:f>
              <c:strCache>
                <c:ptCount val="1"/>
                <c:pt idx="0">
                  <c:v>Suprafață intravilan/ha</c:v>
                </c:pt>
              </c:strCache>
            </c:strRef>
          </c:tx>
          <c:spPr>
            <a:solidFill>
              <a:srgbClr val="FFFF00"/>
            </a:solidFill>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860.24</c:v>
                </c:pt>
                <c:pt idx="1">
                  <c:v>860.24</c:v>
                </c:pt>
                <c:pt idx="2">
                  <c:v>860.24</c:v>
                </c:pt>
                <c:pt idx="3">
                  <c:v>860.24</c:v>
                </c:pt>
                <c:pt idx="4">
                  <c:v>860.24</c:v>
                </c:pt>
              </c:numCache>
            </c:numRef>
          </c:val>
          <c:extLst>
            <c:ext xmlns:c16="http://schemas.microsoft.com/office/drawing/2014/chart" uri="{C3380CC4-5D6E-409C-BE32-E72D297353CC}">
              <c16:uniqueId val="{00000001-B3E2-41E4-9E75-B1D270430EFC}"/>
            </c:ext>
          </c:extLst>
        </c:ser>
        <c:dLbls>
          <c:showLegendKey val="0"/>
          <c:showVal val="0"/>
          <c:showCatName val="0"/>
          <c:showSerName val="0"/>
          <c:showPercent val="0"/>
          <c:showBubbleSize val="0"/>
        </c:dLbls>
        <c:gapWidth val="150"/>
        <c:shape val="box"/>
        <c:axId val="252886400"/>
        <c:axId val="252986496"/>
        <c:axId val="0"/>
      </c:bar3DChart>
      <c:catAx>
        <c:axId val="252886400"/>
        <c:scaling>
          <c:orientation val="minMax"/>
        </c:scaling>
        <c:delete val="0"/>
        <c:axPos val="b"/>
        <c:numFmt formatCode="General" sourceLinked="1"/>
        <c:majorTickMark val="out"/>
        <c:minorTickMark val="none"/>
        <c:tickLblPos val="nextTo"/>
        <c:txPr>
          <a:bodyPr/>
          <a:lstStyle/>
          <a:p>
            <a:pPr>
              <a:defRPr lang="ro-RO"/>
            </a:pPr>
            <a:endParaRPr lang="ro-RO"/>
          </a:p>
        </c:txPr>
        <c:crossAx val="252986496"/>
        <c:crosses val="autoZero"/>
        <c:auto val="1"/>
        <c:lblAlgn val="ctr"/>
        <c:lblOffset val="100"/>
        <c:noMultiLvlLbl val="0"/>
      </c:catAx>
      <c:valAx>
        <c:axId val="252986496"/>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2886400"/>
        <c:crosses val="autoZero"/>
        <c:crossBetween val="between"/>
      </c:valAx>
      <c:spPr>
        <a:noFill/>
        <a:ln w="25413">
          <a:noFill/>
        </a:ln>
      </c:spPr>
    </c:plotArea>
    <c:legend>
      <c:legendPos val="r"/>
      <c:overlay val="0"/>
      <c:txPr>
        <a:bodyPr/>
        <a:lstStyle/>
        <a:p>
          <a:pPr>
            <a:defRPr lang="ro-RO"/>
          </a:pPr>
          <a:endParaRPr lang="ro-RO"/>
        </a:p>
      </c:txPr>
    </c:legend>
    <c:plotVisOnly val="1"/>
    <c:dispBlanksAs val="gap"/>
    <c:showDLblsOverMax val="0"/>
  </c:chart>
  <c:spPr>
    <a:solidFill>
      <a:srgbClr val="C0504D">
        <a:lumMod val="20000"/>
        <a:lumOff val="80000"/>
      </a:srgbClr>
    </a:solidFill>
  </c:sp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Suprafata spatiu verde pe cap de locuitor din mediul urban, tendinta 2014-2018</c:v>
                </c:pt>
              </c:strCache>
            </c:strRef>
          </c:tx>
          <c:spPr>
            <a:solidFill>
              <a:srgbClr val="00B050"/>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27.67</c:v>
                </c:pt>
                <c:pt idx="1">
                  <c:v>27.67</c:v>
                </c:pt>
                <c:pt idx="2">
                  <c:v>27.67</c:v>
                </c:pt>
                <c:pt idx="3">
                  <c:v>27.67</c:v>
                </c:pt>
                <c:pt idx="4">
                  <c:v>27.67</c:v>
                </c:pt>
              </c:numCache>
            </c:numRef>
          </c:val>
          <c:extLst>
            <c:ext xmlns:c16="http://schemas.microsoft.com/office/drawing/2014/chart" uri="{C3380CC4-5D6E-409C-BE32-E72D297353CC}">
              <c16:uniqueId val="{00000000-4F70-4AF4-9D78-DD770BE839B2}"/>
            </c:ext>
          </c:extLst>
        </c:ser>
        <c:dLbls>
          <c:showLegendKey val="0"/>
          <c:showVal val="0"/>
          <c:showCatName val="0"/>
          <c:showSerName val="0"/>
          <c:showPercent val="0"/>
          <c:showBubbleSize val="0"/>
        </c:dLbls>
        <c:gapWidth val="150"/>
        <c:shape val="box"/>
        <c:axId val="253104896"/>
        <c:axId val="253106432"/>
        <c:axId val="0"/>
      </c:bar3DChart>
      <c:catAx>
        <c:axId val="253104896"/>
        <c:scaling>
          <c:orientation val="minMax"/>
        </c:scaling>
        <c:delete val="0"/>
        <c:axPos val="b"/>
        <c:numFmt formatCode="General" sourceLinked="1"/>
        <c:majorTickMark val="out"/>
        <c:minorTickMark val="none"/>
        <c:tickLblPos val="nextTo"/>
        <c:txPr>
          <a:bodyPr/>
          <a:lstStyle/>
          <a:p>
            <a:pPr>
              <a:defRPr lang="ro-RO"/>
            </a:pPr>
            <a:endParaRPr lang="ro-RO"/>
          </a:p>
        </c:txPr>
        <c:crossAx val="253106432"/>
        <c:crosses val="autoZero"/>
        <c:auto val="1"/>
        <c:lblAlgn val="ctr"/>
        <c:lblOffset val="100"/>
        <c:noMultiLvlLbl val="0"/>
      </c:catAx>
      <c:valAx>
        <c:axId val="253106432"/>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3104896"/>
        <c:crosses val="autoZero"/>
        <c:crossBetween val="between"/>
      </c:valAx>
      <c:spPr>
        <a:noFill/>
        <a:ln w="25361">
          <a:noFill/>
        </a:ln>
      </c:spPr>
    </c:plotArea>
    <c:legend>
      <c:legendPos val="r"/>
      <c:overlay val="0"/>
      <c:txPr>
        <a:bodyPr/>
        <a:lstStyle/>
        <a:p>
          <a:pPr>
            <a:defRPr lang="ro-RO"/>
          </a:pPr>
          <a:endParaRPr lang="ro-RO"/>
        </a:p>
      </c:txPr>
    </c:legend>
    <c:plotVisOnly val="1"/>
    <c:dispBlanksAs val="gap"/>
    <c:showDLblsOverMax val="0"/>
  </c:chart>
  <c:spPr>
    <a:solidFill>
      <a:srgbClr val="9BBB59">
        <a:lumMod val="20000"/>
        <a:lumOff val="80000"/>
      </a:srgbClr>
    </a:solidFill>
  </c:sp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Suprafaţa totală spaţii verzi/ha</c:v>
                </c:pt>
              </c:strCache>
            </c:strRef>
          </c:tx>
          <c:spPr>
            <a:solidFill>
              <a:srgbClr val="00B050"/>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5.63</c:v>
                </c:pt>
                <c:pt idx="1">
                  <c:v>5.63</c:v>
                </c:pt>
                <c:pt idx="2">
                  <c:v>5.63</c:v>
                </c:pt>
                <c:pt idx="3">
                  <c:v>5.63</c:v>
                </c:pt>
                <c:pt idx="4">
                  <c:v>5.63</c:v>
                </c:pt>
              </c:numCache>
            </c:numRef>
          </c:val>
          <c:extLst>
            <c:ext xmlns:c16="http://schemas.microsoft.com/office/drawing/2014/chart" uri="{C3380CC4-5D6E-409C-BE32-E72D297353CC}">
              <c16:uniqueId val="{00000000-33DF-4B19-BA3F-3BE7BC2686B3}"/>
            </c:ext>
          </c:extLst>
        </c:ser>
        <c:ser>
          <c:idx val="1"/>
          <c:order val="1"/>
          <c:tx>
            <c:strRef>
              <c:f>Sheet1!$C$1</c:f>
              <c:strCache>
                <c:ptCount val="1"/>
                <c:pt idx="0">
                  <c:v>Suprafață intravilan/ha</c:v>
                </c:pt>
              </c:strCache>
            </c:strRef>
          </c:tx>
          <c:spPr>
            <a:solidFill>
              <a:srgbClr val="FFFF00"/>
            </a:solidFill>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296.47000000000003</c:v>
                </c:pt>
                <c:pt idx="1">
                  <c:v>296.47000000000003</c:v>
                </c:pt>
                <c:pt idx="2">
                  <c:v>296.47000000000003</c:v>
                </c:pt>
                <c:pt idx="3">
                  <c:v>296.47000000000003</c:v>
                </c:pt>
                <c:pt idx="4">
                  <c:v>296.47000000000003</c:v>
                </c:pt>
              </c:numCache>
            </c:numRef>
          </c:val>
          <c:extLst>
            <c:ext xmlns:c16="http://schemas.microsoft.com/office/drawing/2014/chart" uri="{C3380CC4-5D6E-409C-BE32-E72D297353CC}">
              <c16:uniqueId val="{00000001-33DF-4B19-BA3F-3BE7BC2686B3}"/>
            </c:ext>
          </c:extLst>
        </c:ser>
        <c:dLbls>
          <c:showLegendKey val="0"/>
          <c:showVal val="0"/>
          <c:showCatName val="0"/>
          <c:showSerName val="0"/>
          <c:showPercent val="0"/>
          <c:showBubbleSize val="0"/>
        </c:dLbls>
        <c:gapWidth val="150"/>
        <c:shape val="box"/>
        <c:axId val="253082240"/>
        <c:axId val="253129088"/>
        <c:axId val="0"/>
      </c:bar3DChart>
      <c:catAx>
        <c:axId val="253082240"/>
        <c:scaling>
          <c:orientation val="minMax"/>
        </c:scaling>
        <c:delete val="0"/>
        <c:axPos val="b"/>
        <c:numFmt formatCode="General" sourceLinked="1"/>
        <c:majorTickMark val="out"/>
        <c:minorTickMark val="none"/>
        <c:tickLblPos val="nextTo"/>
        <c:txPr>
          <a:bodyPr/>
          <a:lstStyle/>
          <a:p>
            <a:pPr>
              <a:defRPr lang="ro-RO"/>
            </a:pPr>
            <a:endParaRPr lang="ro-RO"/>
          </a:p>
        </c:txPr>
        <c:crossAx val="253129088"/>
        <c:crosses val="autoZero"/>
        <c:auto val="1"/>
        <c:lblAlgn val="ctr"/>
        <c:lblOffset val="100"/>
        <c:noMultiLvlLbl val="0"/>
      </c:catAx>
      <c:valAx>
        <c:axId val="253129088"/>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3082240"/>
        <c:crosses val="autoZero"/>
        <c:crossBetween val="between"/>
      </c:valAx>
      <c:spPr>
        <a:noFill/>
        <a:ln w="25347">
          <a:noFill/>
        </a:ln>
      </c:spPr>
    </c:plotArea>
    <c:legend>
      <c:legendPos val="r"/>
      <c:overlay val="0"/>
      <c:txPr>
        <a:bodyPr/>
        <a:lstStyle/>
        <a:p>
          <a:pPr>
            <a:defRPr lang="ro-RO"/>
          </a:pPr>
          <a:endParaRPr lang="ro-RO"/>
        </a:p>
      </c:txPr>
    </c:legend>
    <c:plotVisOnly val="1"/>
    <c:dispBlanksAs val="gap"/>
    <c:showDLblsOverMax val="0"/>
  </c:chart>
  <c:spPr>
    <a:solidFill>
      <a:srgbClr val="9BBB59">
        <a:lumMod val="20000"/>
        <a:lumOff val="80000"/>
      </a:srgbClr>
    </a:solidFill>
  </c:sp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Suprafata spatiu verde pe cap de locuitor din mediul urban, tendinta 2014-2018</c:v>
                </c:pt>
              </c:strCache>
            </c:strRef>
          </c:tx>
          <c:spPr>
            <a:solidFill>
              <a:srgbClr val="00B050"/>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15.68</c:v>
                </c:pt>
                <c:pt idx="1">
                  <c:v>15.68</c:v>
                </c:pt>
                <c:pt idx="2">
                  <c:v>15.68</c:v>
                </c:pt>
                <c:pt idx="3">
                  <c:v>15.68</c:v>
                </c:pt>
                <c:pt idx="4">
                  <c:v>15.68</c:v>
                </c:pt>
              </c:numCache>
            </c:numRef>
          </c:val>
          <c:extLst>
            <c:ext xmlns:c16="http://schemas.microsoft.com/office/drawing/2014/chart" uri="{C3380CC4-5D6E-409C-BE32-E72D297353CC}">
              <c16:uniqueId val="{00000000-7BC4-46BD-B218-B7E6B0129098}"/>
            </c:ext>
          </c:extLst>
        </c:ser>
        <c:dLbls>
          <c:showLegendKey val="0"/>
          <c:showVal val="0"/>
          <c:showCatName val="0"/>
          <c:showSerName val="0"/>
          <c:showPercent val="0"/>
          <c:showBubbleSize val="0"/>
        </c:dLbls>
        <c:gapWidth val="150"/>
        <c:shape val="box"/>
        <c:axId val="253345792"/>
        <c:axId val="253347328"/>
        <c:axId val="0"/>
      </c:bar3DChart>
      <c:catAx>
        <c:axId val="253345792"/>
        <c:scaling>
          <c:orientation val="minMax"/>
        </c:scaling>
        <c:delete val="0"/>
        <c:axPos val="b"/>
        <c:numFmt formatCode="General" sourceLinked="1"/>
        <c:majorTickMark val="out"/>
        <c:minorTickMark val="none"/>
        <c:tickLblPos val="nextTo"/>
        <c:txPr>
          <a:bodyPr/>
          <a:lstStyle/>
          <a:p>
            <a:pPr>
              <a:defRPr lang="ro-RO"/>
            </a:pPr>
            <a:endParaRPr lang="ro-RO"/>
          </a:p>
        </c:txPr>
        <c:crossAx val="253347328"/>
        <c:crosses val="autoZero"/>
        <c:auto val="1"/>
        <c:lblAlgn val="ctr"/>
        <c:lblOffset val="100"/>
        <c:noMultiLvlLbl val="0"/>
      </c:catAx>
      <c:valAx>
        <c:axId val="253347328"/>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3345792"/>
        <c:crosses val="autoZero"/>
        <c:crossBetween val="between"/>
      </c:valAx>
      <c:spPr>
        <a:noFill/>
        <a:ln w="25413">
          <a:noFill/>
        </a:ln>
      </c:spPr>
    </c:plotArea>
    <c:legend>
      <c:legendPos val="r"/>
      <c:overlay val="0"/>
      <c:txPr>
        <a:bodyPr/>
        <a:lstStyle/>
        <a:p>
          <a:pPr>
            <a:defRPr lang="ro-RO"/>
          </a:pPr>
          <a:endParaRPr lang="ro-RO"/>
        </a:p>
      </c:txPr>
    </c:legend>
    <c:plotVisOnly val="1"/>
    <c:dispBlanksAs val="gap"/>
    <c:showDLblsOverMax val="0"/>
  </c:chart>
  <c:spPr>
    <a:solidFill>
      <a:srgbClr val="FFFF00"/>
    </a:solidFill>
  </c:sp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Suprafaţa totală spaţii verzi/ha</c:v>
                </c:pt>
              </c:strCache>
            </c:strRef>
          </c:tx>
          <c:spPr>
            <a:solidFill>
              <a:srgbClr val="00B050"/>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524.30999999999995</c:v>
                </c:pt>
                <c:pt idx="1">
                  <c:v>532.44000000000005</c:v>
                </c:pt>
                <c:pt idx="2">
                  <c:v>532.44000000000005</c:v>
                </c:pt>
                <c:pt idx="3">
                  <c:v>532.44000000000005</c:v>
                </c:pt>
                <c:pt idx="4">
                  <c:v>531.51</c:v>
                </c:pt>
              </c:numCache>
            </c:numRef>
          </c:val>
          <c:extLst>
            <c:ext xmlns:c16="http://schemas.microsoft.com/office/drawing/2014/chart" uri="{C3380CC4-5D6E-409C-BE32-E72D297353CC}">
              <c16:uniqueId val="{00000000-0C4E-4F30-9576-486538B924DF}"/>
            </c:ext>
          </c:extLst>
        </c:ser>
        <c:ser>
          <c:idx val="1"/>
          <c:order val="1"/>
          <c:tx>
            <c:strRef>
              <c:f>Sheet1!$C$1</c:f>
              <c:strCache>
                <c:ptCount val="1"/>
                <c:pt idx="0">
                  <c:v>Suprafață intravilan/ha</c:v>
                </c:pt>
              </c:strCache>
            </c:strRef>
          </c:tx>
          <c:spPr>
            <a:solidFill>
              <a:srgbClr val="FFFF00"/>
            </a:solidFill>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6450.12</c:v>
                </c:pt>
                <c:pt idx="1">
                  <c:v>6450.12</c:v>
                </c:pt>
                <c:pt idx="2">
                  <c:v>6450.12</c:v>
                </c:pt>
                <c:pt idx="3">
                  <c:v>6450.12</c:v>
                </c:pt>
                <c:pt idx="4">
                  <c:v>6058.67</c:v>
                </c:pt>
              </c:numCache>
            </c:numRef>
          </c:val>
          <c:extLst>
            <c:ext xmlns:c16="http://schemas.microsoft.com/office/drawing/2014/chart" uri="{C3380CC4-5D6E-409C-BE32-E72D297353CC}">
              <c16:uniqueId val="{00000001-0C4E-4F30-9576-486538B924DF}"/>
            </c:ext>
          </c:extLst>
        </c:ser>
        <c:dLbls>
          <c:showLegendKey val="0"/>
          <c:showVal val="0"/>
          <c:showCatName val="0"/>
          <c:showSerName val="0"/>
          <c:showPercent val="0"/>
          <c:showBubbleSize val="0"/>
        </c:dLbls>
        <c:gapWidth val="150"/>
        <c:shape val="box"/>
        <c:axId val="253163392"/>
        <c:axId val="253164928"/>
        <c:axId val="0"/>
      </c:bar3DChart>
      <c:catAx>
        <c:axId val="253163392"/>
        <c:scaling>
          <c:orientation val="minMax"/>
        </c:scaling>
        <c:delete val="0"/>
        <c:axPos val="b"/>
        <c:numFmt formatCode="General" sourceLinked="1"/>
        <c:majorTickMark val="out"/>
        <c:minorTickMark val="none"/>
        <c:tickLblPos val="nextTo"/>
        <c:txPr>
          <a:bodyPr/>
          <a:lstStyle/>
          <a:p>
            <a:pPr>
              <a:defRPr lang="ro-RO"/>
            </a:pPr>
            <a:endParaRPr lang="ro-RO"/>
          </a:p>
        </c:txPr>
        <c:crossAx val="253164928"/>
        <c:crosses val="autoZero"/>
        <c:auto val="1"/>
        <c:lblAlgn val="ctr"/>
        <c:lblOffset val="100"/>
        <c:noMultiLvlLbl val="0"/>
      </c:catAx>
      <c:valAx>
        <c:axId val="253164928"/>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3163392"/>
        <c:crosses val="autoZero"/>
        <c:crossBetween val="between"/>
      </c:valAx>
      <c:spPr>
        <a:noFill/>
        <a:ln w="25405">
          <a:noFill/>
        </a:ln>
      </c:spPr>
    </c:plotArea>
    <c:legend>
      <c:legendPos val="r"/>
      <c:overlay val="0"/>
      <c:txPr>
        <a:bodyPr/>
        <a:lstStyle/>
        <a:p>
          <a:pPr>
            <a:defRPr lang="ro-RO"/>
          </a:pPr>
          <a:endParaRPr lang="ro-RO"/>
        </a:p>
      </c:txPr>
    </c:legend>
    <c:plotVisOnly val="1"/>
    <c:dispBlanksAs val="gap"/>
    <c:showDLblsOverMax val="0"/>
  </c:chart>
  <c:spPr>
    <a:solidFill>
      <a:srgbClr val="C0504D">
        <a:lumMod val="20000"/>
        <a:lumOff val="80000"/>
      </a:srgbClr>
    </a:solidFill>
  </c:sp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Suprafata spatiu verde pe cap de locuitor din mediul urban, tendinta 2014-2018</c:v>
                </c:pt>
              </c:strCache>
            </c:strRef>
          </c:tx>
          <c:spPr>
            <a:solidFill>
              <a:srgbClr val="00B050"/>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26.51</c:v>
                </c:pt>
                <c:pt idx="1">
                  <c:v>26.51</c:v>
                </c:pt>
                <c:pt idx="2">
                  <c:v>26.57</c:v>
                </c:pt>
                <c:pt idx="3">
                  <c:v>26.47</c:v>
                </c:pt>
                <c:pt idx="4">
                  <c:v>26.47</c:v>
                </c:pt>
              </c:numCache>
            </c:numRef>
          </c:val>
          <c:extLst>
            <c:ext xmlns:c16="http://schemas.microsoft.com/office/drawing/2014/chart" uri="{C3380CC4-5D6E-409C-BE32-E72D297353CC}">
              <c16:uniqueId val="{00000000-699A-4436-A1D3-A4C3DCAE07C4}"/>
            </c:ext>
          </c:extLst>
        </c:ser>
        <c:dLbls>
          <c:showLegendKey val="0"/>
          <c:showVal val="0"/>
          <c:showCatName val="0"/>
          <c:showSerName val="0"/>
          <c:showPercent val="0"/>
          <c:showBubbleSize val="0"/>
        </c:dLbls>
        <c:gapWidth val="150"/>
        <c:shape val="box"/>
        <c:axId val="253860864"/>
        <c:axId val="253862656"/>
        <c:axId val="0"/>
      </c:bar3DChart>
      <c:catAx>
        <c:axId val="253860864"/>
        <c:scaling>
          <c:orientation val="minMax"/>
        </c:scaling>
        <c:delete val="0"/>
        <c:axPos val="b"/>
        <c:numFmt formatCode="General" sourceLinked="1"/>
        <c:majorTickMark val="out"/>
        <c:minorTickMark val="none"/>
        <c:tickLblPos val="nextTo"/>
        <c:txPr>
          <a:bodyPr/>
          <a:lstStyle/>
          <a:p>
            <a:pPr>
              <a:defRPr lang="ro-RO"/>
            </a:pPr>
            <a:endParaRPr lang="ro-RO"/>
          </a:p>
        </c:txPr>
        <c:crossAx val="253862656"/>
        <c:crosses val="autoZero"/>
        <c:auto val="1"/>
        <c:lblAlgn val="ctr"/>
        <c:lblOffset val="100"/>
        <c:noMultiLvlLbl val="0"/>
      </c:catAx>
      <c:valAx>
        <c:axId val="253862656"/>
        <c:scaling>
          <c:orientation val="minMax"/>
        </c:scaling>
        <c:delete val="0"/>
        <c:axPos val="l"/>
        <c:majorGridlines/>
        <c:numFmt formatCode="General" sourceLinked="1"/>
        <c:majorTickMark val="out"/>
        <c:minorTickMark val="none"/>
        <c:tickLblPos val="nextTo"/>
        <c:txPr>
          <a:bodyPr/>
          <a:lstStyle/>
          <a:p>
            <a:pPr>
              <a:defRPr lang="ro-RO"/>
            </a:pPr>
            <a:endParaRPr lang="ro-RO"/>
          </a:p>
        </c:txPr>
        <c:crossAx val="253860864"/>
        <c:crosses val="autoZero"/>
        <c:crossBetween val="between"/>
      </c:valAx>
      <c:spPr>
        <a:noFill/>
        <a:ln w="25413">
          <a:noFill/>
        </a:ln>
      </c:spPr>
    </c:plotArea>
    <c:legend>
      <c:legendPos val="r"/>
      <c:overlay val="0"/>
      <c:txPr>
        <a:bodyPr/>
        <a:lstStyle/>
        <a:p>
          <a:pPr>
            <a:defRPr lang="ro-RO"/>
          </a:pPr>
          <a:endParaRPr lang="ro-RO"/>
        </a:p>
      </c:txPr>
    </c:legend>
    <c:plotVisOnly val="1"/>
    <c:dispBlanksAs val="gap"/>
    <c:showDLblsOverMax val="0"/>
  </c:chart>
  <c:spPr>
    <a:solidFill>
      <a:srgbClr val="4BACC6">
        <a:lumMod val="20000"/>
        <a:lumOff val="80000"/>
      </a:srgbClr>
    </a:solidFill>
  </c:sp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a:lstStyle/>
          <a:p>
            <a:pPr algn="ctr" rtl="0">
              <a:defRPr lang="en-US"/>
            </a:pPr>
            <a:r>
              <a:rPr lang="ro-RO"/>
              <a:t>Variația mediilor și maximelor anuale ale debitului dozei gama</a:t>
            </a:r>
          </a:p>
        </c:rich>
      </c:tx>
      <c:overlay val="0"/>
      <c:spPr>
        <a:ln>
          <a:noFill/>
        </a:ln>
      </c:spPr>
    </c:title>
    <c:autoTitleDeleted val="0"/>
    <c:plotArea>
      <c:layout>
        <c:manualLayout>
          <c:layoutTarget val="inner"/>
          <c:xMode val="edge"/>
          <c:yMode val="edge"/>
          <c:x val="0.10960220397982436"/>
          <c:y val="0.26912446206753987"/>
          <c:w val="0.78874294968449365"/>
          <c:h val="0.56977305044506665"/>
        </c:manualLayout>
      </c:layout>
      <c:lineChart>
        <c:grouping val="standard"/>
        <c:varyColors val="0"/>
        <c:ser>
          <c:idx val="0"/>
          <c:order val="0"/>
          <c:tx>
            <c:strRef>
              <c:f>Sheet1!$B$1</c:f>
              <c:strCache>
                <c:ptCount val="1"/>
                <c:pt idx="0">
                  <c:v>maxima anuală</c:v>
                </c:pt>
              </c:strCache>
            </c:strRef>
          </c:tx>
          <c:spPr>
            <a:ln w="28479">
              <a:solidFill>
                <a:srgbClr val="C00000"/>
              </a:solidFill>
            </a:ln>
          </c:spPr>
          <c:marker>
            <c:symbol val="square"/>
            <c:size val="2"/>
            <c:spPr>
              <a:solidFill>
                <a:srgbClr val="FFFF00"/>
              </a:solidFill>
            </c:spPr>
          </c:marker>
          <c:dLbls>
            <c:dLbl>
              <c:idx val="0"/>
              <c:layout>
                <c:manualLayout>
                  <c:x val="-5.1282051282051294E-2"/>
                  <c:y val="-4.9252418645558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EF-40DC-8DC5-89784D0FB391}"/>
                </c:ext>
              </c:extLst>
            </c:dLbl>
            <c:dLbl>
              <c:idx val="1"/>
              <c:layout>
                <c:manualLayout>
                  <c:x val="-6.1538461538461903E-2"/>
                  <c:y val="-5.98065083553231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EF-40DC-8DC5-89784D0FB391}"/>
                </c:ext>
              </c:extLst>
            </c:dLbl>
            <c:dLbl>
              <c:idx val="3"/>
              <c:layout>
                <c:manualLayout>
                  <c:x val="-4.3589743589743567E-2"/>
                  <c:y val="-6.3324538258575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EF-40DC-8DC5-89784D0FB391}"/>
                </c:ext>
              </c:extLst>
            </c:dLbl>
            <c:dLbl>
              <c:idx val="4"/>
              <c:layout>
                <c:manualLayout>
                  <c:x val="-4.8717948717948933E-2"/>
                  <c:y val="-5.2770448548812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EF-40DC-8DC5-89784D0FB391}"/>
                </c:ext>
              </c:extLst>
            </c:dLbl>
            <c:spPr>
              <a:noFill/>
              <a:ln>
                <a:noFill/>
              </a:ln>
              <a:effectLst/>
            </c:spPr>
            <c:txPr>
              <a:bodyPr/>
              <a:lstStyle/>
              <a:p>
                <a:pPr>
                  <a:defRPr lang="en-US" sz="897" b="1" i="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0.16400000000000001</c:v>
                </c:pt>
                <c:pt idx="1">
                  <c:v>0.14799999999999999</c:v>
                </c:pt>
                <c:pt idx="2">
                  <c:v>0.16900000000000001</c:v>
                </c:pt>
                <c:pt idx="3">
                  <c:v>0.16600000000000001</c:v>
                </c:pt>
                <c:pt idx="4">
                  <c:v>0.13800000000000001</c:v>
                </c:pt>
              </c:numCache>
            </c:numRef>
          </c:val>
          <c:smooth val="0"/>
          <c:extLst>
            <c:ext xmlns:c16="http://schemas.microsoft.com/office/drawing/2014/chart" uri="{C3380CC4-5D6E-409C-BE32-E72D297353CC}">
              <c16:uniqueId val="{00000004-DAEF-40DC-8DC5-89784D0FB391}"/>
            </c:ext>
          </c:extLst>
        </c:ser>
        <c:ser>
          <c:idx val="1"/>
          <c:order val="1"/>
          <c:tx>
            <c:strRef>
              <c:f>Sheet1!$C$1</c:f>
              <c:strCache>
                <c:ptCount val="1"/>
                <c:pt idx="0">
                  <c:v>media anuală</c:v>
                </c:pt>
              </c:strCache>
            </c:strRef>
          </c:tx>
          <c:spPr>
            <a:ln w="28479">
              <a:solidFill>
                <a:srgbClr val="D47ACE"/>
              </a:solidFill>
            </a:ln>
          </c:spPr>
          <c:marker>
            <c:symbol val="square"/>
            <c:size val="11"/>
            <c:spPr>
              <a:solidFill>
                <a:srgbClr val="FFFF00"/>
              </a:solidFill>
              <a:ln w="6329">
                <a:solidFill>
                  <a:srgbClr val="D47ACE"/>
                </a:solidFill>
              </a:ln>
            </c:spPr>
          </c:marker>
          <c:dPt>
            <c:idx val="0"/>
            <c:marker>
              <c:symbol val="circle"/>
              <c:size val="5"/>
            </c:marker>
            <c:bubble3D val="0"/>
            <c:extLst>
              <c:ext xmlns:c16="http://schemas.microsoft.com/office/drawing/2014/chart" uri="{C3380CC4-5D6E-409C-BE32-E72D297353CC}">
                <c16:uniqueId val="{00000005-DAEF-40DC-8DC5-89784D0FB391}"/>
              </c:ext>
            </c:extLst>
          </c:dPt>
          <c:dPt>
            <c:idx val="1"/>
            <c:marker>
              <c:symbol val="circle"/>
              <c:size val="5"/>
            </c:marker>
            <c:bubble3D val="0"/>
            <c:extLst>
              <c:ext xmlns:c16="http://schemas.microsoft.com/office/drawing/2014/chart" uri="{C3380CC4-5D6E-409C-BE32-E72D297353CC}">
                <c16:uniqueId val="{00000006-DAEF-40DC-8DC5-89784D0FB391}"/>
              </c:ext>
            </c:extLst>
          </c:dPt>
          <c:dPt>
            <c:idx val="2"/>
            <c:marker>
              <c:symbol val="circle"/>
              <c:size val="5"/>
            </c:marker>
            <c:bubble3D val="0"/>
            <c:extLst>
              <c:ext xmlns:c16="http://schemas.microsoft.com/office/drawing/2014/chart" uri="{C3380CC4-5D6E-409C-BE32-E72D297353CC}">
                <c16:uniqueId val="{00000007-DAEF-40DC-8DC5-89784D0FB391}"/>
              </c:ext>
            </c:extLst>
          </c:dPt>
          <c:dPt>
            <c:idx val="3"/>
            <c:marker>
              <c:symbol val="circle"/>
              <c:size val="5"/>
            </c:marker>
            <c:bubble3D val="0"/>
            <c:extLst>
              <c:ext xmlns:c16="http://schemas.microsoft.com/office/drawing/2014/chart" uri="{C3380CC4-5D6E-409C-BE32-E72D297353CC}">
                <c16:uniqueId val="{00000008-DAEF-40DC-8DC5-89784D0FB391}"/>
              </c:ext>
            </c:extLst>
          </c:dPt>
          <c:dPt>
            <c:idx val="4"/>
            <c:marker>
              <c:symbol val="circle"/>
              <c:size val="5"/>
            </c:marker>
            <c:bubble3D val="0"/>
            <c:extLst>
              <c:ext xmlns:c16="http://schemas.microsoft.com/office/drawing/2014/chart" uri="{C3380CC4-5D6E-409C-BE32-E72D297353CC}">
                <c16:uniqueId val="{00000009-DAEF-40DC-8DC5-89784D0FB391}"/>
              </c:ext>
            </c:extLst>
          </c:dPt>
          <c:dLbls>
            <c:dLbl>
              <c:idx val="0"/>
              <c:layout>
                <c:manualLayout>
                  <c:x val="-5.3846153846153891E-2"/>
                  <c:y val="6.684256816182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EF-40DC-8DC5-89784D0FB391}"/>
                </c:ext>
              </c:extLst>
            </c:dLbl>
            <c:dLbl>
              <c:idx val="1"/>
              <c:layout>
                <c:manualLayout>
                  <c:x val="-5.3846153846153912E-2"/>
                  <c:y val="6.3324538258575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EF-40DC-8DC5-89784D0FB391}"/>
                </c:ext>
              </c:extLst>
            </c:dLbl>
            <c:dLbl>
              <c:idx val="2"/>
              <c:layout>
                <c:manualLayout>
                  <c:x val="-5.1282051282051294E-2"/>
                  <c:y val="5.2770448548812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EF-40DC-8DC5-89784D0FB391}"/>
                </c:ext>
              </c:extLst>
            </c:dLbl>
            <c:dLbl>
              <c:idx val="3"/>
              <c:layout>
                <c:manualLayout>
                  <c:x val="-5.6410256410256432E-2"/>
                  <c:y val="6.3324538258575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EF-40DC-8DC5-89784D0FB391}"/>
                </c:ext>
              </c:extLst>
            </c:dLbl>
            <c:dLbl>
              <c:idx val="4"/>
              <c:layout>
                <c:manualLayout>
                  <c:x val="-6.153846153846159E-2"/>
                  <c:y val="5.62884784520669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EF-40DC-8DC5-89784D0FB391}"/>
                </c:ext>
              </c:extLst>
            </c:dLbl>
            <c:spPr>
              <a:noFill/>
              <a:ln>
                <a:noFill/>
              </a:ln>
              <a:effectLst/>
            </c:spPr>
            <c:txPr>
              <a:bodyPr/>
              <a:lstStyle/>
              <a:p>
                <a:pPr>
                  <a:defRPr lang="en-US" sz="897" b="1" i="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0.108</c:v>
                </c:pt>
                <c:pt idx="1">
                  <c:v>9.9000000000000005E-2</c:v>
                </c:pt>
                <c:pt idx="2">
                  <c:v>0.104</c:v>
                </c:pt>
                <c:pt idx="3">
                  <c:v>0.10299999999999999</c:v>
                </c:pt>
                <c:pt idx="4">
                  <c:v>9.8000000000000004E-2</c:v>
                </c:pt>
              </c:numCache>
            </c:numRef>
          </c:val>
          <c:smooth val="0"/>
          <c:extLst>
            <c:ext xmlns:c16="http://schemas.microsoft.com/office/drawing/2014/chart" uri="{C3380CC4-5D6E-409C-BE32-E72D297353CC}">
              <c16:uniqueId val="{0000000A-DAEF-40DC-8DC5-89784D0FB391}"/>
            </c:ext>
          </c:extLst>
        </c:ser>
        <c:dLbls>
          <c:showLegendKey val="0"/>
          <c:showVal val="0"/>
          <c:showCatName val="0"/>
          <c:showSerName val="0"/>
          <c:showPercent val="0"/>
          <c:showBubbleSize val="0"/>
        </c:dLbls>
        <c:marker val="1"/>
        <c:smooth val="0"/>
        <c:axId val="253933056"/>
        <c:axId val="253934592"/>
      </c:lineChart>
      <c:catAx>
        <c:axId val="253933056"/>
        <c:scaling>
          <c:orientation val="minMax"/>
        </c:scaling>
        <c:delete val="0"/>
        <c:axPos val="b"/>
        <c:numFmt formatCode="General" sourceLinked="1"/>
        <c:majorTickMark val="none"/>
        <c:minorTickMark val="none"/>
        <c:tickLblPos val="nextTo"/>
        <c:spPr>
          <a:noFill/>
          <a:ln cap="rnd"/>
        </c:spPr>
        <c:txPr>
          <a:bodyPr/>
          <a:lstStyle/>
          <a:p>
            <a:pPr>
              <a:defRPr lang="en-US" sz="1196" b="1"/>
            </a:pPr>
            <a:endParaRPr lang="ro-RO"/>
          </a:p>
        </c:txPr>
        <c:crossAx val="253934592"/>
        <c:crossesAt val="0"/>
        <c:auto val="1"/>
        <c:lblAlgn val="ctr"/>
        <c:lblOffset val="100"/>
        <c:noMultiLvlLbl val="0"/>
      </c:catAx>
      <c:valAx>
        <c:axId val="253934592"/>
        <c:scaling>
          <c:orientation val="minMax"/>
          <c:max val="0.2"/>
        </c:scaling>
        <c:delete val="0"/>
        <c:axPos val="l"/>
        <c:majorGridlines/>
        <c:title>
          <c:tx>
            <c:rich>
              <a:bodyPr/>
              <a:lstStyle/>
              <a:p>
                <a:pPr>
                  <a:defRPr lang="en-US" sz="993" b="1" i="0" u="none" strike="noStrike" baseline="0">
                    <a:solidFill>
                      <a:srgbClr val="000000"/>
                    </a:solidFill>
                    <a:latin typeface="Arial"/>
                    <a:ea typeface="Arial"/>
                    <a:cs typeface="Arial"/>
                  </a:defRPr>
                </a:pPr>
                <a:r>
                  <a:rPr lang="ro-RO"/>
                  <a:t>µSv/h</a:t>
                </a:r>
              </a:p>
            </c:rich>
          </c:tx>
          <c:overlay val="0"/>
        </c:title>
        <c:numFmt formatCode="#,##0.000" sourceLinked="0"/>
        <c:majorTickMark val="none"/>
        <c:minorTickMark val="none"/>
        <c:tickLblPos val="nextTo"/>
        <c:spPr>
          <a:noFill/>
        </c:spPr>
        <c:txPr>
          <a:bodyPr/>
          <a:lstStyle/>
          <a:p>
            <a:pPr>
              <a:defRPr lang="en-US" sz="1000" b="1" baseline="0"/>
            </a:pPr>
            <a:endParaRPr lang="ro-RO"/>
          </a:p>
        </c:txPr>
        <c:crossAx val="253933056"/>
        <c:crosses val="autoZero"/>
        <c:crossBetween val="between"/>
        <c:majorUnit val="2.0000000000000052E-2"/>
        <c:minorUnit val="5.0000000000000504E-3"/>
      </c:valAx>
      <c:spPr>
        <a:solidFill>
          <a:srgbClr val="9BBB59">
            <a:lumMod val="20000"/>
            <a:lumOff val="80000"/>
          </a:srgbClr>
        </a:solidFill>
        <a:ln w="25316">
          <a:solidFill>
            <a:sysClr val="windowText" lastClr="000000"/>
          </a:solidFill>
        </a:ln>
      </c:spPr>
    </c:plotArea>
    <c:legend>
      <c:legendPos val="b"/>
      <c:legendEntry>
        <c:idx val="0"/>
        <c:txPr>
          <a:bodyPr/>
          <a:lstStyle/>
          <a:p>
            <a:pPr>
              <a:defRPr sz="1196" b="1" i="0" baseline="0"/>
            </a:pPr>
            <a:endParaRPr lang="ro-RO"/>
          </a:p>
        </c:txPr>
      </c:legendEntry>
      <c:legendEntry>
        <c:idx val="1"/>
        <c:txPr>
          <a:bodyPr/>
          <a:lstStyle/>
          <a:p>
            <a:pPr>
              <a:defRPr sz="1196" b="1" i="0" baseline="0"/>
            </a:pPr>
            <a:endParaRPr lang="ro-RO"/>
          </a:p>
        </c:txPr>
      </c:legendEntry>
      <c:overlay val="0"/>
      <c:txPr>
        <a:bodyPr/>
        <a:lstStyle/>
        <a:p>
          <a:pPr>
            <a:defRPr lang="en-US" sz="1196"/>
          </a:pPr>
          <a:endParaRPr lang="ro-RO"/>
        </a:p>
      </c:txPr>
    </c:legend>
    <c:plotVisOnly val="1"/>
    <c:dispBlanksAs val="gap"/>
    <c:showDLblsOverMax val="0"/>
  </c:chart>
  <c:spPr>
    <a:solidFill>
      <a:srgbClr val="8064A2">
        <a:lumMod val="20000"/>
        <a:lumOff val="80000"/>
      </a:srgbClr>
    </a:solidFill>
  </c:spPr>
  <c:txPr>
    <a:bodyPr/>
    <a:lstStyle/>
    <a:p>
      <a:pPr>
        <a:defRPr sz="996">
          <a:latin typeface="Arial" pitchFamily="34" charset="0"/>
          <a:cs typeface="Arial" pitchFamily="34" charset="0"/>
        </a:defRPr>
      </a:pPr>
      <a:endParaRPr lang="ro-RO"/>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solidFill>
                  <a:srgbClr val="FF0000"/>
                </a:solidFill>
              </a:defRPr>
            </a:pPr>
            <a:r>
              <a:rPr lang="en-GB" sz="1200" b="1">
                <a:solidFill>
                  <a:sysClr val="windowText" lastClr="000000"/>
                </a:solidFill>
                <a:latin typeface="Arial" pitchFamily="34" charset="0"/>
                <a:cs typeface="Arial" pitchFamily="34" charset="0"/>
              </a:rPr>
              <a:t>Figura</a:t>
            </a:r>
            <a:r>
              <a:rPr lang="en-GB" sz="1200">
                <a:solidFill>
                  <a:sysClr val="windowText" lastClr="000000"/>
                </a:solidFill>
                <a:latin typeface="Arial" pitchFamily="34" charset="0"/>
                <a:cs typeface="Arial" pitchFamily="34" charset="0"/>
              </a:rPr>
              <a:t> </a:t>
            </a:r>
            <a:r>
              <a:rPr lang="en-GB" sz="1200" b="1">
                <a:solidFill>
                  <a:sysClr val="windowText" lastClr="000000"/>
                </a:solidFill>
                <a:latin typeface="Arial" pitchFamily="34" charset="0"/>
                <a:cs typeface="Arial" pitchFamily="34" charset="0"/>
              </a:rPr>
              <a:t>nr. X.1.2. - 1</a:t>
            </a:r>
            <a:r>
              <a:rPr lang="en-GB" sz="1200">
                <a:solidFill>
                  <a:sysClr val="windowText" lastClr="000000"/>
                </a:solidFill>
                <a:latin typeface="Arial" pitchFamily="34" charset="0"/>
                <a:cs typeface="Arial" pitchFamily="34" charset="0"/>
              </a:rPr>
              <a:t> Populaţia totală stabilă raportată la numărul total de locuinţe, la nivelul  județului Brăila, pentru perioada 201</a:t>
            </a:r>
            <a:r>
              <a:rPr lang="ro-RO" sz="1200">
                <a:solidFill>
                  <a:sysClr val="windowText" lastClr="000000"/>
                </a:solidFill>
                <a:latin typeface="Arial" pitchFamily="34" charset="0"/>
                <a:cs typeface="Arial" pitchFamily="34" charset="0"/>
              </a:rPr>
              <a:t>4</a:t>
            </a:r>
            <a:r>
              <a:rPr lang="en-GB" sz="1200">
                <a:solidFill>
                  <a:sysClr val="windowText" lastClr="000000"/>
                </a:solidFill>
                <a:latin typeface="Arial" pitchFamily="34" charset="0"/>
                <a:cs typeface="Arial" pitchFamily="34" charset="0"/>
              </a:rPr>
              <a:t> - 201</a:t>
            </a:r>
            <a:r>
              <a:rPr lang="ro-RO" sz="1200">
                <a:solidFill>
                  <a:sysClr val="windowText" lastClr="000000"/>
                </a:solidFill>
                <a:latin typeface="Arial" pitchFamily="34" charset="0"/>
                <a:cs typeface="Arial" pitchFamily="34" charset="0"/>
              </a:rPr>
              <a:t>8</a:t>
            </a:r>
          </a:p>
          <a:p>
            <a:pPr algn="ctr">
              <a:defRPr>
                <a:solidFill>
                  <a:srgbClr val="FF0000"/>
                </a:solidFill>
              </a:defRPr>
            </a:pPr>
            <a:r>
              <a:rPr lang="en-GB" sz="1800">
                <a:solidFill>
                  <a:srgbClr val="FF0000"/>
                </a:solidFill>
              </a:rPr>
              <a:t> </a:t>
            </a:r>
            <a:endParaRPr lang="ro-RO" sz="1800">
              <a:solidFill>
                <a:srgbClr val="FF0000"/>
              </a:solidFill>
            </a:endParaRPr>
          </a:p>
        </c:rich>
      </c:tx>
      <c:layout>
        <c:manualLayout>
          <c:xMode val="edge"/>
          <c:yMode val="edge"/>
          <c:x val="0.11103000145815133"/>
          <c:y val="3.9079287750901793E-3"/>
        </c:manualLayout>
      </c:layout>
      <c:overlay val="1"/>
    </c:title>
    <c:autoTitleDeleted val="0"/>
    <c:plotArea>
      <c:layout>
        <c:manualLayout>
          <c:layoutTarget val="inner"/>
          <c:xMode val="edge"/>
          <c:yMode val="edge"/>
          <c:x val="6.5765893846602932E-2"/>
          <c:y val="0.32935320907976851"/>
          <c:w val="0.58742855059784149"/>
          <c:h val="0.52302344214884411"/>
        </c:manualLayout>
      </c:layout>
      <c:lineChart>
        <c:grouping val="standard"/>
        <c:varyColors val="0"/>
        <c:ser>
          <c:idx val="0"/>
          <c:order val="0"/>
          <c:tx>
            <c:strRef>
              <c:f>Sheet1!$B$1</c:f>
              <c:strCache>
                <c:ptCount val="1"/>
                <c:pt idx="0">
                  <c:v>Total populație stabilă/Total gospodării</c:v>
                </c:pt>
              </c:strCache>
            </c:strRef>
          </c:tx>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2.62</c:v>
                </c:pt>
                <c:pt idx="1">
                  <c:v>2.59</c:v>
                </c:pt>
                <c:pt idx="2">
                  <c:v>2.57</c:v>
                </c:pt>
                <c:pt idx="3">
                  <c:v>2.54</c:v>
                </c:pt>
                <c:pt idx="4">
                  <c:v>2.5</c:v>
                </c:pt>
              </c:numCache>
            </c:numRef>
          </c:val>
          <c:smooth val="0"/>
          <c:extLst>
            <c:ext xmlns:c16="http://schemas.microsoft.com/office/drawing/2014/chart" uri="{C3380CC4-5D6E-409C-BE32-E72D297353CC}">
              <c16:uniqueId val="{00000000-D44E-46D8-A110-EEE8FBFE61CB}"/>
            </c:ext>
          </c:extLst>
        </c:ser>
        <c:ser>
          <c:idx val="1"/>
          <c:order val="1"/>
          <c:tx>
            <c:strRef>
              <c:f>Sheet1!$C$1</c:f>
              <c:strCache>
                <c:ptCount val="1"/>
                <c:pt idx="0">
                  <c:v>Total populație stabilă/Total gospodării Urban</c:v>
                </c:pt>
              </c:strCache>
            </c:strRef>
          </c:tx>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2.7</c:v>
                </c:pt>
                <c:pt idx="1">
                  <c:v>2.67</c:v>
                </c:pt>
                <c:pt idx="2">
                  <c:v>2.64</c:v>
                </c:pt>
                <c:pt idx="3">
                  <c:v>2.62</c:v>
                </c:pt>
                <c:pt idx="4">
                  <c:v>2.56</c:v>
                </c:pt>
              </c:numCache>
            </c:numRef>
          </c:val>
          <c:smooth val="0"/>
          <c:extLst>
            <c:ext xmlns:c16="http://schemas.microsoft.com/office/drawing/2014/chart" uri="{C3380CC4-5D6E-409C-BE32-E72D297353CC}">
              <c16:uniqueId val="{00000001-D44E-46D8-A110-EEE8FBFE61CB}"/>
            </c:ext>
          </c:extLst>
        </c:ser>
        <c:ser>
          <c:idx val="2"/>
          <c:order val="2"/>
          <c:tx>
            <c:strRef>
              <c:f>Sheet1!$D$1</c:f>
              <c:strCache>
                <c:ptCount val="1"/>
                <c:pt idx="0">
                  <c:v>Total populație stabilă/Total gospodării Rural</c:v>
                </c:pt>
              </c:strCache>
            </c:strRef>
          </c:tx>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2.48</c:v>
                </c:pt>
                <c:pt idx="1">
                  <c:v>2.4500000000000002</c:v>
                </c:pt>
                <c:pt idx="2">
                  <c:v>2.44</c:v>
                </c:pt>
                <c:pt idx="3">
                  <c:v>2.42</c:v>
                </c:pt>
                <c:pt idx="4">
                  <c:v>2.39</c:v>
                </c:pt>
              </c:numCache>
            </c:numRef>
          </c:val>
          <c:smooth val="0"/>
          <c:extLst>
            <c:ext xmlns:c16="http://schemas.microsoft.com/office/drawing/2014/chart" uri="{C3380CC4-5D6E-409C-BE32-E72D297353CC}">
              <c16:uniqueId val="{00000002-D44E-46D8-A110-EEE8FBFE61CB}"/>
            </c:ext>
          </c:extLst>
        </c:ser>
        <c:dLbls>
          <c:showLegendKey val="0"/>
          <c:showVal val="0"/>
          <c:showCatName val="0"/>
          <c:showSerName val="0"/>
          <c:showPercent val="0"/>
          <c:showBubbleSize val="0"/>
        </c:dLbls>
        <c:marker val="1"/>
        <c:smooth val="0"/>
        <c:axId val="254296448"/>
        <c:axId val="254297984"/>
      </c:lineChart>
      <c:catAx>
        <c:axId val="254296448"/>
        <c:scaling>
          <c:orientation val="minMax"/>
        </c:scaling>
        <c:delete val="0"/>
        <c:axPos val="b"/>
        <c:numFmt formatCode="General" sourceLinked="1"/>
        <c:majorTickMark val="out"/>
        <c:minorTickMark val="none"/>
        <c:tickLblPos val="nextTo"/>
        <c:crossAx val="254297984"/>
        <c:crosses val="autoZero"/>
        <c:auto val="1"/>
        <c:lblAlgn val="ctr"/>
        <c:lblOffset val="100"/>
        <c:noMultiLvlLbl val="0"/>
      </c:catAx>
      <c:valAx>
        <c:axId val="254297984"/>
        <c:scaling>
          <c:orientation val="minMax"/>
        </c:scaling>
        <c:delete val="0"/>
        <c:axPos val="l"/>
        <c:majorGridlines/>
        <c:numFmt formatCode="General" sourceLinked="1"/>
        <c:majorTickMark val="out"/>
        <c:minorTickMark val="none"/>
        <c:tickLblPos val="nextTo"/>
        <c:crossAx val="254296448"/>
        <c:crosses val="autoZero"/>
        <c:crossBetween val="between"/>
      </c:valAx>
    </c:plotArea>
    <c:legend>
      <c:legendPos val="r"/>
      <c:layout>
        <c:manualLayout>
          <c:xMode val="edge"/>
          <c:yMode val="edge"/>
          <c:x val="0.6786574074074132"/>
          <c:y val="0.30716670437509802"/>
          <c:w val="0.30745370370370556"/>
          <c:h val="0.50635371313465838"/>
        </c:manualLayout>
      </c:layout>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54983922829592E-2"/>
          <c:y val="2.1897810218979061E-2"/>
          <c:w val="0.67202572347266964"/>
          <c:h val="0.81555465360644364"/>
        </c:manualLayout>
      </c:layout>
      <c:barChart>
        <c:barDir val="col"/>
        <c:grouping val="clustered"/>
        <c:varyColors val="0"/>
        <c:ser>
          <c:idx val="9"/>
          <c:order val="0"/>
          <c:tx>
            <c:strRef>
              <c:f>Sheet1!$A$2</c:f>
              <c:strCache>
                <c:ptCount val="1"/>
                <c:pt idx="0">
                  <c:v>Medii anuale nef. 2014</c:v>
                </c:pt>
              </c:strCache>
            </c:strRef>
          </c:tx>
          <c:spPr>
            <a:solidFill>
              <a:srgbClr val="FF00FF"/>
            </a:solidFill>
            <a:ln w="12700">
              <a:solidFill>
                <a:srgbClr val="000000"/>
              </a:solidFill>
              <a:prstDash val="solid"/>
            </a:ln>
          </c:spPr>
          <c:invertIfNegative val="0"/>
          <c:cat>
            <c:strRef>
              <c:f>Sheet1!$B$1:$G$1</c:f>
              <c:strCache>
                <c:ptCount val="6"/>
                <c:pt idx="0">
                  <c:v>BR1</c:v>
                </c:pt>
                <c:pt idx="1">
                  <c:v>BR2-PM2,5</c:v>
                </c:pt>
                <c:pt idx="2">
                  <c:v>BR2-PM10</c:v>
                </c:pt>
                <c:pt idx="3">
                  <c:v>BR3</c:v>
                </c:pt>
                <c:pt idx="4">
                  <c:v>BR4</c:v>
                </c:pt>
                <c:pt idx="5">
                  <c:v>BR5</c:v>
                </c:pt>
              </c:strCache>
            </c:strRef>
          </c:cat>
          <c:val>
            <c:numRef>
              <c:f>Sheet1!$B$2:$G$2</c:f>
              <c:numCache>
                <c:formatCode>General</c:formatCode>
                <c:ptCount val="6"/>
                <c:pt idx="5">
                  <c:v>46.03</c:v>
                </c:pt>
              </c:numCache>
            </c:numRef>
          </c:val>
          <c:extLst>
            <c:ext xmlns:c16="http://schemas.microsoft.com/office/drawing/2014/chart" uri="{C3380CC4-5D6E-409C-BE32-E72D297353CC}">
              <c16:uniqueId val="{00000000-439E-4F34-A207-D336A15474C1}"/>
            </c:ext>
          </c:extLst>
        </c:ser>
        <c:ser>
          <c:idx val="10"/>
          <c:order val="1"/>
          <c:tx>
            <c:strRef>
              <c:f>Sheet1!$A$3</c:f>
              <c:strCache>
                <c:ptCount val="1"/>
                <c:pt idx="0">
                  <c:v>Medii anuale nef. 2015</c:v>
                </c:pt>
              </c:strCache>
            </c:strRef>
          </c:tx>
          <c:invertIfNegative val="0"/>
          <c:cat>
            <c:strRef>
              <c:f>Sheet1!$B$1:$G$1</c:f>
              <c:strCache>
                <c:ptCount val="6"/>
                <c:pt idx="0">
                  <c:v>BR1</c:v>
                </c:pt>
                <c:pt idx="1">
                  <c:v>BR2-PM2,5</c:v>
                </c:pt>
                <c:pt idx="2">
                  <c:v>BR2-PM10</c:v>
                </c:pt>
                <c:pt idx="3">
                  <c:v>BR3</c:v>
                </c:pt>
                <c:pt idx="4">
                  <c:v>BR4</c:v>
                </c:pt>
                <c:pt idx="5">
                  <c:v>BR5</c:v>
                </c:pt>
              </c:strCache>
            </c:strRef>
          </c:cat>
          <c:val>
            <c:numRef>
              <c:f>Sheet1!$B$3:$G$3</c:f>
              <c:numCache>
                <c:formatCode>General</c:formatCode>
                <c:ptCount val="6"/>
                <c:pt idx="2">
                  <c:v>36.68</c:v>
                </c:pt>
                <c:pt idx="3">
                  <c:v>30.73</c:v>
                </c:pt>
              </c:numCache>
            </c:numRef>
          </c:val>
          <c:extLst>
            <c:ext xmlns:c16="http://schemas.microsoft.com/office/drawing/2014/chart" uri="{C3380CC4-5D6E-409C-BE32-E72D297353CC}">
              <c16:uniqueId val="{00000001-439E-4F34-A207-D336A15474C1}"/>
            </c:ext>
          </c:extLst>
        </c:ser>
        <c:ser>
          <c:idx val="2"/>
          <c:order val="2"/>
          <c:tx>
            <c:strRef>
              <c:f>Sheet1!$A$4</c:f>
              <c:strCache>
                <c:ptCount val="1"/>
                <c:pt idx="0">
                  <c:v>Medii anuale nef 2016</c:v>
                </c:pt>
              </c:strCache>
            </c:strRef>
          </c:tx>
          <c:invertIfNegative val="0"/>
          <c:cat>
            <c:strRef>
              <c:f>Sheet1!$B$1:$G$1</c:f>
              <c:strCache>
                <c:ptCount val="6"/>
                <c:pt idx="0">
                  <c:v>BR1</c:v>
                </c:pt>
                <c:pt idx="1">
                  <c:v>BR2-PM2,5</c:v>
                </c:pt>
                <c:pt idx="2">
                  <c:v>BR2-PM10</c:v>
                </c:pt>
                <c:pt idx="3">
                  <c:v>BR3</c:v>
                </c:pt>
                <c:pt idx="4">
                  <c:v>BR4</c:v>
                </c:pt>
                <c:pt idx="5">
                  <c:v>BR5</c:v>
                </c:pt>
              </c:strCache>
            </c:strRef>
          </c:cat>
          <c:val>
            <c:numRef>
              <c:f>Sheet1!$B$4:$G$4</c:f>
              <c:numCache>
                <c:formatCode>General</c:formatCode>
                <c:ptCount val="6"/>
                <c:pt idx="0">
                  <c:v>24.61</c:v>
                </c:pt>
                <c:pt idx="2">
                  <c:v>21.91</c:v>
                </c:pt>
                <c:pt idx="3">
                  <c:v>30.85</c:v>
                </c:pt>
                <c:pt idx="4">
                  <c:v>22.46</c:v>
                </c:pt>
                <c:pt idx="5">
                  <c:v>33.4</c:v>
                </c:pt>
              </c:numCache>
            </c:numRef>
          </c:val>
          <c:extLst>
            <c:ext xmlns:c16="http://schemas.microsoft.com/office/drawing/2014/chart" uri="{C3380CC4-5D6E-409C-BE32-E72D297353CC}">
              <c16:uniqueId val="{00000002-439E-4F34-A207-D336A15474C1}"/>
            </c:ext>
          </c:extLst>
        </c:ser>
        <c:ser>
          <c:idx val="3"/>
          <c:order val="3"/>
          <c:tx>
            <c:strRef>
              <c:f>Sheet1!$A$5</c:f>
              <c:strCache>
                <c:ptCount val="1"/>
                <c:pt idx="0">
                  <c:v>Medii anuale nef 2017</c:v>
                </c:pt>
              </c:strCache>
            </c:strRef>
          </c:tx>
          <c:invertIfNegative val="0"/>
          <c:cat>
            <c:strRef>
              <c:f>Sheet1!$B$1:$G$1</c:f>
              <c:strCache>
                <c:ptCount val="6"/>
                <c:pt idx="0">
                  <c:v>BR1</c:v>
                </c:pt>
                <c:pt idx="1">
                  <c:v>BR2-PM2,5</c:v>
                </c:pt>
                <c:pt idx="2">
                  <c:v>BR2-PM10</c:v>
                </c:pt>
                <c:pt idx="3">
                  <c:v>BR3</c:v>
                </c:pt>
                <c:pt idx="4">
                  <c:v>BR4</c:v>
                </c:pt>
                <c:pt idx="5">
                  <c:v>BR5</c:v>
                </c:pt>
              </c:strCache>
            </c:strRef>
          </c:cat>
          <c:val>
            <c:numRef>
              <c:f>Sheet1!$B$5:$G$5</c:f>
              <c:numCache>
                <c:formatCode>General</c:formatCode>
                <c:ptCount val="6"/>
                <c:pt idx="0">
                  <c:v>21.79</c:v>
                </c:pt>
                <c:pt idx="2">
                  <c:v>19.11</c:v>
                </c:pt>
                <c:pt idx="3">
                  <c:v>22.09</c:v>
                </c:pt>
                <c:pt idx="4">
                  <c:v>18.86</c:v>
                </c:pt>
                <c:pt idx="5">
                  <c:v>22.54</c:v>
                </c:pt>
              </c:numCache>
            </c:numRef>
          </c:val>
          <c:extLst>
            <c:ext xmlns:c16="http://schemas.microsoft.com/office/drawing/2014/chart" uri="{C3380CC4-5D6E-409C-BE32-E72D297353CC}">
              <c16:uniqueId val="{00000003-439E-4F34-A207-D336A15474C1}"/>
            </c:ext>
          </c:extLst>
        </c:ser>
        <c:ser>
          <c:idx val="4"/>
          <c:order val="4"/>
          <c:tx>
            <c:strRef>
              <c:f>Sheet1!$A$6</c:f>
              <c:strCache>
                <c:ptCount val="1"/>
                <c:pt idx="0">
                  <c:v>Medii anuale nef 2018</c:v>
                </c:pt>
              </c:strCache>
            </c:strRef>
          </c:tx>
          <c:invertIfNegative val="0"/>
          <c:cat>
            <c:strRef>
              <c:f>Sheet1!$B$1:$G$1</c:f>
              <c:strCache>
                <c:ptCount val="6"/>
                <c:pt idx="0">
                  <c:v>BR1</c:v>
                </c:pt>
                <c:pt idx="1">
                  <c:v>BR2-PM2,5</c:v>
                </c:pt>
                <c:pt idx="2">
                  <c:v>BR2-PM10</c:v>
                </c:pt>
                <c:pt idx="3">
                  <c:v>BR3</c:v>
                </c:pt>
                <c:pt idx="4">
                  <c:v>BR4</c:v>
                </c:pt>
                <c:pt idx="5">
                  <c:v>BR5</c:v>
                </c:pt>
              </c:strCache>
            </c:strRef>
          </c:cat>
          <c:val>
            <c:numRef>
              <c:f>Sheet1!$B$6:$G$6</c:f>
              <c:numCache>
                <c:formatCode>General</c:formatCode>
                <c:ptCount val="6"/>
                <c:pt idx="0">
                  <c:v>13.47</c:v>
                </c:pt>
                <c:pt idx="2">
                  <c:v>16.14</c:v>
                </c:pt>
                <c:pt idx="3">
                  <c:v>18.82</c:v>
                </c:pt>
                <c:pt idx="4">
                  <c:v>15.83</c:v>
                </c:pt>
                <c:pt idx="5">
                  <c:v>17.02</c:v>
                </c:pt>
              </c:numCache>
            </c:numRef>
          </c:val>
          <c:extLst>
            <c:ext xmlns:c16="http://schemas.microsoft.com/office/drawing/2014/chart" uri="{C3380CC4-5D6E-409C-BE32-E72D297353CC}">
              <c16:uniqueId val="{00000004-439E-4F34-A207-D336A15474C1}"/>
            </c:ext>
          </c:extLst>
        </c:ser>
        <c:ser>
          <c:idx val="13"/>
          <c:order val="5"/>
          <c:tx>
            <c:strRef>
              <c:f>Sheet1!$A$7</c:f>
              <c:strCache>
                <c:ptCount val="1"/>
                <c:pt idx="0">
                  <c:v>Medii anuale grav. 2014</c:v>
                </c:pt>
              </c:strCache>
            </c:strRef>
          </c:tx>
          <c:invertIfNegative val="0"/>
          <c:cat>
            <c:strRef>
              <c:f>Sheet1!$B$1:$G$1</c:f>
              <c:strCache>
                <c:ptCount val="6"/>
                <c:pt idx="0">
                  <c:v>BR1</c:v>
                </c:pt>
                <c:pt idx="1">
                  <c:v>BR2-PM2,5</c:v>
                </c:pt>
                <c:pt idx="2">
                  <c:v>BR2-PM10</c:v>
                </c:pt>
                <c:pt idx="3">
                  <c:v>BR3</c:v>
                </c:pt>
                <c:pt idx="4">
                  <c:v>BR4</c:v>
                </c:pt>
                <c:pt idx="5">
                  <c:v>BR5</c:v>
                </c:pt>
              </c:strCache>
            </c:strRef>
          </c:cat>
          <c:val>
            <c:numRef>
              <c:f>Sheet1!$B$7:$G$7</c:f>
              <c:numCache>
                <c:formatCode>General</c:formatCode>
                <c:ptCount val="6"/>
                <c:pt idx="3">
                  <c:v>39.1</c:v>
                </c:pt>
              </c:numCache>
            </c:numRef>
          </c:val>
          <c:extLst>
            <c:ext xmlns:c16="http://schemas.microsoft.com/office/drawing/2014/chart" uri="{C3380CC4-5D6E-409C-BE32-E72D297353CC}">
              <c16:uniqueId val="{00000005-439E-4F34-A207-D336A15474C1}"/>
            </c:ext>
          </c:extLst>
        </c:ser>
        <c:ser>
          <c:idx val="0"/>
          <c:order val="6"/>
          <c:tx>
            <c:strRef>
              <c:f>Sheet1!$A$8</c:f>
              <c:strCache>
                <c:ptCount val="1"/>
                <c:pt idx="0">
                  <c:v>Medii anuale grav. 2015</c:v>
                </c:pt>
              </c:strCache>
            </c:strRef>
          </c:tx>
          <c:invertIfNegative val="0"/>
          <c:cat>
            <c:strRef>
              <c:f>Sheet1!$B$1:$G$1</c:f>
              <c:strCache>
                <c:ptCount val="6"/>
                <c:pt idx="0">
                  <c:v>BR1</c:v>
                </c:pt>
                <c:pt idx="1">
                  <c:v>BR2-PM2,5</c:v>
                </c:pt>
                <c:pt idx="2">
                  <c:v>BR2-PM10</c:v>
                </c:pt>
                <c:pt idx="3">
                  <c:v>BR3</c:v>
                </c:pt>
                <c:pt idx="4">
                  <c:v>BR4</c:v>
                </c:pt>
                <c:pt idx="5">
                  <c:v>BR5</c:v>
                </c:pt>
              </c:strCache>
            </c:strRef>
          </c:cat>
          <c:val>
            <c:numRef>
              <c:f>Sheet1!$B$8:$G$8</c:f>
              <c:numCache>
                <c:formatCode>General</c:formatCode>
                <c:ptCount val="6"/>
              </c:numCache>
            </c:numRef>
          </c:val>
          <c:extLst>
            <c:ext xmlns:c16="http://schemas.microsoft.com/office/drawing/2014/chart" uri="{C3380CC4-5D6E-409C-BE32-E72D297353CC}">
              <c16:uniqueId val="{00000006-439E-4F34-A207-D336A15474C1}"/>
            </c:ext>
          </c:extLst>
        </c:ser>
        <c:ser>
          <c:idx val="1"/>
          <c:order val="7"/>
          <c:tx>
            <c:strRef>
              <c:f>Sheet1!$A$9</c:f>
              <c:strCache>
                <c:ptCount val="1"/>
                <c:pt idx="0">
                  <c:v>Medii anuale grav. 2016</c:v>
                </c:pt>
              </c:strCache>
            </c:strRef>
          </c:tx>
          <c:invertIfNegative val="0"/>
          <c:cat>
            <c:strRef>
              <c:f>Sheet1!$B$1:$G$1</c:f>
              <c:strCache>
                <c:ptCount val="6"/>
                <c:pt idx="0">
                  <c:v>BR1</c:v>
                </c:pt>
                <c:pt idx="1">
                  <c:v>BR2-PM2,5</c:v>
                </c:pt>
                <c:pt idx="2">
                  <c:v>BR2-PM10</c:v>
                </c:pt>
                <c:pt idx="3">
                  <c:v>BR3</c:v>
                </c:pt>
                <c:pt idx="4">
                  <c:v>BR4</c:v>
                </c:pt>
                <c:pt idx="5">
                  <c:v>BR5</c:v>
                </c:pt>
              </c:strCache>
            </c:strRef>
          </c:cat>
          <c:val>
            <c:numRef>
              <c:f>Sheet1!$B$9:$G$9</c:f>
              <c:numCache>
                <c:formatCode>General</c:formatCode>
                <c:ptCount val="6"/>
              </c:numCache>
            </c:numRef>
          </c:val>
          <c:extLst>
            <c:ext xmlns:c16="http://schemas.microsoft.com/office/drawing/2014/chart" uri="{C3380CC4-5D6E-409C-BE32-E72D297353CC}">
              <c16:uniqueId val="{00000007-439E-4F34-A207-D336A15474C1}"/>
            </c:ext>
          </c:extLst>
        </c:ser>
        <c:ser>
          <c:idx val="5"/>
          <c:order val="8"/>
          <c:tx>
            <c:strRef>
              <c:f>Sheet1!$A$10</c:f>
              <c:strCache>
                <c:ptCount val="1"/>
                <c:pt idx="0">
                  <c:v>Medii anuale grav. 2017</c:v>
                </c:pt>
              </c:strCache>
            </c:strRef>
          </c:tx>
          <c:invertIfNegative val="0"/>
          <c:cat>
            <c:strRef>
              <c:f>Sheet1!$B$1:$G$1</c:f>
              <c:strCache>
                <c:ptCount val="6"/>
                <c:pt idx="0">
                  <c:v>BR1</c:v>
                </c:pt>
                <c:pt idx="1">
                  <c:v>BR2-PM2,5</c:v>
                </c:pt>
                <c:pt idx="2">
                  <c:v>BR2-PM10</c:v>
                </c:pt>
                <c:pt idx="3">
                  <c:v>BR3</c:v>
                </c:pt>
                <c:pt idx="4">
                  <c:v>BR4</c:v>
                </c:pt>
                <c:pt idx="5">
                  <c:v>BR5</c:v>
                </c:pt>
              </c:strCache>
            </c:strRef>
          </c:cat>
          <c:val>
            <c:numRef>
              <c:f>Sheet1!$B$10:$G$10</c:f>
              <c:numCache>
                <c:formatCode>General</c:formatCode>
                <c:ptCount val="6"/>
                <c:pt idx="0">
                  <c:v>22.98</c:v>
                </c:pt>
                <c:pt idx="1">
                  <c:v>13.56</c:v>
                </c:pt>
                <c:pt idx="2">
                  <c:v>17.12</c:v>
                </c:pt>
                <c:pt idx="3">
                  <c:v>24.58</c:v>
                </c:pt>
                <c:pt idx="4">
                  <c:v>19.18</c:v>
                </c:pt>
              </c:numCache>
            </c:numRef>
          </c:val>
          <c:extLst>
            <c:ext xmlns:c16="http://schemas.microsoft.com/office/drawing/2014/chart" uri="{C3380CC4-5D6E-409C-BE32-E72D297353CC}">
              <c16:uniqueId val="{00000008-439E-4F34-A207-D336A15474C1}"/>
            </c:ext>
          </c:extLst>
        </c:ser>
        <c:ser>
          <c:idx val="6"/>
          <c:order val="9"/>
          <c:tx>
            <c:strRef>
              <c:f>Sheet1!$A$11</c:f>
              <c:strCache>
                <c:ptCount val="1"/>
                <c:pt idx="0">
                  <c:v>Medii anuale grav. 2018</c:v>
                </c:pt>
              </c:strCache>
            </c:strRef>
          </c:tx>
          <c:invertIfNegative val="0"/>
          <c:cat>
            <c:strRef>
              <c:f>Sheet1!$B$1:$G$1</c:f>
              <c:strCache>
                <c:ptCount val="6"/>
                <c:pt idx="0">
                  <c:v>BR1</c:v>
                </c:pt>
                <c:pt idx="1">
                  <c:v>BR2-PM2,5</c:v>
                </c:pt>
                <c:pt idx="2">
                  <c:v>BR2-PM10</c:v>
                </c:pt>
                <c:pt idx="3">
                  <c:v>BR3</c:v>
                </c:pt>
                <c:pt idx="4">
                  <c:v>BR4</c:v>
                </c:pt>
                <c:pt idx="5">
                  <c:v>BR5</c:v>
                </c:pt>
              </c:strCache>
            </c:strRef>
          </c:cat>
          <c:val>
            <c:numRef>
              <c:f>Sheet1!$B$11:$G$11</c:f>
              <c:numCache>
                <c:formatCode>General</c:formatCode>
                <c:ptCount val="6"/>
                <c:pt idx="1">
                  <c:v>12.51</c:v>
                </c:pt>
              </c:numCache>
            </c:numRef>
          </c:val>
          <c:extLst>
            <c:ext xmlns:c16="http://schemas.microsoft.com/office/drawing/2014/chart" uri="{C3380CC4-5D6E-409C-BE32-E72D297353CC}">
              <c16:uniqueId val="{00000009-439E-4F34-A207-D336A15474C1}"/>
            </c:ext>
          </c:extLst>
        </c:ser>
        <c:dLbls>
          <c:showLegendKey val="0"/>
          <c:showVal val="0"/>
          <c:showCatName val="0"/>
          <c:showSerName val="0"/>
          <c:showPercent val="0"/>
          <c:showBubbleSize val="0"/>
        </c:dLbls>
        <c:gapWidth val="270"/>
        <c:axId val="224728192"/>
        <c:axId val="224729728"/>
      </c:barChart>
      <c:catAx>
        <c:axId val="2247281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4729728"/>
        <c:crosses val="autoZero"/>
        <c:auto val="1"/>
        <c:lblAlgn val="ctr"/>
        <c:lblOffset val="100"/>
        <c:tickLblSkip val="1"/>
        <c:tickMarkSkip val="1"/>
        <c:noMultiLvlLbl val="0"/>
      </c:catAx>
      <c:valAx>
        <c:axId val="224729728"/>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9.2828516195954548E-3"/>
              <c:y val="0.1542937214149044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4728192"/>
        <c:crosses val="autoZero"/>
        <c:crossBetween val="between"/>
      </c:valAx>
      <c:spPr>
        <a:solidFill>
          <a:srgbClr val="FFFFCC"/>
        </a:solidFill>
        <a:ln w="12700">
          <a:solidFill>
            <a:srgbClr val="000000"/>
          </a:solidFill>
          <a:prstDash val="solid"/>
        </a:ln>
      </c:spPr>
    </c:plotArea>
    <c:legend>
      <c:legendPos val="r"/>
      <c:layout>
        <c:manualLayout>
          <c:xMode val="edge"/>
          <c:yMode val="edge"/>
          <c:x val="0.7700419633174661"/>
          <c:y val="0.17343074383743637"/>
          <c:w val="0.20024843592664263"/>
          <c:h val="0.68013012529390926"/>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FF0000"/>
                </a:solidFill>
                <a:latin typeface="Arial" pitchFamily="34" charset="0"/>
                <a:ea typeface="+mn-ea"/>
                <a:cs typeface="Arial" pitchFamily="34" charset="0"/>
              </a:defRPr>
            </a:pPr>
            <a:r>
              <a:rPr lang="en-US" sz="1200" b="1">
                <a:solidFill>
                  <a:sysClr val="windowText" lastClr="000000"/>
                </a:solidFill>
                <a:latin typeface="Arial" pitchFamily="34" charset="0"/>
                <a:cs typeface="Arial" pitchFamily="34" charset="0"/>
              </a:rPr>
              <a:t>Figura nr. X.1.3.1.-</a:t>
            </a:r>
            <a:r>
              <a:rPr lang="en-US" sz="1200">
                <a:solidFill>
                  <a:sysClr val="windowText" lastClr="000000"/>
                </a:solidFill>
                <a:latin typeface="Arial" pitchFamily="34" charset="0"/>
                <a:cs typeface="Arial" pitchFamily="34" charset="0"/>
              </a:rPr>
              <a:t>1 </a:t>
            </a:r>
            <a:r>
              <a:rPr lang="pt-BR" sz="1200">
                <a:solidFill>
                  <a:sysClr val="windowText" lastClr="000000"/>
                </a:solidFill>
                <a:latin typeface="Arial" pitchFamily="34" charset="0"/>
                <a:cs typeface="Arial" pitchFamily="34" charset="0"/>
              </a:rPr>
              <a:t>Numărul vehiculelor în inventar pentru transport public local de pasageri, </a:t>
            </a:r>
            <a:r>
              <a:rPr lang="en-US" sz="1200">
                <a:solidFill>
                  <a:sysClr val="windowText" lastClr="000000"/>
                </a:solidFill>
                <a:latin typeface="Arial" pitchFamily="34" charset="0"/>
                <a:cs typeface="Arial" pitchFamily="34" charset="0"/>
              </a:rPr>
              <a:t>pe tipuri de vehicule</a:t>
            </a:r>
            <a:r>
              <a:rPr lang="ro-RO" sz="1200">
                <a:solidFill>
                  <a:sysClr val="windowText" lastClr="000000"/>
                </a:solidFill>
                <a:latin typeface="Arial" pitchFamily="34" charset="0"/>
                <a:cs typeface="Arial" pitchFamily="34" charset="0"/>
              </a:rPr>
              <a:t> pentru perioada 2014 - 2018</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FF0000"/>
                </a:solidFill>
                <a:latin typeface="Arial" pitchFamily="34" charset="0"/>
                <a:ea typeface="+mn-ea"/>
                <a:cs typeface="Arial" pitchFamily="34" charset="0"/>
              </a:defRPr>
            </a:pPr>
            <a:endParaRPr lang="ro-RO" sz="1200">
              <a:solidFill>
                <a:srgbClr val="FF0000"/>
              </a:solidFill>
              <a:latin typeface="Arial" pitchFamily="34" charset="0"/>
              <a:cs typeface="Arial" pitchFamily="34" charset="0"/>
            </a:endParaRPr>
          </a:p>
        </c:rich>
      </c:tx>
      <c:overlay val="0"/>
    </c:title>
    <c:autoTitleDeleted val="0"/>
    <c:plotArea>
      <c:layout>
        <c:manualLayout>
          <c:layoutTarget val="inner"/>
          <c:xMode val="edge"/>
          <c:yMode val="edge"/>
          <c:x val="7.1726450860309127E-2"/>
          <c:y val="0.29855547361122781"/>
          <c:w val="0.63410797608632263"/>
          <c:h val="0.50472859064243303"/>
        </c:manualLayout>
      </c:layout>
      <c:barChart>
        <c:barDir val="col"/>
        <c:grouping val="stacked"/>
        <c:varyColors val="0"/>
        <c:ser>
          <c:idx val="0"/>
          <c:order val="0"/>
          <c:tx>
            <c:strRef>
              <c:f>Sheet1!$B$1</c:f>
              <c:strCache>
                <c:ptCount val="1"/>
                <c:pt idx="0">
                  <c:v>Tramvaie</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31</c:v>
                </c:pt>
                <c:pt idx="1">
                  <c:v>31</c:v>
                </c:pt>
                <c:pt idx="2">
                  <c:v>38</c:v>
                </c:pt>
                <c:pt idx="3">
                  <c:v>30</c:v>
                </c:pt>
                <c:pt idx="4">
                  <c:v>30</c:v>
                </c:pt>
              </c:numCache>
            </c:numRef>
          </c:val>
          <c:extLst>
            <c:ext xmlns:c16="http://schemas.microsoft.com/office/drawing/2014/chart" uri="{C3380CC4-5D6E-409C-BE32-E72D297353CC}">
              <c16:uniqueId val="{00000000-1E0A-477F-85CA-A2C16049C0DB}"/>
            </c:ext>
          </c:extLst>
        </c:ser>
        <c:ser>
          <c:idx val="1"/>
          <c:order val="1"/>
          <c:tx>
            <c:strRef>
              <c:f>Sheet1!$C$1</c:f>
              <c:strCache>
                <c:ptCount val="1"/>
                <c:pt idx="0">
                  <c:v>Autobuze și Microbuze</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178</c:v>
                </c:pt>
                <c:pt idx="1">
                  <c:v>176</c:v>
                </c:pt>
                <c:pt idx="2">
                  <c:v>135</c:v>
                </c:pt>
                <c:pt idx="3">
                  <c:v>144</c:v>
                </c:pt>
                <c:pt idx="4">
                  <c:v>103</c:v>
                </c:pt>
              </c:numCache>
            </c:numRef>
          </c:val>
          <c:extLst>
            <c:ext xmlns:c16="http://schemas.microsoft.com/office/drawing/2014/chart" uri="{C3380CC4-5D6E-409C-BE32-E72D297353CC}">
              <c16:uniqueId val="{00000001-1E0A-477F-85CA-A2C16049C0DB}"/>
            </c:ext>
          </c:extLst>
        </c:ser>
        <c:ser>
          <c:idx val="2"/>
          <c:order val="2"/>
          <c:tx>
            <c:strRef>
              <c:f>Sheet1!$D$1</c:f>
              <c:strCache>
                <c:ptCount val="1"/>
                <c:pt idx="0">
                  <c:v>Column1</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Sheet1!$D$2:$D$6</c:f>
            </c:numRef>
          </c:val>
          <c:extLst>
            <c:ext xmlns:c16="http://schemas.microsoft.com/office/drawing/2014/chart" uri="{C3380CC4-5D6E-409C-BE32-E72D297353CC}">
              <c16:uniqueId val="{00000002-1E0A-477F-85CA-A2C16049C0DB}"/>
            </c:ext>
          </c:extLst>
        </c:ser>
        <c:dLbls>
          <c:showLegendKey val="0"/>
          <c:showVal val="0"/>
          <c:showCatName val="0"/>
          <c:showSerName val="0"/>
          <c:showPercent val="0"/>
          <c:showBubbleSize val="0"/>
        </c:dLbls>
        <c:gapWidth val="150"/>
        <c:overlap val="100"/>
        <c:axId val="254438400"/>
        <c:axId val="254452480"/>
      </c:barChart>
      <c:catAx>
        <c:axId val="254438400"/>
        <c:scaling>
          <c:orientation val="minMax"/>
        </c:scaling>
        <c:delete val="0"/>
        <c:axPos val="b"/>
        <c:numFmt formatCode="General" sourceLinked="1"/>
        <c:majorTickMark val="out"/>
        <c:minorTickMark val="none"/>
        <c:tickLblPos val="nextTo"/>
        <c:crossAx val="254452480"/>
        <c:crosses val="autoZero"/>
        <c:auto val="1"/>
        <c:lblAlgn val="ctr"/>
        <c:lblOffset val="100"/>
        <c:noMultiLvlLbl val="0"/>
      </c:catAx>
      <c:valAx>
        <c:axId val="254452480"/>
        <c:scaling>
          <c:orientation val="minMax"/>
        </c:scaling>
        <c:delete val="0"/>
        <c:axPos val="l"/>
        <c:majorGridlines/>
        <c:numFmt formatCode="General" sourceLinked="1"/>
        <c:majorTickMark val="out"/>
        <c:minorTickMark val="none"/>
        <c:tickLblPos val="nextTo"/>
        <c:crossAx val="254438400"/>
        <c:crosses val="autoZero"/>
        <c:crossBetween val="between"/>
      </c:valAx>
      <c:spPr>
        <a:solidFill>
          <a:schemeClr val="bg1"/>
        </a:solidFill>
      </c:spPr>
    </c:plotArea>
    <c:legend>
      <c:legendPos val="r"/>
      <c:layout>
        <c:manualLayout>
          <c:xMode val="edge"/>
          <c:yMode val="edge"/>
          <c:x val="0.70436985002015373"/>
          <c:y val="0.35825486460473288"/>
          <c:w val="0.28034941153114201"/>
          <c:h val="0.2333276998966162"/>
        </c:manualLayout>
      </c:layout>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200" b="1" i="0" baseline="0">
                <a:solidFill>
                  <a:sysClr val="windowText" lastClr="000000"/>
                </a:solidFill>
                <a:latin typeface="Arial" pitchFamily="34" charset="0"/>
                <a:cs typeface="Arial" pitchFamily="34" charset="0"/>
              </a:rPr>
              <a:t>Figura nr. X.1.3.1. - 2 Numărul pasagerilor transportaţi în transportul public local, pe tipuri de vehicule mii pasageri pentru perioada 2014 - 2018</a:t>
            </a:r>
            <a:endParaRPr lang="ro-RO" sz="1200">
              <a:solidFill>
                <a:sysClr val="windowText" lastClr="000000"/>
              </a:solidFill>
              <a:latin typeface="Arial" pitchFamily="34" charset="0"/>
              <a:cs typeface="Arial" pitchFamily="34" charset="0"/>
            </a:endParaRPr>
          </a:p>
          <a:p>
            <a:pPr>
              <a:defRPr/>
            </a:pPr>
            <a:endParaRPr lang="ro-RO" sz="1200">
              <a:solidFill>
                <a:srgbClr val="FF0000"/>
              </a:solidFill>
              <a:latin typeface="Arial" pitchFamily="34" charset="0"/>
              <a:cs typeface="Arial" pitchFamily="34" charset="0"/>
            </a:endParaRPr>
          </a:p>
          <a:p>
            <a:pPr>
              <a:defRPr/>
            </a:pPr>
            <a:endParaRPr lang="ro-RO" sz="1200">
              <a:latin typeface="Arial" pitchFamily="34" charset="0"/>
              <a:cs typeface="Arial" pitchFamily="34" charset="0"/>
            </a:endParaRPr>
          </a:p>
        </c:rich>
      </c:tx>
      <c:overlay val="0"/>
    </c:title>
    <c:autoTitleDeleted val="0"/>
    <c:plotArea>
      <c:layout>
        <c:manualLayout>
          <c:layoutTarget val="inner"/>
          <c:xMode val="edge"/>
          <c:yMode val="edge"/>
          <c:x val="4.8254228638086906E-2"/>
          <c:y val="0.28848392404067158"/>
          <c:w val="0.62408482793818065"/>
          <c:h val="0.51842233057001497"/>
        </c:manualLayout>
      </c:layout>
      <c:barChart>
        <c:barDir val="col"/>
        <c:grouping val="clustered"/>
        <c:varyColors val="0"/>
        <c:ser>
          <c:idx val="0"/>
          <c:order val="0"/>
          <c:tx>
            <c:strRef>
              <c:f>Sheet1!$B$1</c:f>
              <c:strCache>
                <c:ptCount val="1"/>
                <c:pt idx="0">
                  <c:v>Tramvaie</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6082</c:v>
                </c:pt>
                <c:pt idx="1">
                  <c:v>11564</c:v>
                </c:pt>
                <c:pt idx="2">
                  <c:v>11174</c:v>
                </c:pt>
                <c:pt idx="3">
                  <c:v>10727</c:v>
                </c:pt>
                <c:pt idx="4">
                  <c:v>10240</c:v>
                </c:pt>
              </c:numCache>
            </c:numRef>
          </c:val>
          <c:extLst>
            <c:ext xmlns:c16="http://schemas.microsoft.com/office/drawing/2014/chart" uri="{C3380CC4-5D6E-409C-BE32-E72D297353CC}">
              <c16:uniqueId val="{00000000-7032-42D6-89B6-4F040C4581C8}"/>
            </c:ext>
          </c:extLst>
        </c:ser>
        <c:ser>
          <c:idx val="1"/>
          <c:order val="1"/>
          <c:tx>
            <c:strRef>
              <c:f>Sheet1!$C$1</c:f>
              <c:strCache>
                <c:ptCount val="1"/>
                <c:pt idx="0">
                  <c:v>Autobuze și Microbuze</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27069.5</c:v>
                </c:pt>
                <c:pt idx="1">
                  <c:v>24088</c:v>
                </c:pt>
                <c:pt idx="2">
                  <c:v>24017.4</c:v>
                </c:pt>
                <c:pt idx="3">
                  <c:v>22151.3</c:v>
                </c:pt>
                <c:pt idx="4">
                  <c:v>22377</c:v>
                </c:pt>
              </c:numCache>
            </c:numRef>
          </c:val>
          <c:extLst>
            <c:ext xmlns:c16="http://schemas.microsoft.com/office/drawing/2014/chart" uri="{C3380CC4-5D6E-409C-BE32-E72D297353CC}">
              <c16:uniqueId val="{00000001-7032-42D6-89B6-4F040C4581C8}"/>
            </c:ext>
          </c:extLst>
        </c:ser>
        <c:ser>
          <c:idx val="2"/>
          <c:order val="2"/>
          <c:tx>
            <c:strRef>
              <c:f>Sheet1!$D$1</c:f>
              <c:strCache>
                <c:ptCount val="1"/>
                <c:pt idx="0">
                  <c:v>Series 3</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Sheet1!$D$2:$D$6</c:f>
            </c:numRef>
          </c:val>
          <c:extLst>
            <c:ext xmlns:c16="http://schemas.microsoft.com/office/drawing/2014/chart" uri="{C3380CC4-5D6E-409C-BE32-E72D297353CC}">
              <c16:uniqueId val="{00000002-7032-42D6-89B6-4F040C4581C8}"/>
            </c:ext>
          </c:extLst>
        </c:ser>
        <c:dLbls>
          <c:showLegendKey val="0"/>
          <c:showVal val="0"/>
          <c:showCatName val="0"/>
          <c:showSerName val="0"/>
          <c:showPercent val="0"/>
          <c:showBubbleSize val="0"/>
        </c:dLbls>
        <c:gapWidth val="150"/>
        <c:axId val="254433152"/>
        <c:axId val="254434688"/>
      </c:barChart>
      <c:catAx>
        <c:axId val="254433152"/>
        <c:scaling>
          <c:orientation val="minMax"/>
        </c:scaling>
        <c:delete val="0"/>
        <c:axPos val="b"/>
        <c:numFmt formatCode="General" sourceLinked="1"/>
        <c:majorTickMark val="out"/>
        <c:minorTickMark val="none"/>
        <c:tickLblPos val="nextTo"/>
        <c:crossAx val="254434688"/>
        <c:crosses val="autoZero"/>
        <c:auto val="1"/>
        <c:lblAlgn val="ctr"/>
        <c:lblOffset val="100"/>
        <c:noMultiLvlLbl val="0"/>
      </c:catAx>
      <c:valAx>
        <c:axId val="254434688"/>
        <c:scaling>
          <c:orientation val="minMax"/>
        </c:scaling>
        <c:delete val="0"/>
        <c:axPos val="l"/>
        <c:majorGridlines/>
        <c:numFmt formatCode="General" sourceLinked="1"/>
        <c:majorTickMark val="out"/>
        <c:minorTickMark val="none"/>
        <c:tickLblPos val="nextTo"/>
        <c:crossAx val="254433152"/>
        <c:crosses val="autoZero"/>
        <c:crossBetween val="between"/>
      </c:valAx>
    </c:plotArea>
    <c:legend>
      <c:legendPos val="r"/>
      <c:layout>
        <c:manualLayout>
          <c:xMode val="edge"/>
          <c:yMode val="edge"/>
          <c:x val="0.7312973899095947"/>
          <c:y val="0.35686351706036834"/>
          <c:w val="0.25481372120151646"/>
          <c:h val="0.20303899512560941"/>
        </c:manualLayout>
      </c:layout>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ro-RO" sz="1200" b="1">
                <a:solidFill>
                  <a:sysClr val="windowText" lastClr="000000"/>
                </a:solidFill>
                <a:latin typeface="Arial" pitchFamily="34" charset="0"/>
                <a:cs typeface="Arial" pitchFamily="34" charset="0"/>
              </a:rPr>
              <a:t>Figura nr. XI.1.3.1. - 3 Numărul pasagerilor transportaţi în transportul public local, pe tipuri de vehicule mii pasageri - km pentru perioada 2014 - 2018</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endParaRPr lang="ro-RO" sz="1200" b="0">
              <a:latin typeface="Arial" pitchFamily="34" charset="0"/>
              <a:cs typeface="Arial" pitchFamily="34" charset="0"/>
            </a:endParaRPr>
          </a:p>
        </c:rich>
      </c:tx>
      <c:overlay val="0"/>
    </c:title>
    <c:autoTitleDeleted val="0"/>
    <c:plotArea>
      <c:layout>
        <c:manualLayout>
          <c:layoutTarget val="inner"/>
          <c:xMode val="edge"/>
          <c:yMode val="edge"/>
          <c:x val="0.10693478419364252"/>
          <c:y val="0.29889888763904743"/>
          <c:w val="0.600194845435989"/>
          <c:h val="0.53742322718234958"/>
        </c:manualLayout>
      </c:layout>
      <c:barChart>
        <c:barDir val="col"/>
        <c:grouping val="clustered"/>
        <c:varyColors val="0"/>
        <c:ser>
          <c:idx val="0"/>
          <c:order val="0"/>
          <c:tx>
            <c:strRef>
              <c:f>Sheet1!$B$1</c:f>
              <c:strCache>
                <c:ptCount val="1"/>
                <c:pt idx="0">
                  <c:v>Tramvaie</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13379</c:v>
                </c:pt>
                <c:pt idx="1">
                  <c:v>25440</c:v>
                </c:pt>
                <c:pt idx="2">
                  <c:v>24582</c:v>
                </c:pt>
                <c:pt idx="3">
                  <c:v>23567</c:v>
                </c:pt>
                <c:pt idx="4">
                  <c:v>22529</c:v>
                </c:pt>
              </c:numCache>
            </c:numRef>
          </c:val>
          <c:extLst>
            <c:ext xmlns:c16="http://schemas.microsoft.com/office/drawing/2014/chart" uri="{C3380CC4-5D6E-409C-BE32-E72D297353CC}">
              <c16:uniqueId val="{00000000-CDEA-4091-A422-3533BE0589CA}"/>
            </c:ext>
          </c:extLst>
        </c:ser>
        <c:ser>
          <c:idx val="1"/>
          <c:order val="1"/>
          <c:tx>
            <c:strRef>
              <c:f>Sheet1!$C$1</c:f>
              <c:strCache>
                <c:ptCount val="1"/>
                <c:pt idx="0">
                  <c:v>Autobuze si microbuze</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131151</c:v>
                </c:pt>
                <c:pt idx="1">
                  <c:v>118027</c:v>
                </c:pt>
                <c:pt idx="2">
                  <c:v>116097.1</c:v>
                </c:pt>
                <c:pt idx="3">
                  <c:v>101411.4</c:v>
                </c:pt>
                <c:pt idx="4">
                  <c:v>101459</c:v>
                </c:pt>
              </c:numCache>
            </c:numRef>
          </c:val>
          <c:extLst>
            <c:ext xmlns:c16="http://schemas.microsoft.com/office/drawing/2014/chart" uri="{C3380CC4-5D6E-409C-BE32-E72D297353CC}">
              <c16:uniqueId val="{00000001-CDEA-4091-A422-3533BE0589CA}"/>
            </c:ext>
          </c:extLst>
        </c:ser>
        <c:dLbls>
          <c:showLegendKey val="0"/>
          <c:showVal val="0"/>
          <c:showCatName val="0"/>
          <c:showSerName val="0"/>
          <c:showPercent val="0"/>
          <c:showBubbleSize val="0"/>
        </c:dLbls>
        <c:gapWidth val="150"/>
        <c:axId val="256720896"/>
        <c:axId val="256722432"/>
      </c:barChart>
      <c:catAx>
        <c:axId val="256720896"/>
        <c:scaling>
          <c:orientation val="minMax"/>
        </c:scaling>
        <c:delete val="0"/>
        <c:axPos val="b"/>
        <c:numFmt formatCode="General" sourceLinked="1"/>
        <c:majorTickMark val="out"/>
        <c:minorTickMark val="none"/>
        <c:tickLblPos val="nextTo"/>
        <c:crossAx val="256722432"/>
        <c:crosses val="autoZero"/>
        <c:auto val="1"/>
        <c:lblAlgn val="ctr"/>
        <c:lblOffset val="100"/>
        <c:noMultiLvlLbl val="0"/>
      </c:catAx>
      <c:valAx>
        <c:axId val="256722432"/>
        <c:scaling>
          <c:orientation val="minMax"/>
        </c:scaling>
        <c:delete val="0"/>
        <c:axPos val="l"/>
        <c:majorGridlines/>
        <c:numFmt formatCode="General" sourceLinked="1"/>
        <c:majorTickMark val="out"/>
        <c:minorTickMark val="none"/>
        <c:tickLblPos val="nextTo"/>
        <c:crossAx val="256720896"/>
        <c:crosses val="autoZero"/>
        <c:crossBetween val="between"/>
      </c:valAx>
    </c:plotArea>
    <c:legend>
      <c:legendPos val="r"/>
      <c:layout>
        <c:manualLayout>
          <c:xMode val="edge"/>
          <c:yMode val="edge"/>
          <c:x val="0.73259259259259435"/>
          <c:y val="0.38502812148481602"/>
          <c:w val="0.25351851851851853"/>
          <c:h val="0.21891201099862562"/>
        </c:manualLayout>
      </c:layout>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200">
                <a:latin typeface="Arial" pitchFamily="34" charset="0"/>
                <a:cs typeface="Arial" pitchFamily="34" charset="0"/>
              </a:rPr>
              <a:t>Figura</a:t>
            </a:r>
            <a:r>
              <a:rPr lang="ro-RO" sz="1200" baseline="0">
                <a:latin typeface="Arial" pitchFamily="34" charset="0"/>
                <a:cs typeface="Arial" pitchFamily="34" charset="0"/>
              </a:rPr>
              <a:t> nr.X.2 - 1 </a:t>
            </a:r>
            <a:r>
              <a:rPr lang="ro-RO" sz="1200" b="1" baseline="0">
                <a:latin typeface="Arial" pitchFamily="34" charset="0"/>
                <a:cs typeface="Arial" pitchFamily="34" charset="0"/>
              </a:rPr>
              <a:t>Evoluția densității populației după domiciliu a județului Brăila pentru perioada </a:t>
            </a:r>
            <a:r>
              <a:rPr lang="ro-RO" sz="1200" b="1" baseline="0">
                <a:solidFill>
                  <a:sysClr val="windowText" lastClr="000000"/>
                </a:solidFill>
                <a:latin typeface="Arial" pitchFamily="34" charset="0"/>
                <a:cs typeface="Arial" pitchFamily="34" charset="0"/>
              </a:rPr>
              <a:t>2014 - 2018</a:t>
            </a:r>
          </a:p>
          <a:p>
            <a:pPr>
              <a:defRPr/>
            </a:pPr>
            <a:r>
              <a:rPr lang="ro-RO" sz="1200" b="1" baseline="0">
                <a:solidFill>
                  <a:sysClr val="windowText" lastClr="000000"/>
                </a:solidFill>
                <a:latin typeface="Arial" pitchFamily="34" charset="0"/>
                <a:cs typeface="Arial" pitchFamily="34" charset="0"/>
              </a:rPr>
              <a:t>(locuitori/km</a:t>
            </a:r>
            <a:r>
              <a:rPr lang="ro-RO" sz="1200" b="1" baseline="30000">
                <a:solidFill>
                  <a:sysClr val="windowText" lastClr="000000"/>
                </a:solidFill>
                <a:latin typeface="Arial" pitchFamily="34" charset="0"/>
                <a:cs typeface="Arial" pitchFamily="34" charset="0"/>
              </a:rPr>
              <a:t>2</a:t>
            </a:r>
            <a:r>
              <a:rPr lang="ro-RO" sz="1200" b="1" baseline="0">
                <a:solidFill>
                  <a:sysClr val="windowText" lastClr="000000"/>
                </a:solidFill>
                <a:latin typeface="Arial" pitchFamily="34" charset="0"/>
                <a:cs typeface="Arial" pitchFamily="34" charset="0"/>
              </a:rPr>
              <a:t>)</a:t>
            </a:r>
            <a:endParaRPr lang="ro-RO" sz="1200" b="1">
              <a:solidFill>
                <a:sysClr val="windowText" lastClr="000000"/>
              </a:solidFill>
              <a:latin typeface="Arial" pitchFamily="34" charset="0"/>
              <a:cs typeface="Arial" pitchFamily="34" charset="0"/>
            </a:endParaRPr>
          </a:p>
        </c:rich>
      </c:tx>
      <c:overlay val="1"/>
    </c:title>
    <c:autoTitleDeleted val="0"/>
    <c:plotArea>
      <c:layout>
        <c:manualLayout>
          <c:layoutTarget val="inner"/>
          <c:xMode val="edge"/>
          <c:yMode val="edge"/>
          <c:x val="7.7502004957713991E-2"/>
          <c:y val="0.30555394950242298"/>
          <c:w val="0.86585411198600171"/>
          <c:h val="0.43490524973961286"/>
        </c:manualLayout>
      </c:layout>
      <c:lineChart>
        <c:grouping val="standard"/>
        <c:varyColors val="0"/>
        <c:ser>
          <c:idx val="0"/>
          <c:order val="0"/>
          <c:tx>
            <c:strRef>
              <c:f>Sheet1!$B$1</c:f>
              <c:strCache>
                <c:ptCount val="1"/>
                <c:pt idx="0">
                  <c:v>Column1</c:v>
                </c:pt>
              </c:strCache>
            </c:strRef>
          </c:tx>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75.7</c:v>
                </c:pt>
                <c:pt idx="1">
                  <c:v>75</c:v>
                </c:pt>
                <c:pt idx="2">
                  <c:v>74.3</c:v>
                </c:pt>
                <c:pt idx="3">
                  <c:v>74.05</c:v>
                </c:pt>
                <c:pt idx="4">
                  <c:v>72.569999999999993</c:v>
                </c:pt>
              </c:numCache>
            </c:numRef>
          </c:val>
          <c:smooth val="0"/>
          <c:extLst>
            <c:ext xmlns:c16="http://schemas.microsoft.com/office/drawing/2014/chart" uri="{C3380CC4-5D6E-409C-BE32-E72D297353CC}">
              <c16:uniqueId val="{00000000-7DDD-447F-B275-9CD9F5374ACA}"/>
            </c:ext>
          </c:extLst>
        </c:ser>
        <c:dLbls>
          <c:showLegendKey val="0"/>
          <c:showVal val="0"/>
          <c:showCatName val="0"/>
          <c:showSerName val="0"/>
          <c:showPercent val="0"/>
          <c:showBubbleSize val="0"/>
        </c:dLbls>
        <c:marker val="1"/>
        <c:smooth val="0"/>
        <c:axId val="253924864"/>
        <c:axId val="253926400"/>
      </c:lineChart>
      <c:catAx>
        <c:axId val="253924864"/>
        <c:scaling>
          <c:orientation val="minMax"/>
        </c:scaling>
        <c:delete val="0"/>
        <c:axPos val="b"/>
        <c:numFmt formatCode="General" sourceLinked="1"/>
        <c:majorTickMark val="out"/>
        <c:minorTickMark val="none"/>
        <c:tickLblPos val="nextTo"/>
        <c:crossAx val="253926400"/>
        <c:crosses val="autoZero"/>
        <c:auto val="1"/>
        <c:lblAlgn val="ctr"/>
        <c:lblOffset val="100"/>
        <c:noMultiLvlLbl val="0"/>
      </c:catAx>
      <c:valAx>
        <c:axId val="253926400"/>
        <c:scaling>
          <c:orientation val="minMax"/>
        </c:scaling>
        <c:delete val="0"/>
        <c:axPos val="l"/>
        <c:majorGridlines/>
        <c:numFmt formatCode="General" sourceLinked="1"/>
        <c:majorTickMark val="out"/>
        <c:minorTickMark val="none"/>
        <c:tickLblPos val="nextTo"/>
        <c:crossAx val="253924864"/>
        <c:crosses val="autoZero"/>
        <c:crossBetween val="between"/>
      </c:valAx>
      <c:spPr>
        <a:solidFill>
          <a:schemeClr val="accent5">
            <a:lumMod val="20000"/>
            <a:lumOff val="80000"/>
          </a:schemeClr>
        </a:solidFill>
      </c:spPr>
    </c:plotArea>
    <c:plotVisOnly val="1"/>
    <c:dispBlanksAs val="gap"/>
    <c:showDLblsOverMax val="0"/>
  </c:chart>
  <c:spPr>
    <a:solidFill>
      <a:schemeClr val="accent4">
        <a:lumMod val="20000"/>
        <a:lumOff val="80000"/>
      </a:schemeClr>
    </a:solidFill>
  </c:sp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latin typeface="Arial" pitchFamily="34" charset="0"/>
                <a:cs typeface="Arial" pitchFamily="34" charset="0"/>
              </a:defRPr>
            </a:pPr>
            <a:r>
              <a:rPr lang="ro-RO" sz="1200">
                <a:latin typeface="Arial" pitchFamily="34" charset="0"/>
                <a:cs typeface="Arial" pitchFamily="34" charset="0"/>
              </a:rPr>
              <a:t>Figura nr.X.2. - 2 Evoluția densității</a:t>
            </a:r>
            <a:r>
              <a:rPr lang="ro-RO" sz="1200" baseline="0">
                <a:latin typeface="Arial" pitchFamily="34" charset="0"/>
                <a:cs typeface="Arial" pitchFamily="34" charset="0"/>
              </a:rPr>
              <a:t> populației rezidente a județului Brăila pentru perioada </a:t>
            </a:r>
          </a:p>
          <a:p>
            <a:pPr algn="ctr">
              <a:defRPr sz="1200">
                <a:latin typeface="Arial" pitchFamily="34" charset="0"/>
                <a:cs typeface="Arial" pitchFamily="34" charset="0"/>
              </a:defRPr>
            </a:pPr>
            <a:r>
              <a:rPr lang="ro-RO" sz="1200" baseline="0">
                <a:solidFill>
                  <a:sysClr val="windowText" lastClr="000000"/>
                </a:solidFill>
                <a:latin typeface="Arial" pitchFamily="34" charset="0"/>
                <a:cs typeface="Arial" pitchFamily="34" charset="0"/>
              </a:rPr>
              <a:t>2014 - 2018</a:t>
            </a:r>
          </a:p>
          <a:p>
            <a:pPr algn="ctr">
              <a:defRPr sz="1200">
                <a:latin typeface="Arial" pitchFamily="34" charset="0"/>
                <a:cs typeface="Arial" pitchFamily="34" charset="0"/>
              </a:defRPr>
            </a:pPr>
            <a:r>
              <a:rPr lang="ro-RO" sz="1200" baseline="0">
                <a:latin typeface="Arial" pitchFamily="34" charset="0"/>
                <a:cs typeface="Arial" pitchFamily="34" charset="0"/>
              </a:rPr>
              <a:t>(locuitori/km</a:t>
            </a:r>
            <a:r>
              <a:rPr lang="ro-RO" sz="1200" baseline="30000">
                <a:latin typeface="Arial" pitchFamily="34" charset="0"/>
                <a:cs typeface="Arial" pitchFamily="34" charset="0"/>
              </a:rPr>
              <a:t>2</a:t>
            </a:r>
            <a:r>
              <a:rPr lang="ro-RO" sz="1200" baseline="0">
                <a:latin typeface="Arial" pitchFamily="34" charset="0"/>
                <a:cs typeface="Arial" pitchFamily="34" charset="0"/>
              </a:rPr>
              <a:t>)</a:t>
            </a:r>
            <a:r>
              <a:rPr lang="ro-RO" sz="1200">
                <a:latin typeface="Arial" pitchFamily="34" charset="0"/>
                <a:cs typeface="Arial" pitchFamily="34" charset="0"/>
              </a:rPr>
              <a:t> </a:t>
            </a:r>
            <a:endParaRPr lang="en-US" sz="1200">
              <a:latin typeface="Arial" pitchFamily="34" charset="0"/>
              <a:cs typeface="Arial" pitchFamily="34" charset="0"/>
            </a:endParaRPr>
          </a:p>
        </c:rich>
      </c:tx>
      <c:layout>
        <c:manualLayout>
          <c:xMode val="edge"/>
          <c:yMode val="edge"/>
          <c:x val="0.13093759113444201"/>
          <c:y val="0"/>
        </c:manualLayout>
      </c:layout>
      <c:overlay val="0"/>
    </c:title>
    <c:autoTitleDeleted val="0"/>
    <c:plotArea>
      <c:layout>
        <c:manualLayout>
          <c:layoutTarget val="inner"/>
          <c:xMode val="edge"/>
          <c:yMode val="edge"/>
          <c:x val="5.99903397491982E-2"/>
          <c:y val="0.31072467517936997"/>
          <c:w val="0.91454669728783899"/>
          <c:h val="0.54167671855890565"/>
        </c:manualLayout>
      </c:layout>
      <c:lineChart>
        <c:grouping val="standard"/>
        <c:varyColors val="0"/>
        <c:ser>
          <c:idx val="0"/>
          <c:order val="0"/>
          <c:tx>
            <c:strRef>
              <c:f>Sheet1!$B$1</c:f>
              <c:strCache>
                <c:ptCount val="1"/>
                <c:pt idx="0">
                  <c:v>Series 1</c:v>
                </c:pt>
              </c:strCache>
            </c:strRef>
          </c:tx>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65.489999999999995</c:v>
                </c:pt>
                <c:pt idx="1">
                  <c:v>64.650000000000006</c:v>
                </c:pt>
                <c:pt idx="2">
                  <c:v>63.71</c:v>
                </c:pt>
                <c:pt idx="3">
                  <c:v>62.76</c:v>
                </c:pt>
                <c:pt idx="4">
                  <c:v>61.71</c:v>
                </c:pt>
              </c:numCache>
            </c:numRef>
          </c:val>
          <c:smooth val="0"/>
          <c:extLst>
            <c:ext xmlns:c16="http://schemas.microsoft.com/office/drawing/2014/chart" uri="{C3380CC4-5D6E-409C-BE32-E72D297353CC}">
              <c16:uniqueId val="{00000000-F810-4D31-B067-BA1111331F93}"/>
            </c:ext>
          </c:extLst>
        </c:ser>
        <c:dLbls>
          <c:showLegendKey val="0"/>
          <c:showVal val="0"/>
          <c:showCatName val="0"/>
          <c:showSerName val="0"/>
          <c:showPercent val="0"/>
          <c:showBubbleSize val="0"/>
        </c:dLbls>
        <c:marker val="1"/>
        <c:smooth val="0"/>
        <c:axId val="256682240"/>
        <c:axId val="256847872"/>
      </c:lineChart>
      <c:catAx>
        <c:axId val="256682240"/>
        <c:scaling>
          <c:orientation val="minMax"/>
        </c:scaling>
        <c:delete val="0"/>
        <c:axPos val="b"/>
        <c:numFmt formatCode="General" sourceLinked="1"/>
        <c:majorTickMark val="out"/>
        <c:minorTickMark val="none"/>
        <c:tickLblPos val="nextTo"/>
        <c:crossAx val="256847872"/>
        <c:crosses val="autoZero"/>
        <c:auto val="1"/>
        <c:lblAlgn val="ctr"/>
        <c:lblOffset val="100"/>
        <c:noMultiLvlLbl val="0"/>
      </c:catAx>
      <c:valAx>
        <c:axId val="256847872"/>
        <c:scaling>
          <c:orientation val="minMax"/>
        </c:scaling>
        <c:delete val="0"/>
        <c:axPos val="l"/>
        <c:majorGridlines/>
        <c:numFmt formatCode="General" sourceLinked="1"/>
        <c:majorTickMark val="out"/>
        <c:minorTickMark val="none"/>
        <c:tickLblPos val="nextTo"/>
        <c:crossAx val="256682240"/>
        <c:crosses val="autoZero"/>
        <c:crossBetween val="between"/>
      </c:valAx>
    </c:plotArea>
    <c:plotVisOnly val="1"/>
    <c:dispBlanksAs val="gap"/>
    <c:showDLblsOverMax val="0"/>
  </c:chart>
  <c:spPr>
    <a:solidFill>
      <a:schemeClr val="accent4">
        <a:lumMod val="20000"/>
        <a:lumOff val="80000"/>
      </a:scheme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1"/>
      <c:hPercent val="42"/>
      <c:rotY val="43"/>
      <c:depthPercent val="50"/>
      <c:rAngAx val="1"/>
    </c:view3D>
    <c:floor>
      <c:thickness val="0"/>
      <c:spPr>
        <a:solidFill>
          <a:srgbClr val="FFFFCC"/>
        </a:solid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0.12116040955631611"/>
          <c:y val="8.6580086580086743E-2"/>
          <c:w val="0.62116040955631402"/>
          <c:h val="0.6536796536796966"/>
        </c:manualLayout>
      </c:layout>
      <c:bar3DChart>
        <c:barDir val="col"/>
        <c:grouping val="clustered"/>
        <c:varyColors val="0"/>
        <c:ser>
          <c:idx val="0"/>
          <c:order val="0"/>
          <c:tx>
            <c:strRef>
              <c:f>Sheet1!$A$2</c:f>
              <c:strCache>
                <c:ptCount val="1"/>
                <c:pt idx="0">
                  <c:v>Medii noe şi dec 2008</c:v>
                </c:pt>
              </c:strCache>
            </c:strRef>
          </c:tx>
          <c:spPr>
            <a:solidFill>
              <a:srgbClr val="9999FF"/>
            </a:solidFill>
            <a:ln w="12700">
              <a:solidFill>
                <a:srgbClr val="000000"/>
              </a:solidFill>
              <a:prstDash val="solid"/>
            </a:ln>
          </c:spPr>
          <c:invertIfNegative val="0"/>
          <c:cat>
            <c:strRef>
              <c:f>Sheet1!$B$1:$D$1</c:f>
              <c:strCache>
                <c:ptCount val="3"/>
                <c:pt idx="0">
                  <c:v>BR 1</c:v>
                </c:pt>
                <c:pt idx="1">
                  <c:v>BR 3</c:v>
                </c:pt>
                <c:pt idx="2">
                  <c:v>BR 4</c:v>
                </c:pt>
              </c:strCache>
            </c:strRef>
          </c:cat>
          <c:val>
            <c:numRef>
              <c:f>Sheet1!$B$2:$D$2</c:f>
              <c:numCache>
                <c:formatCode>General</c:formatCode>
                <c:ptCount val="3"/>
                <c:pt idx="0">
                  <c:v>9.0000000000000028E-3</c:v>
                </c:pt>
                <c:pt idx="1">
                  <c:v>6.0000000000000114E-3</c:v>
                </c:pt>
                <c:pt idx="2">
                  <c:v>6.1000000000000004E-3</c:v>
                </c:pt>
              </c:numCache>
            </c:numRef>
          </c:val>
          <c:extLst>
            <c:ext xmlns:c16="http://schemas.microsoft.com/office/drawing/2014/chart" uri="{C3380CC4-5D6E-409C-BE32-E72D297353CC}">
              <c16:uniqueId val="{00000000-BB26-4BC1-98F2-5BA7F4887954}"/>
            </c:ext>
          </c:extLst>
        </c:ser>
        <c:ser>
          <c:idx val="1"/>
          <c:order val="1"/>
          <c:tx>
            <c:strRef>
              <c:f>Sheet1!$A$3</c:f>
              <c:strCache>
                <c:ptCount val="1"/>
                <c:pt idx="0">
                  <c:v>Medii anuale 2009</c:v>
                </c:pt>
              </c:strCache>
            </c:strRef>
          </c:tx>
          <c:spPr>
            <a:solidFill>
              <a:srgbClr val="993366"/>
            </a:solidFill>
            <a:ln w="12700">
              <a:solidFill>
                <a:srgbClr val="000000"/>
              </a:solidFill>
              <a:prstDash val="solid"/>
            </a:ln>
          </c:spPr>
          <c:invertIfNegative val="0"/>
          <c:cat>
            <c:strRef>
              <c:f>Sheet1!$B$1:$D$1</c:f>
              <c:strCache>
                <c:ptCount val="3"/>
                <c:pt idx="0">
                  <c:v>BR 1</c:v>
                </c:pt>
                <c:pt idx="1">
                  <c:v>BR 3</c:v>
                </c:pt>
                <c:pt idx="2">
                  <c:v>BR 4</c:v>
                </c:pt>
              </c:strCache>
            </c:strRef>
          </c:cat>
          <c:val>
            <c:numRef>
              <c:f>Sheet1!$B$3:$D$3</c:f>
              <c:numCache>
                <c:formatCode>General</c:formatCode>
                <c:ptCount val="3"/>
                <c:pt idx="0">
                  <c:v>6.6000000000000034E-3</c:v>
                </c:pt>
                <c:pt idx="1">
                  <c:v>6.1000000000000004E-3</c:v>
                </c:pt>
                <c:pt idx="2">
                  <c:v>7.5000000000000934E-3</c:v>
                </c:pt>
              </c:numCache>
            </c:numRef>
          </c:val>
          <c:extLst>
            <c:ext xmlns:c16="http://schemas.microsoft.com/office/drawing/2014/chart" uri="{C3380CC4-5D6E-409C-BE32-E72D297353CC}">
              <c16:uniqueId val="{00000001-BB26-4BC1-98F2-5BA7F4887954}"/>
            </c:ext>
          </c:extLst>
        </c:ser>
        <c:ser>
          <c:idx val="2"/>
          <c:order val="2"/>
          <c:tx>
            <c:strRef>
              <c:f>Sheet1!$A$4</c:f>
              <c:strCache>
                <c:ptCount val="1"/>
                <c:pt idx="0">
                  <c:v>Medii anuale 2010</c:v>
                </c:pt>
              </c:strCache>
            </c:strRef>
          </c:tx>
          <c:spPr>
            <a:solidFill>
              <a:srgbClr val="00FF00"/>
            </a:solidFill>
            <a:ln w="12700">
              <a:solidFill>
                <a:srgbClr val="000000"/>
              </a:solidFill>
              <a:prstDash val="solid"/>
            </a:ln>
          </c:spPr>
          <c:invertIfNegative val="0"/>
          <c:cat>
            <c:strRef>
              <c:f>Sheet1!$B$1:$D$1</c:f>
              <c:strCache>
                <c:ptCount val="3"/>
                <c:pt idx="0">
                  <c:v>BR 1</c:v>
                </c:pt>
                <c:pt idx="1">
                  <c:v>BR 3</c:v>
                </c:pt>
                <c:pt idx="2">
                  <c:v>BR 4</c:v>
                </c:pt>
              </c:strCache>
            </c:strRef>
          </c:cat>
          <c:val>
            <c:numRef>
              <c:f>Sheet1!$B$4:$D$4</c:f>
              <c:numCache>
                <c:formatCode>General</c:formatCode>
                <c:ptCount val="3"/>
                <c:pt idx="0">
                  <c:v>8.5000000000000006E-3</c:v>
                </c:pt>
                <c:pt idx="1">
                  <c:v>5.3000000000000104E-3</c:v>
                </c:pt>
                <c:pt idx="2">
                  <c:v>5.1999999999999998E-3</c:v>
                </c:pt>
              </c:numCache>
            </c:numRef>
          </c:val>
          <c:extLst>
            <c:ext xmlns:c16="http://schemas.microsoft.com/office/drawing/2014/chart" uri="{C3380CC4-5D6E-409C-BE32-E72D297353CC}">
              <c16:uniqueId val="{00000002-BB26-4BC1-98F2-5BA7F4887954}"/>
            </c:ext>
          </c:extLst>
        </c:ser>
        <c:dLbls>
          <c:showLegendKey val="0"/>
          <c:showVal val="0"/>
          <c:showCatName val="0"/>
          <c:showSerName val="0"/>
          <c:showPercent val="0"/>
          <c:showBubbleSize val="0"/>
        </c:dLbls>
        <c:gapWidth val="300"/>
        <c:gapDepth val="100"/>
        <c:shape val="box"/>
        <c:axId val="224760192"/>
        <c:axId val="224761728"/>
        <c:axId val="0"/>
      </c:bar3DChart>
      <c:catAx>
        <c:axId val="2247601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4761728"/>
        <c:crosses val="autoZero"/>
        <c:auto val="1"/>
        <c:lblAlgn val="ctr"/>
        <c:lblOffset val="100"/>
        <c:tickLblSkip val="1"/>
        <c:tickMarkSkip val="1"/>
        <c:noMultiLvlLbl val="0"/>
      </c:catAx>
      <c:valAx>
        <c:axId val="224761728"/>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ro-RO"/>
                  <a:t>micrograme/mc</a:t>
                </a:r>
              </a:p>
            </c:rich>
          </c:tx>
          <c:layout>
            <c:manualLayout>
              <c:xMode val="edge"/>
              <c:yMode val="edge"/>
              <c:x val="1.4079844297537681E-2"/>
              <c:y val="0.2294373035667318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224760192"/>
        <c:crosses val="autoZero"/>
        <c:crossBetween val="between"/>
      </c:valAx>
      <c:spPr>
        <a:noFill/>
        <a:ln w="25399">
          <a:noFill/>
        </a:ln>
      </c:spPr>
    </c:plotArea>
    <c:legend>
      <c:legendPos val="r"/>
      <c:layout>
        <c:manualLayout>
          <c:xMode val="edge"/>
          <c:yMode val="edge"/>
          <c:x val="0.76109215017064868"/>
          <c:y val="0.33333333333333331"/>
          <c:w val="0.23037542662116042"/>
          <c:h val="0.2510822510822593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1025" b="1" i="0" u="none" strike="noStrike" baseline="0">
          <a:solidFill>
            <a:srgbClr val="000000"/>
          </a:solidFill>
          <a:latin typeface="Arial"/>
          <a:ea typeface="Arial"/>
          <a:cs typeface="Arial"/>
        </a:defRPr>
      </a:pPr>
      <a:endParaRPr lang="ro-R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201"/>
          <c:h val="0.65934065934066965"/>
        </c:manualLayout>
      </c:layout>
      <c:bar3DChart>
        <c:barDir val="col"/>
        <c:grouping val="clustered"/>
        <c:varyColors val="0"/>
        <c:ser>
          <c:idx val="4"/>
          <c:order val="0"/>
          <c:tx>
            <c:strRef>
              <c:f>Sheet1!$A$2</c:f>
              <c:strCache>
                <c:ptCount val="1"/>
                <c:pt idx="0">
                  <c:v>Medii anuale 2014</c:v>
                </c:pt>
              </c:strCache>
            </c:strRef>
          </c:tx>
          <c:spPr>
            <a:solidFill>
              <a:srgbClr val="660066"/>
            </a:solidFill>
            <a:ln w="12700">
              <a:solidFill>
                <a:srgbClr val="000000"/>
              </a:solidFill>
              <a:prstDash val="solid"/>
            </a:ln>
          </c:spPr>
          <c:invertIfNegative val="0"/>
          <c:cat>
            <c:strRef>
              <c:f>Sheet1!$B$1:$F$1</c:f>
              <c:strCache>
                <c:ptCount val="5"/>
                <c:pt idx="0">
                  <c:v>BR1</c:v>
                </c:pt>
                <c:pt idx="1">
                  <c:v>BR2</c:v>
                </c:pt>
                <c:pt idx="2">
                  <c:v>BR3</c:v>
                </c:pt>
                <c:pt idx="3">
                  <c:v>BR4</c:v>
                </c:pt>
                <c:pt idx="4">
                  <c:v>BR5</c:v>
                </c:pt>
              </c:strCache>
            </c:strRef>
          </c:cat>
          <c:val>
            <c:numRef>
              <c:f>Sheet1!$B$2:$F$2</c:f>
              <c:numCache>
                <c:formatCode>General</c:formatCode>
                <c:ptCount val="5"/>
                <c:pt idx="1">
                  <c:v>0.22</c:v>
                </c:pt>
                <c:pt idx="2">
                  <c:v>0.21</c:v>
                </c:pt>
                <c:pt idx="3">
                  <c:v>0.11</c:v>
                </c:pt>
                <c:pt idx="4">
                  <c:v>0.05</c:v>
                </c:pt>
              </c:numCache>
            </c:numRef>
          </c:val>
          <c:extLst>
            <c:ext xmlns:c16="http://schemas.microsoft.com/office/drawing/2014/chart" uri="{C3380CC4-5D6E-409C-BE32-E72D297353CC}">
              <c16:uniqueId val="{00000000-0131-4784-8553-C57D52A2706E}"/>
            </c:ext>
          </c:extLst>
        </c:ser>
        <c:ser>
          <c:idx val="5"/>
          <c:order val="1"/>
          <c:tx>
            <c:strRef>
              <c:f>Sheet1!$A$3</c:f>
              <c:strCache>
                <c:ptCount val="1"/>
                <c:pt idx="0">
                  <c:v>Medii anuale 2015</c:v>
                </c:pt>
              </c:strCache>
            </c:strRef>
          </c:tx>
          <c:invertIfNegative val="0"/>
          <c:cat>
            <c:strRef>
              <c:f>Sheet1!$B$1:$F$1</c:f>
              <c:strCache>
                <c:ptCount val="5"/>
                <c:pt idx="0">
                  <c:v>BR1</c:v>
                </c:pt>
                <c:pt idx="1">
                  <c:v>BR2</c:v>
                </c:pt>
                <c:pt idx="2">
                  <c:v>BR3</c:v>
                </c:pt>
                <c:pt idx="3">
                  <c:v>BR4</c:v>
                </c:pt>
                <c:pt idx="4">
                  <c:v>BR5</c:v>
                </c:pt>
              </c:strCache>
            </c:strRef>
          </c:cat>
          <c:val>
            <c:numRef>
              <c:f>Sheet1!$B$3:$F$3</c:f>
              <c:numCache>
                <c:formatCode>General</c:formatCode>
                <c:ptCount val="5"/>
                <c:pt idx="0">
                  <c:v>0.34</c:v>
                </c:pt>
                <c:pt idx="1">
                  <c:v>0.11</c:v>
                </c:pt>
                <c:pt idx="2">
                  <c:v>0.11</c:v>
                </c:pt>
                <c:pt idx="3">
                  <c:v>0.1</c:v>
                </c:pt>
                <c:pt idx="4">
                  <c:v>0.04</c:v>
                </c:pt>
              </c:numCache>
            </c:numRef>
          </c:val>
          <c:extLst>
            <c:ext xmlns:c16="http://schemas.microsoft.com/office/drawing/2014/chart" uri="{C3380CC4-5D6E-409C-BE32-E72D297353CC}">
              <c16:uniqueId val="{00000001-0131-4784-8553-C57D52A2706E}"/>
            </c:ext>
          </c:extLst>
        </c:ser>
        <c:ser>
          <c:idx val="6"/>
          <c:order val="2"/>
          <c:tx>
            <c:strRef>
              <c:f>Sheet1!$A$4</c:f>
              <c:strCache>
                <c:ptCount val="1"/>
                <c:pt idx="0">
                  <c:v>Medii anuale 2016</c:v>
                </c:pt>
              </c:strCache>
            </c:strRef>
          </c:tx>
          <c:invertIfNegative val="0"/>
          <c:cat>
            <c:strRef>
              <c:f>Sheet1!$B$1:$F$1</c:f>
              <c:strCache>
                <c:ptCount val="5"/>
                <c:pt idx="0">
                  <c:v>BR1</c:v>
                </c:pt>
                <c:pt idx="1">
                  <c:v>BR2</c:v>
                </c:pt>
                <c:pt idx="2">
                  <c:v>BR3</c:v>
                </c:pt>
                <c:pt idx="3">
                  <c:v>BR4</c:v>
                </c:pt>
                <c:pt idx="4">
                  <c:v>BR5</c:v>
                </c:pt>
              </c:strCache>
            </c:strRef>
          </c:cat>
          <c:val>
            <c:numRef>
              <c:f>Sheet1!$B$4:$F$4</c:f>
              <c:numCache>
                <c:formatCode>General</c:formatCode>
                <c:ptCount val="5"/>
                <c:pt idx="0">
                  <c:v>0.19</c:v>
                </c:pt>
                <c:pt idx="1">
                  <c:v>0.11</c:v>
                </c:pt>
                <c:pt idx="2">
                  <c:v>0.12</c:v>
                </c:pt>
                <c:pt idx="3">
                  <c:v>0.11</c:v>
                </c:pt>
                <c:pt idx="4">
                  <c:v>7.0000000000000007E-2</c:v>
                </c:pt>
              </c:numCache>
            </c:numRef>
          </c:val>
          <c:extLst>
            <c:ext xmlns:c16="http://schemas.microsoft.com/office/drawing/2014/chart" uri="{C3380CC4-5D6E-409C-BE32-E72D297353CC}">
              <c16:uniqueId val="{00000002-0131-4784-8553-C57D52A2706E}"/>
            </c:ext>
          </c:extLst>
        </c:ser>
        <c:ser>
          <c:idx val="7"/>
          <c:order val="3"/>
          <c:tx>
            <c:strRef>
              <c:f>Sheet1!$A$5</c:f>
              <c:strCache>
                <c:ptCount val="1"/>
                <c:pt idx="0">
                  <c:v>Medii anuale 2017</c:v>
                </c:pt>
              </c:strCache>
            </c:strRef>
          </c:tx>
          <c:invertIfNegative val="0"/>
          <c:cat>
            <c:strRef>
              <c:f>Sheet1!$B$1:$F$1</c:f>
              <c:strCache>
                <c:ptCount val="5"/>
                <c:pt idx="0">
                  <c:v>BR1</c:v>
                </c:pt>
                <c:pt idx="1">
                  <c:v>BR2</c:v>
                </c:pt>
                <c:pt idx="2">
                  <c:v>BR3</c:v>
                </c:pt>
                <c:pt idx="3">
                  <c:v>BR4</c:v>
                </c:pt>
                <c:pt idx="4">
                  <c:v>BR5</c:v>
                </c:pt>
              </c:strCache>
            </c:strRef>
          </c:cat>
          <c:val>
            <c:numRef>
              <c:f>Sheet1!$B$5:$F$5</c:f>
              <c:numCache>
                <c:formatCode>General</c:formatCode>
                <c:ptCount val="5"/>
                <c:pt idx="0">
                  <c:v>0.16</c:v>
                </c:pt>
                <c:pt idx="1">
                  <c:v>0.09</c:v>
                </c:pt>
                <c:pt idx="2">
                  <c:v>0.1</c:v>
                </c:pt>
                <c:pt idx="3">
                  <c:v>0.11</c:v>
                </c:pt>
                <c:pt idx="4">
                  <c:v>0.06</c:v>
                </c:pt>
              </c:numCache>
            </c:numRef>
          </c:val>
          <c:extLst>
            <c:ext xmlns:c16="http://schemas.microsoft.com/office/drawing/2014/chart" uri="{C3380CC4-5D6E-409C-BE32-E72D297353CC}">
              <c16:uniqueId val="{00000003-0131-4784-8553-C57D52A2706E}"/>
            </c:ext>
          </c:extLst>
        </c:ser>
        <c:ser>
          <c:idx val="8"/>
          <c:order val="4"/>
          <c:tx>
            <c:strRef>
              <c:f>Sheet1!$A$6</c:f>
              <c:strCache>
                <c:ptCount val="1"/>
                <c:pt idx="0">
                  <c:v>Medii anuale 2018</c:v>
                </c:pt>
              </c:strCache>
            </c:strRef>
          </c:tx>
          <c:invertIfNegative val="0"/>
          <c:cat>
            <c:strRef>
              <c:f>Sheet1!$B$1:$F$1</c:f>
              <c:strCache>
                <c:ptCount val="5"/>
                <c:pt idx="0">
                  <c:v>BR1</c:v>
                </c:pt>
                <c:pt idx="1">
                  <c:v>BR2</c:v>
                </c:pt>
                <c:pt idx="2">
                  <c:v>BR3</c:v>
                </c:pt>
                <c:pt idx="3">
                  <c:v>BR4</c:v>
                </c:pt>
                <c:pt idx="4">
                  <c:v>BR5</c:v>
                </c:pt>
              </c:strCache>
            </c:strRef>
          </c:cat>
          <c:val>
            <c:numRef>
              <c:f>Sheet1!$B$6:$F$6</c:f>
              <c:numCache>
                <c:formatCode>General</c:formatCode>
                <c:ptCount val="5"/>
                <c:pt idx="0">
                  <c:v>0.14000000000000001</c:v>
                </c:pt>
                <c:pt idx="1">
                  <c:v>0.09</c:v>
                </c:pt>
                <c:pt idx="2">
                  <c:v>0.1</c:v>
                </c:pt>
                <c:pt idx="3">
                  <c:v>0.09</c:v>
                </c:pt>
                <c:pt idx="4">
                  <c:v>7.0000000000000007E-2</c:v>
                </c:pt>
              </c:numCache>
            </c:numRef>
          </c:val>
          <c:extLst>
            <c:ext xmlns:c16="http://schemas.microsoft.com/office/drawing/2014/chart" uri="{C3380CC4-5D6E-409C-BE32-E72D297353CC}">
              <c16:uniqueId val="{00000004-0131-4784-8553-C57D52A2706E}"/>
            </c:ext>
          </c:extLst>
        </c:ser>
        <c:dLbls>
          <c:showLegendKey val="0"/>
          <c:showVal val="0"/>
          <c:showCatName val="0"/>
          <c:showSerName val="0"/>
          <c:showPercent val="0"/>
          <c:showBubbleSize val="0"/>
        </c:dLbls>
        <c:gapWidth val="260"/>
        <c:gapDepth val="0"/>
        <c:shape val="box"/>
        <c:axId val="226198656"/>
        <c:axId val="226200192"/>
        <c:axId val="0"/>
      </c:bar3DChart>
      <c:catAx>
        <c:axId val="2261986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6200192"/>
        <c:crosses val="autoZero"/>
        <c:auto val="1"/>
        <c:lblAlgn val="ctr"/>
        <c:lblOffset val="100"/>
        <c:tickLblSkip val="1"/>
        <c:tickMarkSkip val="1"/>
        <c:noMultiLvlLbl val="0"/>
      </c:catAx>
      <c:valAx>
        <c:axId val="226200192"/>
        <c:scaling>
          <c:orientation val="minMax"/>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t>miligrame/mc</a:t>
                </a:r>
              </a:p>
            </c:rich>
          </c:tx>
          <c:layout>
            <c:manualLayout>
              <c:xMode val="edge"/>
              <c:yMode val="edge"/>
              <c:x val="4.0992385457522033E-2"/>
              <c:y val="0.1223288495188101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6198656"/>
        <c:crosses val="autoZero"/>
        <c:crossBetween val="between"/>
      </c:valAx>
      <c:spPr>
        <a:noFill/>
        <a:ln w="25400">
          <a:noFill/>
        </a:ln>
      </c:spPr>
    </c:plotArea>
    <c:legend>
      <c:legendPos val="r"/>
      <c:layout>
        <c:manualLayout>
          <c:xMode val="edge"/>
          <c:yMode val="edge"/>
          <c:x val="0.77325589054220856"/>
          <c:y val="5.4334536307962034E-2"/>
          <c:w val="0.19241699350318894"/>
          <c:h val="0.6402416885389409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9.141791044776118E-2"/>
          <c:y val="6.7796610169494148E-2"/>
          <c:w val="0.65485074626867479"/>
          <c:h val="0.76836158192089998"/>
        </c:manualLayout>
      </c:layout>
      <c:bar3DChart>
        <c:barDir val="col"/>
        <c:grouping val="clustered"/>
        <c:varyColors val="0"/>
        <c:ser>
          <c:idx val="0"/>
          <c:order val="0"/>
          <c:tx>
            <c:strRef>
              <c:f>Sheet1!$A$2</c:f>
              <c:strCache>
                <c:ptCount val="1"/>
                <c:pt idx="0">
                  <c:v>Medii anuale 2008</c:v>
                </c:pt>
              </c:strCache>
            </c:strRef>
          </c:tx>
          <c:spPr>
            <a:solidFill>
              <a:srgbClr val="9999FF"/>
            </a:solidFill>
            <a:ln w="12701">
              <a:solidFill>
                <a:srgbClr val="000000"/>
              </a:solidFill>
              <a:prstDash val="solid"/>
            </a:ln>
          </c:spPr>
          <c:invertIfNegative val="0"/>
          <c:cat>
            <c:strRef>
              <c:f>Sheet1!$B$1:$E$1</c:f>
              <c:strCache>
                <c:ptCount val="4"/>
                <c:pt idx="0">
                  <c:v>BR1</c:v>
                </c:pt>
                <c:pt idx="1">
                  <c:v>BR2</c:v>
                </c:pt>
                <c:pt idx="2">
                  <c:v>BR3</c:v>
                </c:pt>
                <c:pt idx="3">
                  <c:v>BR5</c:v>
                </c:pt>
              </c:strCache>
            </c:strRef>
          </c:cat>
          <c:val>
            <c:numRef>
              <c:f>Sheet1!$B$2:$E$2</c:f>
              <c:numCache>
                <c:formatCode>General</c:formatCode>
                <c:ptCount val="4"/>
                <c:pt idx="1">
                  <c:v>3.145</c:v>
                </c:pt>
                <c:pt idx="2">
                  <c:v>3.19</c:v>
                </c:pt>
              </c:numCache>
            </c:numRef>
          </c:val>
          <c:extLst>
            <c:ext xmlns:c16="http://schemas.microsoft.com/office/drawing/2014/chart" uri="{C3380CC4-5D6E-409C-BE32-E72D297353CC}">
              <c16:uniqueId val="{00000000-4FB9-424F-9B95-B5552FE26BC5}"/>
            </c:ext>
          </c:extLst>
        </c:ser>
        <c:ser>
          <c:idx val="1"/>
          <c:order val="1"/>
          <c:tx>
            <c:strRef>
              <c:f>Sheet1!$A$3</c:f>
              <c:strCache>
                <c:ptCount val="1"/>
                <c:pt idx="0">
                  <c:v>Medii anuale 2009</c:v>
                </c:pt>
              </c:strCache>
            </c:strRef>
          </c:tx>
          <c:spPr>
            <a:solidFill>
              <a:srgbClr val="993366"/>
            </a:solidFill>
            <a:ln w="12701">
              <a:solidFill>
                <a:srgbClr val="000000"/>
              </a:solidFill>
              <a:prstDash val="solid"/>
            </a:ln>
          </c:spPr>
          <c:invertIfNegative val="0"/>
          <c:cat>
            <c:strRef>
              <c:f>Sheet1!$B$1:$E$1</c:f>
              <c:strCache>
                <c:ptCount val="4"/>
                <c:pt idx="0">
                  <c:v>BR1</c:v>
                </c:pt>
                <c:pt idx="1">
                  <c:v>BR2</c:v>
                </c:pt>
                <c:pt idx="2">
                  <c:v>BR3</c:v>
                </c:pt>
                <c:pt idx="3">
                  <c:v>BR5</c:v>
                </c:pt>
              </c:strCache>
            </c:strRef>
          </c:cat>
          <c:val>
            <c:numRef>
              <c:f>Sheet1!$B$3:$E$3</c:f>
              <c:numCache>
                <c:formatCode>General</c:formatCode>
                <c:ptCount val="4"/>
                <c:pt idx="0">
                  <c:v>4.6500000000000004</c:v>
                </c:pt>
                <c:pt idx="1">
                  <c:v>0.25</c:v>
                </c:pt>
                <c:pt idx="2">
                  <c:v>1.48</c:v>
                </c:pt>
              </c:numCache>
            </c:numRef>
          </c:val>
          <c:extLst>
            <c:ext xmlns:c16="http://schemas.microsoft.com/office/drawing/2014/chart" uri="{C3380CC4-5D6E-409C-BE32-E72D297353CC}">
              <c16:uniqueId val="{00000001-4FB9-424F-9B95-B5552FE26BC5}"/>
            </c:ext>
          </c:extLst>
        </c:ser>
        <c:ser>
          <c:idx val="2"/>
          <c:order val="2"/>
          <c:tx>
            <c:strRef>
              <c:f>Sheet1!$A$4</c:f>
              <c:strCache>
                <c:ptCount val="1"/>
                <c:pt idx="0">
                  <c:v>Medii anuale 2010</c:v>
                </c:pt>
              </c:strCache>
            </c:strRef>
          </c:tx>
          <c:spPr>
            <a:solidFill>
              <a:srgbClr val="00FF00"/>
            </a:solidFill>
            <a:ln w="12701">
              <a:solidFill>
                <a:srgbClr val="000000"/>
              </a:solidFill>
              <a:prstDash val="solid"/>
            </a:ln>
          </c:spPr>
          <c:invertIfNegative val="0"/>
          <c:cat>
            <c:strRef>
              <c:f>Sheet1!$B$1:$E$1</c:f>
              <c:strCache>
                <c:ptCount val="4"/>
                <c:pt idx="0">
                  <c:v>BR1</c:v>
                </c:pt>
                <c:pt idx="1">
                  <c:v>BR2</c:v>
                </c:pt>
                <c:pt idx="2">
                  <c:v>BR3</c:v>
                </c:pt>
                <c:pt idx="3">
                  <c:v>BR5</c:v>
                </c:pt>
              </c:strCache>
            </c:strRef>
          </c:cat>
          <c:val>
            <c:numRef>
              <c:f>Sheet1!$B$4:$E$4</c:f>
              <c:numCache>
                <c:formatCode>General</c:formatCode>
                <c:ptCount val="4"/>
                <c:pt idx="0">
                  <c:v>2.41</c:v>
                </c:pt>
                <c:pt idx="1">
                  <c:v>0.13</c:v>
                </c:pt>
                <c:pt idx="2">
                  <c:v>1.41</c:v>
                </c:pt>
                <c:pt idx="3">
                  <c:v>2.1</c:v>
                </c:pt>
              </c:numCache>
            </c:numRef>
          </c:val>
          <c:extLst>
            <c:ext xmlns:c16="http://schemas.microsoft.com/office/drawing/2014/chart" uri="{C3380CC4-5D6E-409C-BE32-E72D297353CC}">
              <c16:uniqueId val="{00000002-4FB9-424F-9B95-B5552FE26BC5}"/>
            </c:ext>
          </c:extLst>
        </c:ser>
        <c:ser>
          <c:idx val="3"/>
          <c:order val="3"/>
          <c:tx>
            <c:strRef>
              <c:f>Sheet1!$A$5</c:f>
              <c:strCache>
                <c:ptCount val="1"/>
                <c:pt idx="0">
                  <c:v>Medii anuale 2011</c:v>
                </c:pt>
              </c:strCache>
            </c:strRef>
          </c:tx>
          <c:spPr>
            <a:solidFill>
              <a:srgbClr val="CCFFFF"/>
            </a:solidFill>
            <a:ln w="12701">
              <a:solidFill>
                <a:srgbClr val="000000"/>
              </a:solidFill>
              <a:prstDash val="solid"/>
            </a:ln>
          </c:spPr>
          <c:invertIfNegative val="0"/>
          <c:cat>
            <c:strRef>
              <c:f>Sheet1!$B$1:$E$1</c:f>
              <c:strCache>
                <c:ptCount val="4"/>
                <c:pt idx="0">
                  <c:v>BR1</c:v>
                </c:pt>
                <c:pt idx="1">
                  <c:v>BR2</c:v>
                </c:pt>
                <c:pt idx="2">
                  <c:v>BR3</c:v>
                </c:pt>
                <c:pt idx="3">
                  <c:v>BR5</c:v>
                </c:pt>
              </c:strCache>
            </c:strRef>
          </c:cat>
          <c:val>
            <c:numRef>
              <c:f>Sheet1!$B$5:$E$5</c:f>
              <c:numCache>
                <c:formatCode>General</c:formatCode>
                <c:ptCount val="4"/>
                <c:pt idx="2">
                  <c:v>1.42</c:v>
                </c:pt>
                <c:pt idx="3">
                  <c:v>2.17</c:v>
                </c:pt>
              </c:numCache>
            </c:numRef>
          </c:val>
          <c:extLst>
            <c:ext xmlns:c16="http://schemas.microsoft.com/office/drawing/2014/chart" uri="{C3380CC4-5D6E-409C-BE32-E72D297353CC}">
              <c16:uniqueId val="{00000003-4FB9-424F-9B95-B5552FE26BC5}"/>
            </c:ext>
          </c:extLst>
        </c:ser>
        <c:ser>
          <c:idx val="4"/>
          <c:order val="4"/>
          <c:tx>
            <c:strRef>
              <c:f>Sheet1!$A$6</c:f>
              <c:strCache>
                <c:ptCount val="1"/>
                <c:pt idx="0">
                  <c:v>Medii anuale 2012</c:v>
                </c:pt>
              </c:strCache>
            </c:strRef>
          </c:tx>
          <c:invertIfNegative val="0"/>
          <c:cat>
            <c:strRef>
              <c:f>Sheet1!$B$1:$E$1</c:f>
              <c:strCache>
                <c:ptCount val="4"/>
                <c:pt idx="0">
                  <c:v>BR1</c:v>
                </c:pt>
                <c:pt idx="1">
                  <c:v>BR2</c:v>
                </c:pt>
                <c:pt idx="2">
                  <c:v>BR3</c:v>
                </c:pt>
                <c:pt idx="3">
                  <c:v>BR5</c:v>
                </c:pt>
              </c:strCache>
            </c:strRef>
          </c:cat>
          <c:val>
            <c:numRef>
              <c:f>Sheet1!$B$6:$E$6</c:f>
              <c:numCache>
                <c:formatCode>General</c:formatCode>
                <c:ptCount val="4"/>
                <c:pt idx="2">
                  <c:v>2.4500000000000002</c:v>
                </c:pt>
                <c:pt idx="3">
                  <c:v>0.93</c:v>
                </c:pt>
              </c:numCache>
            </c:numRef>
          </c:val>
          <c:extLst>
            <c:ext xmlns:c16="http://schemas.microsoft.com/office/drawing/2014/chart" uri="{C3380CC4-5D6E-409C-BE32-E72D297353CC}">
              <c16:uniqueId val="{00000004-4FB9-424F-9B95-B5552FE26BC5}"/>
            </c:ext>
          </c:extLst>
        </c:ser>
        <c:ser>
          <c:idx val="5"/>
          <c:order val="5"/>
          <c:tx>
            <c:strRef>
              <c:f>Sheet1!$A$7</c:f>
              <c:strCache>
                <c:ptCount val="1"/>
                <c:pt idx="0">
                  <c:v>Medii anuale 2016</c:v>
                </c:pt>
              </c:strCache>
            </c:strRef>
          </c:tx>
          <c:invertIfNegative val="0"/>
          <c:cat>
            <c:strRef>
              <c:f>Sheet1!$B$1:$E$1</c:f>
              <c:strCache>
                <c:ptCount val="4"/>
                <c:pt idx="0">
                  <c:v>BR1</c:v>
                </c:pt>
                <c:pt idx="1">
                  <c:v>BR2</c:v>
                </c:pt>
                <c:pt idx="2">
                  <c:v>BR3</c:v>
                </c:pt>
                <c:pt idx="3">
                  <c:v>BR5</c:v>
                </c:pt>
              </c:strCache>
            </c:strRef>
          </c:cat>
          <c:val>
            <c:numRef>
              <c:f>Sheet1!$B$7:$E$7</c:f>
              <c:numCache>
                <c:formatCode>General</c:formatCode>
                <c:ptCount val="4"/>
                <c:pt idx="0">
                  <c:v>1.93</c:v>
                </c:pt>
                <c:pt idx="1">
                  <c:v>1.2</c:v>
                </c:pt>
                <c:pt idx="3">
                  <c:v>1.37</c:v>
                </c:pt>
              </c:numCache>
            </c:numRef>
          </c:val>
          <c:extLst>
            <c:ext xmlns:c16="http://schemas.microsoft.com/office/drawing/2014/chart" uri="{C3380CC4-5D6E-409C-BE32-E72D297353CC}">
              <c16:uniqueId val="{00000005-4FB9-424F-9B95-B5552FE26BC5}"/>
            </c:ext>
          </c:extLst>
        </c:ser>
        <c:ser>
          <c:idx val="6"/>
          <c:order val="6"/>
          <c:tx>
            <c:strRef>
              <c:f>Sheet1!$A$9</c:f>
              <c:strCache>
                <c:ptCount val="1"/>
                <c:pt idx="0">
                  <c:v>Medii anuale 2018 </c:v>
                </c:pt>
              </c:strCache>
            </c:strRef>
          </c:tx>
          <c:invertIfNegative val="0"/>
          <c:cat>
            <c:strRef>
              <c:f>Sheet1!$B$1:$E$1</c:f>
              <c:strCache>
                <c:ptCount val="4"/>
                <c:pt idx="0">
                  <c:v>BR1</c:v>
                </c:pt>
                <c:pt idx="1">
                  <c:v>BR2</c:v>
                </c:pt>
                <c:pt idx="2">
                  <c:v>BR3</c:v>
                </c:pt>
                <c:pt idx="3">
                  <c:v>BR5</c:v>
                </c:pt>
              </c:strCache>
            </c:strRef>
          </c:cat>
          <c:val>
            <c:numRef>
              <c:f>Sheet1!$B$9:$E$9</c:f>
              <c:numCache>
                <c:formatCode>General</c:formatCode>
                <c:ptCount val="4"/>
                <c:pt idx="0">
                  <c:v>2.33</c:v>
                </c:pt>
                <c:pt idx="1">
                  <c:v>1.33</c:v>
                </c:pt>
                <c:pt idx="2">
                  <c:v>2.25</c:v>
                </c:pt>
                <c:pt idx="3">
                  <c:v>1.35</c:v>
                </c:pt>
              </c:numCache>
            </c:numRef>
          </c:val>
          <c:extLst>
            <c:ext xmlns:c16="http://schemas.microsoft.com/office/drawing/2014/chart" uri="{C3380CC4-5D6E-409C-BE32-E72D297353CC}">
              <c16:uniqueId val="{00000006-4FB9-424F-9B95-B5552FE26BC5}"/>
            </c:ext>
          </c:extLst>
        </c:ser>
        <c:dLbls>
          <c:showLegendKey val="0"/>
          <c:showVal val="0"/>
          <c:showCatName val="0"/>
          <c:showSerName val="0"/>
          <c:showPercent val="0"/>
          <c:showBubbleSize val="0"/>
        </c:dLbls>
        <c:gapWidth val="500"/>
        <c:gapDepth val="0"/>
        <c:shape val="box"/>
        <c:axId val="226372992"/>
        <c:axId val="226391168"/>
        <c:axId val="0"/>
      </c:bar3DChart>
      <c:catAx>
        <c:axId val="2263729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226391168"/>
        <c:crosses val="autoZero"/>
        <c:auto val="1"/>
        <c:lblAlgn val="ctr"/>
        <c:lblOffset val="100"/>
        <c:tickLblSkip val="1"/>
        <c:tickMarkSkip val="1"/>
        <c:noMultiLvlLbl val="0"/>
      </c:catAx>
      <c:valAx>
        <c:axId val="22639116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2788773889552704E-2"/>
              <c:y val="0.16384184597246548"/>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226372992"/>
        <c:crosses val="autoZero"/>
        <c:crossBetween val="between"/>
      </c:valAx>
      <c:spPr>
        <a:noFill/>
        <a:ln w="25401">
          <a:noFill/>
        </a:ln>
      </c:spPr>
    </c:plotArea>
    <c:legend>
      <c:legendPos val="r"/>
      <c:layout>
        <c:manualLayout>
          <c:xMode val="edge"/>
          <c:yMode val="edge"/>
          <c:x val="0.71861213874773866"/>
          <c:y val="0.14689265536723553"/>
          <c:w val="0.24744926993814986"/>
          <c:h val="0.74367594425028882"/>
        </c:manualLayout>
      </c:layout>
      <c:overlay val="0"/>
      <c:spPr>
        <a:solidFill>
          <a:srgbClr val="FFFFFF"/>
        </a:solidFill>
        <a:ln w="3175">
          <a:solidFill>
            <a:srgbClr val="000000"/>
          </a:solidFill>
          <a:prstDash val="solid"/>
        </a:ln>
      </c:spPr>
      <c:txPr>
        <a:bodyPr/>
        <a:lstStyle/>
        <a:p>
          <a:pPr>
            <a:defRPr sz="80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7125"/>
          <c:h val="0.72979095260152782"/>
        </c:manualLayout>
      </c:layout>
      <c:bar3DChart>
        <c:barDir val="col"/>
        <c:grouping val="clustered"/>
        <c:varyColors val="0"/>
        <c:ser>
          <c:idx val="3"/>
          <c:order val="0"/>
          <c:tx>
            <c:strRef>
              <c:f>Sheet1!#REF!</c:f>
              <c:strCache>
                <c:ptCount val="1"/>
                <c:pt idx="0">
                  <c:v>#REF!</c:v>
                </c:pt>
              </c:strCache>
            </c:strRef>
          </c:tx>
          <c:spPr>
            <a:solidFill>
              <a:srgbClr val="CCFFFF"/>
            </a:solidFill>
            <a:ln w="12699">
              <a:solidFill>
                <a:srgbClr val="000000"/>
              </a:solidFill>
              <a:prstDash val="solid"/>
            </a:ln>
          </c:spPr>
          <c:invertIfNegative val="0"/>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extLst>
            <c:ext xmlns:c16="http://schemas.microsoft.com/office/drawing/2014/chart" uri="{C3380CC4-5D6E-409C-BE32-E72D297353CC}">
              <c16:uniqueId val="{00000000-9A52-4667-8157-BDA241030D9C}"/>
            </c:ext>
          </c:extLst>
        </c:ser>
        <c:ser>
          <c:idx val="0"/>
          <c:order val="1"/>
          <c:tx>
            <c:strRef>
              <c:f>Sheet1!#REF!</c:f>
              <c:strCache>
                <c:ptCount val="1"/>
                <c:pt idx="0">
                  <c:v>#REF!</c:v>
                </c:pt>
              </c:strCache>
            </c:strRef>
          </c:tx>
          <c:spPr>
            <a:solidFill>
              <a:srgbClr val="9999FF"/>
            </a:solidFill>
            <a:ln w="12699">
              <a:solidFill>
                <a:srgbClr val="000000"/>
              </a:solidFill>
              <a:prstDash val="solid"/>
            </a:ln>
          </c:spPr>
          <c:invertIfNegative val="0"/>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extLst>
            <c:ext xmlns:c16="http://schemas.microsoft.com/office/drawing/2014/chart" uri="{C3380CC4-5D6E-409C-BE32-E72D297353CC}">
              <c16:uniqueId val="{00000001-9A52-4667-8157-BDA241030D9C}"/>
            </c:ext>
          </c:extLst>
        </c:ser>
        <c:ser>
          <c:idx val="1"/>
          <c:order val="2"/>
          <c:tx>
            <c:strRef>
              <c:f>Sheet1!#REF!</c:f>
              <c:strCache>
                <c:ptCount val="1"/>
                <c:pt idx="0">
                  <c:v>#REF!</c:v>
                </c:pt>
              </c:strCache>
            </c:strRef>
          </c:tx>
          <c:spPr>
            <a:solidFill>
              <a:srgbClr val="993366"/>
            </a:solidFill>
            <a:ln w="12699">
              <a:solidFill>
                <a:srgbClr val="000000"/>
              </a:solidFill>
              <a:prstDash val="solid"/>
            </a:ln>
          </c:spPr>
          <c:invertIfNegative val="0"/>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extLst>
            <c:ext xmlns:c16="http://schemas.microsoft.com/office/drawing/2014/chart" uri="{C3380CC4-5D6E-409C-BE32-E72D297353CC}">
              <c16:uniqueId val="{00000002-9A52-4667-8157-BDA241030D9C}"/>
            </c:ext>
          </c:extLst>
        </c:ser>
        <c:ser>
          <c:idx val="2"/>
          <c:order val="3"/>
          <c:tx>
            <c:strRef>
              <c:f>Sheet1!#REF!</c:f>
              <c:strCache>
                <c:ptCount val="1"/>
                <c:pt idx="0">
                  <c:v>#REF!</c:v>
                </c:pt>
              </c:strCache>
            </c:strRef>
          </c:tx>
          <c:spPr>
            <a:solidFill>
              <a:srgbClr val="FFFFCC"/>
            </a:solidFill>
            <a:ln w="12699">
              <a:solidFill>
                <a:srgbClr val="000000"/>
              </a:solidFill>
              <a:prstDash val="solid"/>
            </a:ln>
          </c:spPr>
          <c:invertIfNegative val="0"/>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extLst>
            <c:ext xmlns:c16="http://schemas.microsoft.com/office/drawing/2014/chart" uri="{C3380CC4-5D6E-409C-BE32-E72D297353CC}">
              <c16:uniqueId val="{00000003-9A52-4667-8157-BDA241030D9C}"/>
            </c:ext>
          </c:extLst>
        </c:ser>
        <c:ser>
          <c:idx val="4"/>
          <c:order val="4"/>
          <c:tx>
            <c:strRef>
              <c:f>Sheet1!$B$2</c:f>
              <c:strCache>
                <c:ptCount val="1"/>
                <c:pt idx="0">
                  <c:v>Medii anuale 2013</c:v>
                </c:pt>
              </c:strCache>
            </c:strRef>
          </c:tx>
          <c:invertIfNegative val="0"/>
          <c:cat>
            <c:strRef>
              <c:f>Sheet1!$C$1:$F$1</c:f>
              <c:strCache>
                <c:ptCount val="4"/>
                <c:pt idx="0">
                  <c:v>BR2</c:v>
                </c:pt>
                <c:pt idx="1">
                  <c:v>BR3</c:v>
                </c:pt>
                <c:pt idx="2">
                  <c:v>BR4</c:v>
                </c:pt>
                <c:pt idx="3">
                  <c:v>BR5</c:v>
                </c:pt>
              </c:strCache>
            </c:strRef>
          </c:cat>
          <c:val>
            <c:numRef>
              <c:f>Sheet1!$C$2:$F$2</c:f>
              <c:numCache>
                <c:formatCode>General</c:formatCode>
                <c:ptCount val="4"/>
                <c:pt idx="0">
                  <c:v>57.39</c:v>
                </c:pt>
                <c:pt idx="2">
                  <c:v>64.56</c:v>
                </c:pt>
                <c:pt idx="3">
                  <c:v>74.3</c:v>
                </c:pt>
              </c:numCache>
            </c:numRef>
          </c:val>
          <c:extLst>
            <c:ext xmlns:c16="http://schemas.microsoft.com/office/drawing/2014/chart" uri="{C3380CC4-5D6E-409C-BE32-E72D297353CC}">
              <c16:uniqueId val="{00000004-9A52-4667-8157-BDA241030D9C}"/>
            </c:ext>
          </c:extLst>
        </c:ser>
        <c:ser>
          <c:idx val="5"/>
          <c:order val="5"/>
          <c:tx>
            <c:strRef>
              <c:f>Sheet1!$B$3</c:f>
              <c:strCache>
                <c:ptCount val="1"/>
                <c:pt idx="0">
                  <c:v>Medii anuale 2014</c:v>
                </c:pt>
              </c:strCache>
            </c:strRef>
          </c:tx>
          <c:invertIfNegative val="0"/>
          <c:cat>
            <c:strRef>
              <c:f>Sheet1!$C$1:$F$1</c:f>
              <c:strCache>
                <c:ptCount val="4"/>
                <c:pt idx="0">
                  <c:v>BR2</c:v>
                </c:pt>
                <c:pt idx="1">
                  <c:v>BR3</c:v>
                </c:pt>
                <c:pt idx="2">
                  <c:v>BR4</c:v>
                </c:pt>
                <c:pt idx="3">
                  <c:v>BR5</c:v>
                </c:pt>
              </c:strCache>
            </c:strRef>
          </c:cat>
          <c:val>
            <c:numRef>
              <c:f>Sheet1!$C$3:$F$3</c:f>
              <c:numCache>
                <c:formatCode>General</c:formatCode>
                <c:ptCount val="4"/>
                <c:pt idx="0">
                  <c:v>23.02</c:v>
                </c:pt>
                <c:pt idx="2">
                  <c:v>29.23</c:v>
                </c:pt>
                <c:pt idx="3">
                  <c:v>67.239999999999995</c:v>
                </c:pt>
              </c:numCache>
            </c:numRef>
          </c:val>
          <c:extLst>
            <c:ext xmlns:c16="http://schemas.microsoft.com/office/drawing/2014/chart" uri="{C3380CC4-5D6E-409C-BE32-E72D297353CC}">
              <c16:uniqueId val="{00000005-9A52-4667-8157-BDA241030D9C}"/>
            </c:ext>
          </c:extLst>
        </c:ser>
        <c:ser>
          <c:idx val="6"/>
          <c:order val="6"/>
          <c:tx>
            <c:strRef>
              <c:f>Sheet1!$B$4</c:f>
              <c:strCache>
                <c:ptCount val="1"/>
                <c:pt idx="0">
                  <c:v>Medii anuale 2015</c:v>
                </c:pt>
              </c:strCache>
            </c:strRef>
          </c:tx>
          <c:invertIfNegative val="0"/>
          <c:cat>
            <c:strRef>
              <c:f>Sheet1!$C$1:$F$1</c:f>
              <c:strCache>
                <c:ptCount val="4"/>
                <c:pt idx="0">
                  <c:v>BR2</c:v>
                </c:pt>
                <c:pt idx="1">
                  <c:v>BR3</c:v>
                </c:pt>
                <c:pt idx="2">
                  <c:v>BR4</c:v>
                </c:pt>
                <c:pt idx="3">
                  <c:v>BR5</c:v>
                </c:pt>
              </c:strCache>
            </c:strRef>
          </c:cat>
          <c:val>
            <c:numRef>
              <c:f>Sheet1!$C$4:$F$4</c:f>
              <c:numCache>
                <c:formatCode>General</c:formatCode>
                <c:ptCount val="4"/>
                <c:pt idx="0">
                  <c:v>53.23</c:v>
                </c:pt>
                <c:pt idx="1">
                  <c:v>50.68</c:v>
                </c:pt>
                <c:pt idx="2">
                  <c:v>46.01</c:v>
                </c:pt>
                <c:pt idx="3">
                  <c:v>42.25</c:v>
                </c:pt>
              </c:numCache>
            </c:numRef>
          </c:val>
          <c:extLst>
            <c:ext xmlns:c16="http://schemas.microsoft.com/office/drawing/2014/chart" uri="{C3380CC4-5D6E-409C-BE32-E72D297353CC}">
              <c16:uniqueId val="{00000006-9A52-4667-8157-BDA241030D9C}"/>
            </c:ext>
          </c:extLst>
        </c:ser>
        <c:ser>
          <c:idx val="7"/>
          <c:order val="7"/>
          <c:tx>
            <c:strRef>
              <c:f>Sheet1!$B$5</c:f>
              <c:strCache>
                <c:ptCount val="1"/>
                <c:pt idx="0">
                  <c:v>Medii anuale 2016</c:v>
                </c:pt>
              </c:strCache>
            </c:strRef>
          </c:tx>
          <c:invertIfNegative val="0"/>
          <c:cat>
            <c:strRef>
              <c:f>Sheet1!$C$1:$F$1</c:f>
              <c:strCache>
                <c:ptCount val="4"/>
                <c:pt idx="0">
                  <c:v>BR2</c:v>
                </c:pt>
                <c:pt idx="1">
                  <c:v>BR3</c:v>
                </c:pt>
                <c:pt idx="2">
                  <c:v>BR4</c:v>
                </c:pt>
                <c:pt idx="3">
                  <c:v>BR5</c:v>
                </c:pt>
              </c:strCache>
            </c:strRef>
          </c:cat>
          <c:val>
            <c:numRef>
              <c:f>Sheet1!$C$5:$F$5</c:f>
              <c:numCache>
                <c:formatCode>General</c:formatCode>
                <c:ptCount val="4"/>
                <c:pt idx="0">
                  <c:v>36.479999999999997</c:v>
                </c:pt>
                <c:pt idx="1">
                  <c:v>43.02</c:v>
                </c:pt>
                <c:pt idx="2">
                  <c:v>50.05</c:v>
                </c:pt>
                <c:pt idx="3">
                  <c:v>50.45</c:v>
                </c:pt>
              </c:numCache>
            </c:numRef>
          </c:val>
          <c:extLst>
            <c:ext xmlns:c16="http://schemas.microsoft.com/office/drawing/2014/chart" uri="{C3380CC4-5D6E-409C-BE32-E72D297353CC}">
              <c16:uniqueId val="{00000007-9A52-4667-8157-BDA241030D9C}"/>
            </c:ext>
          </c:extLst>
        </c:ser>
        <c:ser>
          <c:idx val="8"/>
          <c:order val="8"/>
          <c:tx>
            <c:strRef>
              <c:f>Sheet1!$B$7</c:f>
              <c:strCache>
                <c:ptCount val="1"/>
                <c:pt idx="0">
                  <c:v>Medii anuale 2018</c:v>
                </c:pt>
              </c:strCache>
            </c:strRef>
          </c:tx>
          <c:invertIfNegative val="0"/>
          <c:cat>
            <c:strRef>
              <c:f>Sheet1!$C$1:$F$1</c:f>
              <c:strCache>
                <c:ptCount val="4"/>
                <c:pt idx="0">
                  <c:v>BR2</c:v>
                </c:pt>
                <c:pt idx="1">
                  <c:v>BR3</c:v>
                </c:pt>
                <c:pt idx="2">
                  <c:v>BR4</c:v>
                </c:pt>
                <c:pt idx="3">
                  <c:v>BR5</c:v>
                </c:pt>
              </c:strCache>
            </c:strRef>
          </c:cat>
          <c:val>
            <c:numRef>
              <c:f>Sheet1!$C$7:$F$7</c:f>
              <c:numCache>
                <c:formatCode>General</c:formatCode>
                <c:ptCount val="4"/>
                <c:pt idx="0">
                  <c:v>75.92</c:v>
                </c:pt>
                <c:pt idx="1">
                  <c:v>58.69</c:v>
                </c:pt>
                <c:pt idx="2">
                  <c:v>49.35</c:v>
                </c:pt>
              </c:numCache>
            </c:numRef>
          </c:val>
          <c:extLst>
            <c:ext xmlns:c16="http://schemas.microsoft.com/office/drawing/2014/chart" uri="{C3380CC4-5D6E-409C-BE32-E72D297353CC}">
              <c16:uniqueId val="{00000008-9A52-4667-8157-BDA241030D9C}"/>
            </c:ext>
          </c:extLst>
        </c:ser>
        <c:dLbls>
          <c:showLegendKey val="0"/>
          <c:showVal val="0"/>
          <c:showCatName val="0"/>
          <c:showSerName val="0"/>
          <c:showPercent val="0"/>
          <c:showBubbleSize val="0"/>
        </c:dLbls>
        <c:gapWidth val="340"/>
        <c:gapDepth val="0"/>
        <c:shape val="box"/>
        <c:axId val="224468352"/>
        <c:axId val="226059392"/>
        <c:axId val="0"/>
      </c:bar3DChart>
      <c:catAx>
        <c:axId val="224468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6059392"/>
        <c:crosses val="autoZero"/>
        <c:auto val="1"/>
        <c:lblAlgn val="ctr"/>
        <c:lblOffset val="100"/>
        <c:tickLblSkip val="1"/>
        <c:tickMarkSkip val="1"/>
        <c:noMultiLvlLbl val="0"/>
      </c:catAx>
      <c:valAx>
        <c:axId val="226059392"/>
        <c:scaling>
          <c:orientation val="minMax"/>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2.2830106762970964E-2"/>
              <c:y val="0.1724707940919149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4468352"/>
        <c:crosses val="autoZero"/>
        <c:crossBetween val="between"/>
      </c:valAx>
      <c:spPr>
        <a:noFill/>
        <a:ln w="25399">
          <a:noFill/>
        </a:ln>
      </c:spPr>
    </c:plotArea>
    <c:legend>
      <c:legendPos val="r"/>
      <c:legendEntry>
        <c:idx val="0"/>
        <c:delete val="1"/>
      </c:legendEntry>
      <c:legendEntry>
        <c:idx val="1"/>
        <c:delete val="1"/>
      </c:legendEntry>
      <c:legendEntry>
        <c:idx val="2"/>
        <c:delete val="1"/>
      </c:legendEntry>
      <c:legendEntry>
        <c:idx val="3"/>
        <c:delete val="1"/>
      </c:legendEntry>
      <c:layout>
        <c:manualLayout>
          <c:xMode val="edge"/>
          <c:yMode val="edge"/>
          <c:x val="0.75110196751721825"/>
          <c:y val="0.24636549843034636"/>
          <c:w val="0.21167406705740729"/>
          <c:h val="0.42182268001998979"/>
        </c:manualLayout>
      </c:layout>
      <c:overlay val="0"/>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545797651206024E-2"/>
          <c:y val="4.7855983650898923E-2"/>
          <c:w val="0.95614453756970408"/>
          <c:h val="0.81264050009016064"/>
        </c:manualLayout>
      </c:layout>
      <c:barChart>
        <c:barDir val="col"/>
        <c:grouping val="clustered"/>
        <c:varyColors val="0"/>
        <c:ser>
          <c:idx val="1"/>
          <c:order val="0"/>
          <c:tx>
            <c:strRef>
              <c:f>Sheet1!$A$2</c:f>
              <c:strCache>
                <c:ptCount val="1"/>
                <c:pt idx="0">
                  <c:v>Sediu APM</c:v>
                </c:pt>
              </c:strCache>
            </c:strRef>
          </c:tx>
          <c:spPr>
            <a:solidFill>
              <a:srgbClr val="993366"/>
            </a:solidFill>
            <a:ln w="9290">
              <a:solidFill>
                <a:srgbClr val="000000"/>
              </a:solidFill>
              <a:prstDash val="solid"/>
            </a:ln>
          </c:spPr>
          <c:invertIfNegative val="0"/>
          <c:cat>
            <c:strRef>
              <c:f>Sheet1!$B$1:$F$1</c:f>
              <c:strCache>
                <c:ptCount val="5"/>
                <c:pt idx="0">
                  <c:v>Medie an 2014</c:v>
                </c:pt>
                <c:pt idx="1">
                  <c:v>Media an 2015</c:v>
                </c:pt>
                <c:pt idx="2">
                  <c:v>Medie an 2016</c:v>
                </c:pt>
                <c:pt idx="3">
                  <c:v>medie an 2017</c:v>
                </c:pt>
                <c:pt idx="4">
                  <c:v>medie an 2018</c:v>
                </c:pt>
              </c:strCache>
            </c:strRef>
          </c:cat>
          <c:val>
            <c:numRef>
              <c:f>Sheet1!$B$2:$F$2</c:f>
              <c:numCache>
                <c:formatCode>General</c:formatCode>
                <c:ptCount val="5"/>
                <c:pt idx="0">
                  <c:v>4.24</c:v>
                </c:pt>
                <c:pt idx="1">
                  <c:v>4.78</c:v>
                </c:pt>
                <c:pt idx="2">
                  <c:v>3.28</c:v>
                </c:pt>
                <c:pt idx="3">
                  <c:v>3.29</c:v>
                </c:pt>
                <c:pt idx="4">
                  <c:v>3.14</c:v>
                </c:pt>
              </c:numCache>
            </c:numRef>
          </c:val>
          <c:extLst>
            <c:ext xmlns:c16="http://schemas.microsoft.com/office/drawing/2014/chart" uri="{C3380CC4-5D6E-409C-BE32-E72D297353CC}">
              <c16:uniqueId val="{00000000-DE73-4D65-9255-F6EC86237B40}"/>
            </c:ext>
          </c:extLst>
        </c:ser>
        <c:ser>
          <c:idx val="2"/>
          <c:order val="1"/>
          <c:tx>
            <c:strRef>
              <c:f>Sheet1!$A$3</c:f>
              <c:strCache>
                <c:ptCount val="1"/>
                <c:pt idx="0">
                  <c:v>Uzina de Apă</c:v>
                </c:pt>
              </c:strCache>
            </c:strRef>
          </c:tx>
          <c:spPr>
            <a:solidFill>
              <a:srgbClr val="FFFFCC"/>
            </a:solidFill>
            <a:ln w="9290">
              <a:solidFill>
                <a:srgbClr val="000000"/>
              </a:solidFill>
              <a:prstDash val="solid"/>
            </a:ln>
          </c:spPr>
          <c:invertIfNegative val="0"/>
          <c:cat>
            <c:strRef>
              <c:f>Sheet1!$B$1:$F$1</c:f>
              <c:strCache>
                <c:ptCount val="5"/>
                <c:pt idx="0">
                  <c:v>Medie an 2014</c:v>
                </c:pt>
                <c:pt idx="1">
                  <c:v>Media an 2015</c:v>
                </c:pt>
                <c:pt idx="2">
                  <c:v>Medie an 2016</c:v>
                </c:pt>
                <c:pt idx="3">
                  <c:v>medie an 2017</c:v>
                </c:pt>
                <c:pt idx="4">
                  <c:v>medie an 2018</c:v>
                </c:pt>
              </c:strCache>
            </c:strRef>
          </c:cat>
          <c:val>
            <c:numRef>
              <c:f>Sheet1!$B$3:$F$3</c:f>
              <c:numCache>
                <c:formatCode>General</c:formatCode>
                <c:ptCount val="5"/>
                <c:pt idx="0">
                  <c:v>6.23</c:v>
                </c:pt>
                <c:pt idx="1">
                  <c:v>5.14</c:v>
                </c:pt>
                <c:pt idx="2">
                  <c:v>8.2799999999999994</c:v>
                </c:pt>
                <c:pt idx="3">
                  <c:v>5.87</c:v>
                </c:pt>
                <c:pt idx="4">
                  <c:v>5.2</c:v>
                </c:pt>
              </c:numCache>
            </c:numRef>
          </c:val>
          <c:extLst>
            <c:ext xmlns:c16="http://schemas.microsoft.com/office/drawing/2014/chart" uri="{C3380CC4-5D6E-409C-BE32-E72D297353CC}">
              <c16:uniqueId val="{00000001-DE73-4D65-9255-F6EC86237B40}"/>
            </c:ext>
          </c:extLst>
        </c:ser>
        <c:ser>
          <c:idx val="3"/>
          <c:order val="2"/>
          <c:tx>
            <c:strRef>
              <c:f>Sheet1!$A$4</c:f>
              <c:strCache>
                <c:ptCount val="1"/>
                <c:pt idx="0">
                  <c:v>Vărsătura</c:v>
                </c:pt>
              </c:strCache>
            </c:strRef>
          </c:tx>
          <c:spPr>
            <a:solidFill>
              <a:srgbClr val="00FF00"/>
            </a:solidFill>
            <a:ln w="9290">
              <a:solidFill>
                <a:srgbClr val="000000"/>
              </a:solidFill>
              <a:prstDash val="solid"/>
            </a:ln>
          </c:spPr>
          <c:invertIfNegative val="0"/>
          <c:cat>
            <c:strRef>
              <c:f>Sheet1!$B$1:$F$1</c:f>
              <c:strCache>
                <c:ptCount val="5"/>
                <c:pt idx="0">
                  <c:v>Medie an 2014</c:v>
                </c:pt>
                <c:pt idx="1">
                  <c:v>Media an 2015</c:v>
                </c:pt>
                <c:pt idx="2">
                  <c:v>Medie an 2016</c:v>
                </c:pt>
                <c:pt idx="3">
                  <c:v>medie an 2017</c:v>
                </c:pt>
                <c:pt idx="4">
                  <c:v>medie an 2018</c:v>
                </c:pt>
              </c:strCache>
            </c:strRef>
          </c:cat>
          <c:val>
            <c:numRef>
              <c:f>Sheet1!$B$4:$F$4</c:f>
              <c:numCache>
                <c:formatCode>General</c:formatCode>
                <c:ptCount val="5"/>
                <c:pt idx="0">
                  <c:v>16.39</c:v>
                </c:pt>
                <c:pt idx="1">
                  <c:v>20.399999999999999</c:v>
                </c:pt>
                <c:pt idx="2">
                  <c:v>10.79</c:v>
                </c:pt>
                <c:pt idx="3">
                  <c:v>11.58</c:v>
                </c:pt>
                <c:pt idx="4">
                  <c:v>13.33</c:v>
                </c:pt>
              </c:numCache>
            </c:numRef>
          </c:val>
          <c:extLst>
            <c:ext xmlns:c16="http://schemas.microsoft.com/office/drawing/2014/chart" uri="{C3380CC4-5D6E-409C-BE32-E72D297353CC}">
              <c16:uniqueId val="{00000002-DE73-4D65-9255-F6EC86237B40}"/>
            </c:ext>
          </c:extLst>
        </c:ser>
        <c:ser>
          <c:idx val="4"/>
          <c:order val="3"/>
          <c:tx>
            <c:strRef>
              <c:f>Sheet1!$A$5</c:f>
              <c:strCache>
                <c:ptCount val="1"/>
                <c:pt idx="0">
                  <c:v>Str.Gen.Gh. Avramescu</c:v>
                </c:pt>
              </c:strCache>
            </c:strRef>
          </c:tx>
          <c:spPr>
            <a:solidFill>
              <a:srgbClr val="660066"/>
            </a:solidFill>
            <a:ln w="9290">
              <a:solidFill>
                <a:srgbClr val="000000"/>
              </a:solidFill>
              <a:prstDash val="solid"/>
            </a:ln>
          </c:spPr>
          <c:invertIfNegative val="0"/>
          <c:cat>
            <c:strRef>
              <c:f>Sheet1!$B$1:$F$1</c:f>
              <c:strCache>
                <c:ptCount val="5"/>
                <c:pt idx="0">
                  <c:v>Medie an 2014</c:v>
                </c:pt>
                <c:pt idx="1">
                  <c:v>Media an 2015</c:v>
                </c:pt>
                <c:pt idx="2">
                  <c:v>Medie an 2016</c:v>
                </c:pt>
                <c:pt idx="3">
                  <c:v>medie an 2017</c:v>
                </c:pt>
                <c:pt idx="4">
                  <c:v>medie an 2018</c:v>
                </c:pt>
              </c:strCache>
            </c:strRef>
          </c:cat>
          <c:val>
            <c:numRef>
              <c:f>Sheet1!$B$5:$F$5</c:f>
              <c:numCache>
                <c:formatCode>General</c:formatCode>
                <c:ptCount val="5"/>
                <c:pt idx="0">
                  <c:v>6.61</c:v>
                </c:pt>
                <c:pt idx="1">
                  <c:v>5.45</c:v>
                </c:pt>
                <c:pt idx="2">
                  <c:v>7.68</c:v>
                </c:pt>
                <c:pt idx="3">
                  <c:v>8.09</c:v>
                </c:pt>
                <c:pt idx="4">
                  <c:v>5.17</c:v>
                </c:pt>
              </c:numCache>
            </c:numRef>
          </c:val>
          <c:extLst>
            <c:ext xmlns:c16="http://schemas.microsoft.com/office/drawing/2014/chart" uri="{C3380CC4-5D6E-409C-BE32-E72D297353CC}">
              <c16:uniqueId val="{00000003-DE73-4D65-9255-F6EC86237B40}"/>
            </c:ext>
          </c:extLst>
        </c:ser>
        <c:ser>
          <c:idx val="5"/>
          <c:order val="4"/>
          <c:tx>
            <c:strRef>
              <c:f>Sheet1!$A$6</c:f>
              <c:strCache>
                <c:ptCount val="1"/>
                <c:pt idx="0">
                  <c:v>Stația Nord</c:v>
                </c:pt>
              </c:strCache>
            </c:strRef>
          </c:tx>
          <c:spPr>
            <a:solidFill>
              <a:srgbClr val="FF8080"/>
            </a:solidFill>
            <a:ln w="9290">
              <a:solidFill>
                <a:srgbClr val="000000"/>
              </a:solidFill>
              <a:prstDash val="solid"/>
            </a:ln>
          </c:spPr>
          <c:invertIfNegative val="0"/>
          <c:cat>
            <c:strRef>
              <c:f>Sheet1!$B$1:$F$1</c:f>
              <c:strCache>
                <c:ptCount val="5"/>
                <c:pt idx="0">
                  <c:v>Medie an 2014</c:v>
                </c:pt>
                <c:pt idx="1">
                  <c:v>Media an 2015</c:v>
                </c:pt>
                <c:pt idx="2">
                  <c:v>Medie an 2016</c:v>
                </c:pt>
                <c:pt idx="3">
                  <c:v>medie an 2017</c:v>
                </c:pt>
                <c:pt idx="4">
                  <c:v>medie an 2018</c:v>
                </c:pt>
              </c:strCache>
            </c:strRef>
          </c:cat>
          <c:val>
            <c:numRef>
              <c:f>Sheet1!$B$6:$F$6</c:f>
              <c:numCache>
                <c:formatCode>General</c:formatCode>
                <c:ptCount val="5"/>
                <c:pt idx="0">
                  <c:v>5.88</c:v>
                </c:pt>
                <c:pt idx="1">
                  <c:v>4.46</c:v>
                </c:pt>
                <c:pt idx="2">
                  <c:v>5.12</c:v>
                </c:pt>
                <c:pt idx="3">
                  <c:v>5.33</c:v>
                </c:pt>
                <c:pt idx="4">
                  <c:v>3.23</c:v>
                </c:pt>
              </c:numCache>
            </c:numRef>
          </c:val>
          <c:extLst>
            <c:ext xmlns:c16="http://schemas.microsoft.com/office/drawing/2014/chart" uri="{C3380CC4-5D6E-409C-BE32-E72D297353CC}">
              <c16:uniqueId val="{00000004-DE73-4D65-9255-F6EC86237B40}"/>
            </c:ext>
          </c:extLst>
        </c:ser>
        <c:ser>
          <c:idx val="0"/>
          <c:order val="5"/>
          <c:tx>
            <c:strRef>
              <c:f>Sheet1!$A$7</c:f>
              <c:strCache>
                <c:ptCount val="1"/>
                <c:pt idx="0">
                  <c:v>SC Hercules</c:v>
                </c:pt>
              </c:strCache>
            </c:strRef>
          </c:tx>
          <c:invertIfNegative val="0"/>
          <c:cat>
            <c:strRef>
              <c:f>Sheet1!$B$1:$F$1</c:f>
              <c:strCache>
                <c:ptCount val="5"/>
                <c:pt idx="0">
                  <c:v>Medie an 2014</c:v>
                </c:pt>
                <c:pt idx="1">
                  <c:v>Media an 2015</c:v>
                </c:pt>
                <c:pt idx="2">
                  <c:v>Medie an 2016</c:v>
                </c:pt>
                <c:pt idx="3">
                  <c:v>medie an 2017</c:v>
                </c:pt>
                <c:pt idx="4">
                  <c:v>medie an 2018</c:v>
                </c:pt>
              </c:strCache>
            </c:strRef>
          </c:cat>
          <c:val>
            <c:numRef>
              <c:f>Sheet1!$B$7:$F$7</c:f>
              <c:numCache>
                <c:formatCode>General</c:formatCode>
                <c:ptCount val="5"/>
                <c:pt idx="0">
                  <c:v>8.56</c:v>
                </c:pt>
                <c:pt idx="1">
                  <c:v>8.77</c:v>
                </c:pt>
                <c:pt idx="2">
                  <c:v>11.05</c:v>
                </c:pt>
                <c:pt idx="3">
                  <c:v>6.6</c:v>
                </c:pt>
                <c:pt idx="4">
                  <c:v>8.16</c:v>
                </c:pt>
              </c:numCache>
            </c:numRef>
          </c:val>
          <c:extLst>
            <c:ext xmlns:c16="http://schemas.microsoft.com/office/drawing/2014/chart" uri="{C3380CC4-5D6E-409C-BE32-E72D297353CC}">
              <c16:uniqueId val="{00000005-DE73-4D65-9255-F6EC86237B40}"/>
            </c:ext>
          </c:extLst>
        </c:ser>
        <c:ser>
          <c:idx val="6"/>
          <c:order val="6"/>
          <c:tx>
            <c:strRef>
              <c:f>Sheet1!$A$8</c:f>
              <c:strCache>
                <c:ptCount val="1"/>
                <c:pt idx="0">
                  <c:v>Termoelectrica Chiscani</c:v>
                </c:pt>
              </c:strCache>
            </c:strRef>
          </c:tx>
          <c:invertIfNegative val="0"/>
          <c:cat>
            <c:strRef>
              <c:f>Sheet1!$B$1:$F$1</c:f>
              <c:strCache>
                <c:ptCount val="5"/>
                <c:pt idx="0">
                  <c:v>Medie an 2014</c:v>
                </c:pt>
                <c:pt idx="1">
                  <c:v>Media an 2015</c:v>
                </c:pt>
                <c:pt idx="2">
                  <c:v>Medie an 2016</c:v>
                </c:pt>
                <c:pt idx="3">
                  <c:v>medie an 2017</c:v>
                </c:pt>
                <c:pt idx="4">
                  <c:v>medie an 2018</c:v>
                </c:pt>
              </c:strCache>
            </c:strRef>
          </c:cat>
          <c:val>
            <c:numRef>
              <c:f>Sheet1!$B$8:$F$8</c:f>
              <c:numCache>
                <c:formatCode>General</c:formatCode>
                <c:ptCount val="5"/>
                <c:pt idx="0">
                  <c:v>5.88</c:v>
                </c:pt>
                <c:pt idx="1">
                  <c:v>4.99</c:v>
                </c:pt>
                <c:pt idx="2">
                  <c:v>4.66</c:v>
                </c:pt>
                <c:pt idx="3">
                  <c:v>3.98</c:v>
                </c:pt>
                <c:pt idx="4">
                  <c:v>4.62</c:v>
                </c:pt>
              </c:numCache>
            </c:numRef>
          </c:val>
          <c:extLst>
            <c:ext xmlns:c16="http://schemas.microsoft.com/office/drawing/2014/chart" uri="{C3380CC4-5D6E-409C-BE32-E72D297353CC}">
              <c16:uniqueId val="{00000006-DE73-4D65-9255-F6EC86237B40}"/>
            </c:ext>
          </c:extLst>
        </c:ser>
        <c:ser>
          <c:idx val="7"/>
          <c:order val="7"/>
          <c:tx>
            <c:strRef>
              <c:f>Sheet1!$A$9</c:f>
              <c:strCache>
                <c:ptCount val="1"/>
                <c:pt idx="0">
                  <c:v>Str.Galați</c:v>
                </c:pt>
              </c:strCache>
            </c:strRef>
          </c:tx>
          <c:invertIfNegative val="0"/>
          <c:cat>
            <c:strRef>
              <c:f>Sheet1!$B$1:$F$1</c:f>
              <c:strCache>
                <c:ptCount val="5"/>
                <c:pt idx="0">
                  <c:v>Medie an 2014</c:v>
                </c:pt>
                <c:pt idx="1">
                  <c:v>Media an 2015</c:v>
                </c:pt>
                <c:pt idx="2">
                  <c:v>Medie an 2016</c:v>
                </c:pt>
                <c:pt idx="3">
                  <c:v>medie an 2017</c:v>
                </c:pt>
                <c:pt idx="4">
                  <c:v>medie an 2018</c:v>
                </c:pt>
              </c:strCache>
            </c:strRef>
          </c:cat>
          <c:val>
            <c:numRef>
              <c:f>Sheet1!$B$9:$F$9</c:f>
              <c:numCache>
                <c:formatCode>General</c:formatCode>
                <c:ptCount val="5"/>
                <c:pt idx="0">
                  <c:v>7.68</c:v>
                </c:pt>
                <c:pt idx="1">
                  <c:v>6.94</c:v>
                </c:pt>
                <c:pt idx="2">
                  <c:v>5.17</c:v>
                </c:pt>
                <c:pt idx="3">
                  <c:v>7.27</c:v>
                </c:pt>
                <c:pt idx="4">
                  <c:v>6.73</c:v>
                </c:pt>
              </c:numCache>
            </c:numRef>
          </c:val>
          <c:extLst>
            <c:ext xmlns:c16="http://schemas.microsoft.com/office/drawing/2014/chart" uri="{C3380CC4-5D6E-409C-BE32-E72D297353CC}">
              <c16:uniqueId val="{00000007-DE73-4D65-9255-F6EC86237B40}"/>
            </c:ext>
          </c:extLst>
        </c:ser>
        <c:ser>
          <c:idx val="8"/>
          <c:order val="8"/>
          <c:tx>
            <c:strRef>
              <c:f>Sheet1!$A$10</c:f>
              <c:strCache>
                <c:ptCount val="1"/>
                <c:pt idx="0">
                  <c:v>Cazasu</c:v>
                </c:pt>
              </c:strCache>
            </c:strRef>
          </c:tx>
          <c:invertIfNegative val="0"/>
          <c:cat>
            <c:strRef>
              <c:f>Sheet1!$B$1:$F$1</c:f>
              <c:strCache>
                <c:ptCount val="5"/>
                <c:pt idx="0">
                  <c:v>Medie an 2014</c:v>
                </c:pt>
                <c:pt idx="1">
                  <c:v>Media an 2015</c:v>
                </c:pt>
                <c:pt idx="2">
                  <c:v>Medie an 2016</c:v>
                </c:pt>
                <c:pt idx="3">
                  <c:v>medie an 2017</c:v>
                </c:pt>
                <c:pt idx="4">
                  <c:v>medie an 2018</c:v>
                </c:pt>
              </c:strCache>
            </c:strRef>
          </c:cat>
          <c:val>
            <c:numRef>
              <c:f>Sheet1!$B$10:$F$10</c:f>
              <c:numCache>
                <c:formatCode>General</c:formatCode>
                <c:ptCount val="5"/>
                <c:pt idx="0">
                  <c:v>4.07</c:v>
                </c:pt>
                <c:pt idx="1">
                  <c:v>4.75</c:v>
                </c:pt>
                <c:pt idx="2">
                  <c:v>6.93</c:v>
                </c:pt>
                <c:pt idx="3">
                  <c:v>4.47</c:v>
                </c:pt>
                <c:pt idx="4">
                  <c:v>3.86</c:v>
                </c:pt>
              </c:numCache>
            </c:numRef>
          </c:val>
          <c:extLst>
            <c:ext xmlns:c16="http://schemas.microsoft.com/office/drawing/2014/chart" uri="{C3380CC4-5D6E-409C-BE32-E72D297353CC}">
              <c16:uniqueId val="{00000008-DE73-4D65-9255-F6EC86237B40}"/>
            </c:ext>
          </c:extLst>
        </c:ser>
        <c:ser>
          <c:idx val="9"/>
          <c:order val="9"/>
          <c:tx>
            <c:strRef>
              <c:f>Sheet1!$A$11</c:f>
              <c:strCache>
                <c:ptCount val="1"/>
                <c:pt idx="0">
                  <c:v>Primaria Brăila</c:v>
                </c:pt>
              </c:strCache>
            </c:strRef>
          </c:tx>
          <c:invertIfNegative val="0"/>
          <c:cat>
            <c:strRef>
              <c:f>Sheet1!$B$1:$F$1</c:f>
              <c:strCache>
                <c:ptCount val="5"/>
                <c:pt idx="0">
                  <c:v>Medie an 2014</c:v>
                </c:pt>
                <c:pt idx="1">
                  <c:v>Media an 2015</c:v>
                </c:pt>
                <c:pt idx="2">
                  <c:v>Medie an 2016</c:v>
                </c:pt>
                <c:pt idx="3">
                  <c:v>medie an 2017</c:v>
                </c:pt>
                <c:pt idx="4">
                  <c:v>medie an 2018</c:v>
                </c:pt>
              </c:strCache>
            </c:strRef>
          </c:cat>
          <c:val>
            <c:numRef>
              <c:f>Sheet1!$B$11:$F$11</c:f>
              <c:numCache>
                <c:formatCode>General</c:formatCode>
                <c:ptCount val="5"/>
                <c:pt idx="0">
                  <c:v>10.07</c:v>
                </c:pt>
                <c:pt idx="1">
                  <c:v>7.31</c:v>
                </c:pt>
                <c:pt idx="2">
                  <c:v>7.45</c:v>
                </c:pt>
                <c:pt idx="3">
                  <c:v>5.42</c:v>
                </c:pt>
                <c:pt idx="4">
                  <c:v>5.22</c:v>
                </c:pt>
              </c:numCache>
            </c:numRef>
          </c:val>
          <c:extLst>
            <c:ext xmlns:c16="http://schemas.microsoft.com/office/drawing/2014/chart" uri="{C3380CC4-5D6E-409C-BE32-E72D297353CC}">
              <c16:uniqueId val="{00000009-DE73-4D65-9255-F6EC86237B40}"/>
            </c:ext>
          </c:extLst>
        </c:ser>
        <c:dLbls>
          <c:showLegendKey val="0"/>
          <c:showVal val="0"/>
          <c:showCatName val="0"/>
          <c:showSerName val="0"/>
          <c:showPercent val="0"/>
          <c:showBubbleSize val="0"/>
        </c:dLbls>
        <c:gapWidth val="150"/>
        <c:axId val="232166912"/>
        <c:axId val="232168448"/>
      </c:barChart>
      <c:catAx>
        <c:axId val="232166912"/>
        <c:scaling>
          <c:orientation val="minMax"/>
        </c:scaling>
        <c:delete val="0"/>
        <c:axPos val="b"/>
        <c:numFmt formatCode="#,##0.00" sourceLinked="0"/>
        <c:majorTickMark val="none"/>
        <c:minorTickMark val="none"/>
        <c:tickLblPos val="low"/>
        <c:spPr>
          <a:ln w="2322">
            <a:solidFill>
              <a:srgbClr val="000000"/>
            </a:solidFill>
            <a:prstDash val="solid"/>
          </a:ln>
        </c:spPr>
        <c:txPr>
          <a:bodyPr rot="0" vert="horz"/>
          <a:lstStyle/>
          <a:p>
            <a:pPr>
              <a:defRPr sz="1000" b="1" i="0" u="none" strike="noStrike" baseline="0">
                <a:solidFill>
                  <a:srgbClr val="000000"/>
                </a:solidFill>
                <a:latin typeface="Arial" pitchFamily="34" charset="0"/>
                <a:ea typeface="Calibri"/>
                <a:cs typeface="Arial" pitchFamily="34" charset="0"/>
              </a:defRPr>
            </a:pPr>
            <a:endParaRPr lang="ro-RO"/>
          </a:p>
        </c:txPr>
        <c:crossAx val="232168448"/>
        <c:crosses val="autoZero"/>
        <c:auto val="1"/>
        <c:lblAlgn val="ctr"/>
        <c:lblOffset val="100"/>
        <c:tickLblSkip val="1"/>
        <c:tickMarkSkip val="1"/>
        <c:noMultiLvlLbl val="0"/>
      </c:catAx>
      <c:valAx>
        <c:axId val="232168448"/>
        <c:scaling>
          <c:orientation val="minMax"/>
        </c:scaling>
        <c:delete val="0"/>
        <c:axPos val="l"/>
        <c:majorGridlines>
          <c:spPr>
            <a:ln w="2322">
              <a:solidFill>
                <a:srgbClr val="000000"/>
              </a:solidFill>
              <a:prstDash val="solid"/>
            </a:ln>
          </c:spPr>
        </c:majorGridlines>
        <c:numFmt formatCode="General" sourceLinked="1"/>
        <c:majorTickMark val="none"/>
        <c:minorTickMark val="none"/>
        <c:tickLblPos val="nextTo"/>
        <c:spPr>
          <a:ln w="2322">
            <a:solidFill>
              <a:srgbClr val="000000"/>
            </a:solidFill>
            <a:prstDash val="solid"/>
          </a:ln>
        </c:spPr>
        <c:txPr>
          <a:bodyPr rot="0" vert="horz"/>
          <a:lstStyle/>
          <a:p>
            <a:pPr>
              <a:defRPr sz="786" b="1" i="0" u="none" strike="noStrike" baseline="0">
                <a:solidFill>
                  <a:srgbClr val="000000"/>
                </a:solidFill>
                <a:latin typeface="Calibri"/>
                <a:ea typeface="Calibri"/>
                <a:cs typeface="Calibri"/>
              </a:defRPr>
            </a:pPr>
            <a:endParaRPr lang="ro-RO"/>
          </a:p>
        </c:txPr>
        <c:crossAx val="232166912"/>
        <c:crosses val="autoZero"/>
        <c:crossBetween val="between"/>
      </c:valAx>
      <c:spPr>
        <a:solidFill>
          <a:srgbClr val="C0C0C0"/>
        </a:solidFill>
        <a:ln w="9291">
          <a:solidFill>
            <a:srgbClr val="808080"/>
          </a:solidFill>
          <a:prstDash val="solid"/>
        </a:ln>
      </c:spPr>
    </c:plotArea>
    <c:plotVisOnly val="1"/>
    <c:dispBlanksAs val="gap"/>
    <c:showDLblsOverMax val="0"/>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50" b="0" i="0" u="none" strike="noStrike" kern="1200" cap="none" spc="50" normalizeH="0" baseline="0">
                <a:solidFill>
                  <a:schemeClr val="tx1">
                    <a:lumMod val="65000"/>
                    <a:lumOff val="35000"/>
                  </a:schemeClr>
                </a:solidFill>
                <a:latin typeface="Arial" panose="020B0604020202020204" pitchFamily="34" charset="0"/>
                <a:ea typeface="+mj-ea"/>
                <a:cs typeface="Arial" panose="020B0604020202020204" pitchFamily="34" charset="0"/>
              </a:defRPr>
            </a:pPr>
            <a:r>
              <a:rPr lang="ro-RO" sz="850" b="1">
                <a:solidFill>
                  <a:schemeClr val="tx1"/>
                </a:solidFill>
                <a:latin typeface="Arial" panose="020B0604020202020204" pitchFamily="34" charset="0"/>
                <a:cs typeface="Arial" panose="020B0604020202020204" pitchFamily="34" charset="0"/>
              </a:rPr>
              <a:t>Calitatea precipitatiilor</a:t>
            </a:r>
          </a:p>
          <a:p>
            <a:pPr>
              <a:defRPr sz="850">
                <a:latin typeface="Arial" panose="020B0604020202020204" pitchFamily="34" charset="0"/>
                <a:cs typeface="Arial" panose="020B0604020202020204" pitchFamily="34" charset="0"/>
              </a:defRPr>
            </a:pPr>
            <a:r>
              <a:rPr lang="ro-RO" sz="850" b="1">
                <a:solidFill>
                  <a:schemeClr val="tx1"/>
                </a:solidFill>
                <a:latin typeface="Arial" panose="020B0604020202020204" pitchFamily="34" charset="0"/>
                <a:cs typeface="Arial" panose="020B0604020202020204" pitchFamily="34" charset="0"/>
              </a:rPr>
              <a:t>Valoarea</a:t>
            </a:r>
            <a:r>
              <a:rPr lang="ro-RO" sz="850" b="1" baseline="0">
                <a:solidFill>
                  <a:schemeClr val="tx1"/>
                </a:solidFill>
                <a:latin typeface="Arial" panose="020B0604020202020204" pitchFamily="34" charset="0"/>
                <a:cs typeface="Arial" panose="020B0604020202020204" pitchFamily="34" charset="0"/>
              </a:rPr>
              <a:t> minima si maxima pH 2014-2018</a:t>
            </a:r>
            <a:endParaRPr lang="ro-RO" sz="85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850" b="0" i="0" u="none" strike="noStrike" kern="1200" cap="none" spc="50" normalizeH="0" baseline="0">
              <a:solidFill>
                <a:schemeClr val="tx1">
                  <a:lumMod val="65000"/>
                  <a:lumOff val="35000"/>
                </a:schemeClr>
              </a:solidFill>
              <a:latin typeface="Arial" panose="020B0604020202020204" pitchFamily="34" charset="0"/>
              <a:ea typeface="+mj-ea"/>
              <a:cs typeface="Arial" panose="020B0604020202020204" pitchFamily="34" charset="0"/>
            </a:defRPr>
          </a:pPr>
          <a:endParaRPr lang="ro-RO"/>
        </a:p>
      </c:txPr>
    </c:title>
    <c:autoTitleDeleted val="0"/>
    <c:plotArea>
      <c:layout/>
      <c:barChart>
        <c:barDir val="col"/>
        <c:grouping val="clustered"/>
        <c:varyColors val="0"/>
        <c:ser>
          <c:idx val="0"/>
          <c:order val="0"/>
          <c:tx>
            <c:strRef>
              <c:f>Foaie1!$B$1</c:f>
              <c:strCache>
                <c:ptCount val="1"/>
                <c:pt idx="0">
                  <c:v>Ph-Valoare medie anuala</c:v>
                </c:pt>
              </c:strCache>
            </c:strRef>
          </c:tx>
          <c:spPr>
            <a:solidFill>
              <a:schemeClr val="accent1">
                <a:alpha val="70000"/>
              </a:schemeClr>
            </a:solidFill>
            <a:ln>
              <a:noFill/>
            </a:ln>
            <a:effectLst/>
          </c:spPr>
          <c:invertIfNegative val="0"/>
          <c:cat>
            <c:numRef>
              <c:f>Foaie1!$A$2:$A$6</c:f>
              <c:numCache>
                <c:formatCode>General</c:formatCode>
                <c:ptCount val="5"/>
                <c:pt idx="0">
                  <c:v>2014</c:v>
                </c:pt>
                <c:pt idx="1">
                  <c:v>2015</c:v>
                </c:pt>
                <c:pt idx="2">
                  <c:v>2016</c:v>
                </c:pt>
                <c:pt idx="3">
                  <c:v>2017</c:v>
                </c:pt>
                <c:pt idx="4">
                  <c:v>2018</c:v>
                </c:pt>
              </c:numCache>
            </c:numRef>
          </c:cat>
          <c:val>
            <c:numRef>
              <c:f>Foaie1!$B$2:$B$6</c:f>
              <c:numCache>
                <c:formatCode>General</c:formatCode>
                <c:ptCount val="5"/>
                <c:pt idx="0">
                  <c:v>6.9</c:v>
                </c:pt>
                <c:pt idx="1">
                  <c:v>6.92</c:v>
                </c:pt>
                <c:pt idx="2">
                  <c:v>6.3</c:v>
                </c:pt>
                <c:pt idx="3">
                  <c:v>7.32</c:v>
                </c:pt>
                <c:pt idx="4">
                  <c:v>7.3</c:v>
                </c:pt>
              </c:numCache>
            </c:numRef>
          </c:val>
          <c:extLst>
            <c:ext xmlns:c16="http://schemas.microsoft.com/office/drawing/2014/chart" uri="{C3380CC4-5D6E-409C-BE32-E72D297353CC}">
              <c16:uniqueId val="{00000000-5F69-4AB2-8216-06ABC97C190C}"/>
            </c:ext>
          </c:extLst>
        </c:ser>
        <c:ser>
          <c:idx val="1"/>
          <c:order val="1"/>
          <c:tx>
            <c:strRef>
              <c:f>Foaie1!$C$1</c:f>
              <c:strCache>
                <c:ptCount val="1"/>
                <c:pt idx="0">
                  <c:v>Ph-Valoare minima anuala</c:v>
                </c:pt>
              </c:strCache>
            </c:strRef>
          </c:tx>
          <c:spPr>
            <a:solidFill>
              <a:schemeClr val="accent2">
                <a:alpha val="70000"/>
              </a:schemeClr>
            </a:solidFill>
            <a:ln>
              <a:noFill/>
            </a:ln>
            <a:effectLst/>
          </c:spPr>
          <c:invertIfNegative val="0"/>
          <c:cat>
            <c:numRef>
              <c:f>Foaie1!$A$2:$A$6</c:f>
              <c:numCache>
                <c:formatCode>General</c:formatCode>
                <c:ptCount val="5"/>
                <c:pt idx="0">
                  <c:v>2014</c:v>
                </c:pt>
                <c:pt idx="1">
                  <c:v>2015</c:v>
                </c:pt>
                <c:pt idx="2">
                  <c:v>2016</c:v>
                </c:pt>
                <c:pt idx="3">
                  <c:v>2017</c:v>
                </c:pt>
                <c:pt idx="4">
                  <c:v>2018</c:v>
                </c:pt>
              </c:numCache>
            </c:numRef>
          </c:cat>
          <c:val>
            <c:numRef>
              <c:f>Foaie1!$C$2:$C$6</c:f>
              <c:numCache>
                <c:formatCode>General</c:formatCode>
                <c:ptCount val="5"/>
                <c:pt idx="0">
                  <c:v>6.15</c:v>
                </c:pt>
                <c:pt idx="1">
                  <c:v>6.6</c:v>
                </c:pt>
                <c:pt idx="2">
                  <c:v>6.05</c:v>
                </c:pt>
                <c:pt idx="3">
                  <c:v>6.19</c:v>
                </c:pt>
                <c:pt idx="4">
                  <c:v>6.51</c:v>
                </c:pt>
              </c:numCache>
            </c:numRef>
          </c:val>
          <c:extLst>
            <c:ext xmlns:c16="http://schemas.microsoft.com/office/drawing/2014/chart" uri="{C3380CC4-5D6E-409C-BE32-E72D297353CC}">
              <c16:uniqueId val="{00000001-5F69-4AB2-8216-06ABC97C190C}"/>
            </c:ext>
          </c:extLst>
        </c:ser>
        <c:dLbls>
          <c:showLegendKey val="0"/>
          <c:showVal val="0"/>
          <c:showCatName val="0"/>
          <c:showSerName val="0"/>
          <c:showPercent val="0"/>
          <c:showBubbleSize val="0"/>
        </c:dLbls>
        <c:gapWidth val="80"/>
        <c:overlap val="25"/>
        <c:axId val="671147296"/>
        <c:axId val="671145000"/>
      </c:barChart>
      <c:catAx>
        <c:axId val="6711472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o-RO"/>
          </a:p>
        </c:txPr>
        <c:crossAx val="671145000"/>
        <c:crosses val="autoZero"/>
        <c:auto val="1"/>
        <c:lblAlgn val="ctr"/>
        <c:lblOffset val="100"/>
        <c:noMultiLvlLbl val="0"/>
      </c:catAx>
      <c:valAx>
        <c:axId val="6711450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o-RO"/>
          </a:p>
        </c:txPr>
        <c:crossAx val="67114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gradFill>
      <a:gsLst>
        <a:gs pos="0">
          <a:schemeClr val="accent1">
            <a:lumMod val="5000"/>
            <a:lumOff val="95000"/>
          </a:schemeClr>
        </a:gs>
        <a:gs pos="41000">
          <a:schemeClr val="accent1">
            <a:lumMod val="45000"/>
            <a:lumOff val="55000"/>
          </a:schemeClr>
        </a:gs>
        <a:gs pos="60000">
          <a:schemeClr val="accent1">
            <a:lumMod val="45000"/>
            <a:lumOff val="55000"/>
          </a:schemeClr>
        </a:gs>
        <a:gs pos="87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60972"/>
          <c:h val="0.60487804878050244"/>
        </c:manualLayout>
      </c:layout>
      <c:bar3DChart>
        <c:barDir val="col"/>
        <c:grouping val="clustered"/>
        <c:varyColors val="0"/>
        <c:ser>
          <c:idx val="7"/>
          <c:order val="0"/>
          <c:tx>
            <c:strRef>
              <c:f>Sheet1!$A$2</c:f>
              <c:strCache>
                <c:ptCount val="1"/>
                <c:pt idx="0">
                  <c:v>Medii anuale 2018 BR4- Valoare orientativa</c:v>
                </c:pt>
              </c:strCache>
            </c:strRef>
          </c:tx>
          <c:invertIfNegative val="0"/>
          <c:cat>
            <c:strRef>
              <c:f>Sheet1!$B$1:$F$1</c:f>
              <c:strCache>
                <c:ptCount val="5"/>
                <c:pt idx="0">
                  <c:v>BR1</c:v>
                </c:pt>
                <c:pt idx="1">
                  <c:v>BR2</c:v>
                </c:pt>
                <c:pt idx="2">
                  <c:v>BR3</c:v>
                </c:pt>
                <c:pt idx="3">
                  <c:v>BR4</c:v>
                </c:pt>
                <c:pt idx="4">
                  <c:v>BR5</c:v>
                </c:pt>
              </c:strCache>
            </c:strRef>
          </c:cat>
          <c:val>
            <c:numRef>
              <c:f>Sheet1!$B$2:$F$2</c:f>
              <c:numCache>
                <c:formatCode>General</c:formatCode>
                <c:ptCount val="5"/>
                <c:pt idx="0">
                  <c:v>5.84</c:v>
                </c:pt>
                <c:pt idx="1">
                  <c:v>6.27</c:v>
                </c:pt>
                <c:pt idx="2">
                  <c:v>5.4</c:v>
                </c:pt>
                <c:pt idx="3">
                  <c:v>5.04</c:v>
                </c:pt>
                <c:pt idx="4">
                  <c:v>3.74</c:v>
                </c:pt>
              </c:numCache>
            </c:numRef>
          </c:val>
          <c:extLst>
            <c:ext xmlns:c16="http://schemas.microsoft.com/office/drawing/2014/chart" uri="{C3380CC4-5D6E-409C-BE32-E72D297353CC}">
              <c16:uniqueId val="{00000000-7ED8-469E-B7BA-3998B0806F39}"/>
            </c:ext>
          </c:extLst>
        </c:ser>
        <c:dLbls>
          <c:showLegendKey val="0"/>
          <c:showVal val="0"/>
          <c:showCatName val="0"/>
          <c:showSerName val="0"/>
          <c:showPercent val="0"/>
          <c:showBubbleSize val="0"/>
        </c:dLbls>
        <c:gapWidth val="290"/>
        <c:gapDepth val="0"/>
        <c:shape val="box"/>
        <c:axId val="225604736"/>
        <c:axId val="225636736"/>
        <c:axId val="0"/>
      </c:bar3DChart>
      <c:catAx>
        <c:axId val="225604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5636736"/>
        <c:crosses val="autoZero"/>
        <c:auto val="1"/>
        <c:lblAlgn val="ctr"/>
        <c:lblOffset val="100"/>
        <c:tickLblSkip val="1"/>
        <c:tickMarkSkip val="1"/>
        <c:noMultiLvlLbl val="0"/>
      </c:catAx>
      <c:valAx>
        <c:axId val="22563673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7457853347079262E-2"/>
              <c:y val="0.1463414515046112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5604736"/>
        <c:crosses val="autoZero"/>
        <c:crossBetween val="between"/>
      </c:valAx>
      <c:spPr>
        <a:noFill/>
        <a:ln w="25399">
          <a:noFill/>
        </a:ln>
      </c:spPr>
    </c:plotArea>
    <c:legend>
      <c:legendPos val="r"/>
      <c:layout>
        <c:manualLayout>
          <c:xMode val="edge"/>
          <c:yMode val="edge"/>
          <c:x val="0.76863422432728179"/>
          <c:y val="0.31113617774522856"/>
          <c:w val="0.19205187586845765"/>
          <c:h val="0.2078104710595386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200" baseline="0">
                <a:latin typeface="Arial" pitchFamily="34" charset="0"/>
              </a:defRPr>
            </a:pPr>
            <a:r>
              <a:rPr lang="ro-RO" sz="1200" baseline="0">
                <a:latin typeface="Arial" pitchFamily="34" charset="0"/>
              </a:rPr>
              <a:t>Contribuția sectoarelor de activitate din energie la emisiile de poluanți cu efect de acidifiere </a:t>
            </a:r>
          </a:p>
        </c:rich>
      </c:tx>
      <c:layout>
        <c:manualLayout>
          <c:xMode val="edge"/>
          <c:yMode val="edge"/>
          <c:x val="0.10788257690964596"/>
          <c:y val="0"/>
        </c:manualLayout>
      </c:layout>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Nox</c:v>
                </c:pt>
              </c:strCache>
            </c:strRef>
          </c:tx>
          <c:invertIfNegative val="0"/>
          <c:cat>
            <c:strRef>
              <c:f>Sheet1!$A$2:$A$4</c:f>
              <c:strCache>
                <c:ptCount val="3"/>
                <c:pt idx="0">
                  <c:v>Producția de energie electrica și termică</c:v>
                </c:pt>
                <c:pt idx="1">
                  <c:v>Arderi pentru metale </c:v>
                </c:pt>
                <c:pt idx="2">
                  <c:v>Încălzire instituții</c:v>
                </c:pt>
              </c:strCache>
            </c:strRef>
          </c:cat>
          <c:val>
            <c:numRef>
              <c:f>Sheet1!$B$2:$B$4</c:f>
              <c:numCache>
                <c:formatCode>General</c:formatCode>
                <c:ptCount val="3"/>
                <c:pt idx="0">
                  <c:v>0</c:v>
                </c:pt>
                <c:pt idx="1">
                  <c:v>4.4000000000000003E-3</c:v>
                </c:pt>
                <c:pt idx="2">
                  <c:v>5.0000000000000001E-3</c:v>
                </c:pt>
              </c:numCache>
            </c:numRef>
          </c:val>
          <c:extLst>
            <c:ext xmlns:c16="http://schemas.microsoft.com/office/drawing/2014/chart" uri="{C3380CC4-5D6E-409C-BE32-E72D297353CC}">
              <c16:uniqueId val="{00000000-4D28-4C8B-98E8-81ED625973B6}"/>
            </c:ext>
          </c:extLst>
        </c:ser>
        <c:ser>
          <c:idx val="1"/>
          <c:order val="1"/>
          <c:tx>
            <c:strRef>
              <c:f>Sheet1!$C$1</c:f>
              <c:strCache>
                <c:ptCount val="1"/>
                <c:pt idx="0">
                  <c:v>SO2</c:v>
                </c:pt>
              </c:strCache>
            </c:strRef>
          </c:tx>
          <c:invertIfNegative val="0"/>
          <c:cat>
            <c:strRef>
              <c:f>Sheet1!$A$2:$A$4</c:f>
              <c:strCache>
                <c:ptCount val="3"/>
                <c:pt idx="0">
                  <c:v>Producția de energie electrica și termică</c:v>
                </c:pt>
                <c:pt idx="1">
                  <c:v>Arderi pentru metale </c:v>
                </c:pt>
                <c:pt idx="2">
                  <c:v>Încălzire instituții</c:v>
                </c:pt>
              </c:strCache>
            </c:strRef>
          </c:cat>
          <c:val>
            <c:numRef>
              <c:f>Sheet1!$C$2:$C$4</c:f>
              <c:numCache>
                <c:formatCode>General</c:formatCode>
                <c:ptCount val="3"/>
                <c:pt idx="0">
                  <c:v>0</c:v>
                </c:pt>
                <c:pt idx="1">
                  <c:v>1.1E-5</c:v>
                </c:pt>
                <c:pt idx="2">
                  <c:v>5.9999999999999995E-4</c:v>
                </c:pt>
              </c:numCache>
            </c:numRef>
          </c:val>
          <c:extLst>
            <c:ext xmlns:c16="http://schemas.microsoft.com/office/drawing/2014/chart" uri="{C3380CC4-5D6E-409C-BE32-E72D297353CC}">
              <c16:uniqueId val="{00000001-4D28-4C8B-98E8-81ED625973B6}"/>
            </c:ext>
          </c:extLst>
        </c:ser>
        <c:ser>
          <c:idx val="2"/>
          <c:order val="2"/>
          <c:tx>
            <c:strRef>
              <c:f>Sheet1!$D$1</c:f>
              <c:strCache>
                <c:ptCount val="1"/>
                <c:pt idx="0">
                  <c:v>NH3</c:v>
                </c:pt>
              </c:strCache>
            </c:strRef>
          </c:tx>
          <c:invertIfNegative val="0"/>
          <c:cat>
            <c:strRef>
              <c:f>Sheet1!$A$2:$A$4</c:f>
              <c:strCache>
                <c:ptCount val="3"/>
                <c:pt idx="0">
                  <c:v>Producția de energie electrica și termică</c:v>
                </c:pt>
                <c:pt idx="1">
                  <c:v>Arderi pentru metale </c:v>
                </c:pt>
                <c:pt idx="2">
                  <c:v>Încălzire instituții</c:v>
                </c:pt>
              </c:strCache>
            </c:strRef>
          </c:cat>
          <c:val>
            <c:numRef>
              <c:f>Sheet1!$D$2:$D$4</c:f>
              <c:numCache>
                <c:formatCode>General</c:formatCode>
                <c:ptCount val="3"/>
                <c:pt idx="0">
                  <c:v>0</c:v>
                </c:pt>
                <c:pt idx="1">
                  <c:v>3.8000000000000002E-5</c:v>
                </c:pt>
                <c:pt idx="2">
                  <c:v>4.0000000000000001E-3</c:v>
                </c:pt>
              </c:numCache>
            </c:numRef>
          </c:val>
          <c:extLst>
            <c:ext xmlns:c16="http://schemas.microsoft.com/office/drawing/2014/chart" uri="{C3380CC4-5D6E-409C-BE32-E72D297353CC}">
              <c16:uniqueId val="{00000002-4D28-4C8B-98E8-81ED625973B6}"/>
            </c:ext>
          </c:extLst>
        </c:ser>
        <c:dLbls>
          <c:showLegendKey val="0"/>
          <c:showVal val="0"/>
          <c:showCatName val="0"/>
          <c:showSerName val="0"/>
          <c:showPercent val="0"/>
          <c:showBubbleSize val="0"/>
        </c:dLbls>
        <c:gapWidth val="150"/>
        <c:shape val="cylinder"/>
        <c:axId val="234064128"/>
        <c:axId val="234094592"/>
        <c:axId val="0"/>
      </c:bar3DChart>
      <c:catAx>
        <c:axId val="234064128"/>
        <c:scaling>
          <c:orientation val="minMax"/>
        </c:scaling>
        <c:delete val="0"/>
        <c:axPos val="b"/>
        <c:numFmt formatCode="General" sourceLinked="1"/>
        <c:majorTickMark val="none"/>
        <c:minorTickMark val="none"/>
        <c:tickLblPos val="nextTo"/>
        <c:txPr>
          <a:bodyPr/>
          <a:lstStyle/>
          <a:p>
            <a:pPr>
              <a:defRPr lang="en-US"/>
            </a:pPr>
            <a:endParaRPr lang="ro-RO"/>
          </a:p>
        </c:txPr>
        <c:crossAx val="234094592"/>
        <c:crossesAt val="0"/>
        <c:auto val="1"/>
        <c:lblAlgn val="ctr"/>
        <c:lblOffset val="100"/>
        <c:noMultiLvlLbl val="0"/>
      </c:catAx>
      <c:valAx>
        <c:axId val="234094592"/>
        <c:scaling>
          <c:orientation val="minMax"/>
        </c:scaling>
        <c:delete val="0"/>
        <c:axPos val="l"/>
        <c:title>
          <c:tx>
            <c:rich>
              <a:bodyPr rot="0" vert="horz"/>
              <a:lstStyle/>
              <a:p>
                <a:pPr>
                  <a:defRPr lang="en-US"/>
                </a:pPr>
                <a:r>
                  <a:rPr lang="ro-RO"/>
                  <a:t>%</a:t>
                </a:r>
              </a:p>
            </c:rich>
          </c:tx>
          <c:layout>
            <c:manualLayout>
              <c:xMode val="edge"/>
              <c:yMode val="edge"/>
              <c:x val="0.14886778637648931"/>
              <c:y val="0.13551506349890721"/>
            </c:manualLayout>
          </c:layout>
          <c:overlay val="0"/>
        </c:title>
        <c:numFmt formatCode="General" sourceLinked="1"/>
        <c:majorTickMark val="none"/>
        <c:minorTickMark val="none"/>
        <c:tickLblPos val="nextTo"/>
        <c:txPr>
          <a:bodyPr/>
          <a:lstStyle/>
          <a:p>
            <a:pPr>
              <a:defRPr lang="en-US"/>
            </a:pPr>
            <a:endParaRPr lang="ro-RO"/>
          </a:p>
        </c:txPr>
        <c:crossAx val="234064128"/>
        <c:crosses val="autoZero"/>
        <c:crossBetween val="between"/>
        <c:majorUnit val="2.0000000000000014E-2"/>
      </c:val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din energie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strRef>
              <c:f>Sheet1!$A$2:$A$4</c:f>
              <c:strCache>
                <c:ptCount val="3"/>
                <c:pt idx="0">
                  <c:v>Producția de energie electrica și termică</c:v>
                </c:pt>
                <c:pt idx="1">
                  <c:v>Arderi pentru metale </c:v>
                </c:pt>
                <c:pt idx="2">
                  <c:v>Încălzire instituții</c:v>
                </c:pt>
              </c:strCache>
            </c:strRef>
          </c:cat>
          <c:val>
            <c:numRef>
              <c:f>Sheet1!$B$2:$B$4</c:f>
              <c:numCache>
                <c:formatCode>General</c:formatCode>
                <c:ptCount val="3"/>
                <c:pt idx="0">
                  <c:v>0</c:v>
                </c:pt>
                <c:pt idx="1">
                  <c:v>4.4000000000000003E-3</c:v>
                </c:pt>
                <c:pt idx="2">
                  <c:v>5.0000000000000001E-3</c:v>
                </c:pt>
              </c:numCache>
            </c:numRef>
          </c:val>
          <c:extLst>
            <c:ext xmlns:c16="http://schemas.microsoft.com/office/drawing/2014/chart" uri="{C3380CC4-5D6E-409C-BE32-E72D297353CC}">
              <c16:uniqueId val="{00000000-6992-4F91-B917-AC4E46BD5C4F}"/>
            </c:ext>
          </c:extLst>
        </c:ser>
        <c:ser>
          <c:idx val="1"/>
          <c:order val="1"/>
          <c:tx>
            <c:strRef>
              <c:f>Sheet1!$C$1</c:f>
              <c:strCache>
                <c:ptCount val="1"/>
                <c:pt idx="0">
                  <c:v>NMCOV</c:v>
                </c:pt>
              </c:strCache>
            </c:strRef>
          </c:tx>
          <c:invertIfNegative val="0"/>
          <c:cat>
            <c:strRef>
              <c:f>Sheet1!$A$2:$A$4</c:f>
              <c:strCache>
                <c:ptCount val="3"/>
                <c:pt idx="0">
                  <c:v>Producția de energie electrica și termică</c:v>
                </c:pt>
                <c:pt idx="1">
                  <c:v>Arderi pentru metale </c:v>
                </c:pt>
                <c:pt idx="2">
                  <c:v>Încălzire instituții</c:v>
                </c:pt>
              </c:strCache>
            </c:strRef>
          </c:cat>
          <c:val>
            <c:numRef>
              <c:f>Sheet1!$C$2:$C$4</c:f>
              <c:numCache>
                <c:formatCode>General</c:formatCode>
                <c:ptCount val="3"/>
                <c:pt idx="0">
                  <c:v>0</c:v>
                </c:pt>
                <c:pt idx="1">
                  <c:v>5.0000000000000002E-5</c:v>
                </c:pt>
                <c:pt idx="2">
                  <c:v>0.03</c:v>
                </c:pt>
              </c:numCache>
            </c:numRef>
          </c:val>
          <c:extLst>
            <c:ext xmlns:c16="http://schemas.microsoft.com/office/drawing/2014/chart" uri="{C3380CC4-5D6E-409C-BE32-E72D297353CC}">
              <c16:uniqueId val="{00000001-6992-4F91-B917-AC4E46BD5C4F}"/>
            </c:ext>
          </c:extLst>
        </c:ser>
        <c:ser>
          <c:idx val="2"/>
          <c:order val="2"/>
          <c:tx>
            <c:strRef>
              <c:f>Sheet1!$D$1</c:f>
              <c:strCache>
                <c:ptCount val="1"/>
                <c:pt idx="0">
                  <c:v>CO</c:v>
                </c:pt>
              </c:strCache>
            </c:strRef>
          </c:tx>
          <c:invertIfNegative val="0"/>
          <c:cat>
            <c:strRef>
              <c:f>Sheet1!$A$2:$A$4</c:f>
              <c:strCache>
                <c:ptCount val="3"/>
                <c:pt idx="0">
                  <c:v>Producția de energie electrica și termică</c:v>
                </c:pt>
                <c:pt idx="1">
                  <c:v>Arderi pentru metale </c:v>
                </c:pt>
                <c:pt idx="2">
                  <c:v>Încălzire instituții</c:v>
                </c:pt>
              </c:strCache>
            </c:strRef>
          </c:cat>
          <c:val>
            <c:numRef>
              <c:f>Sheet1!$D$2:$D$4</c:f>
              <c:numCache>
                <c:formatCode>General</c:formatCode>
                <c:ptCount val="3"/>
                <c:pt idx="0">
                  <c:v>0</c:v>
                </c:pt>
                <c:pt idx="1">
                  <c:v>2E-3</c:v>
                </c:pt>
                <c:pt idx="2">
                  <c:v>0.2</c:v>
                </c:pt>
              </c:numCache>
            </c:numRef>
          </c:val>
          <c:extLst>
            <c:ext xmlns:c16="http://schemas.microsoft.com/office/drawing/2014/chart" uri="{C3380CC4-5D6E-409C-BE32-E72D297353CC}">
              <c16:uniqueId val="{00000002-6992-4F91-B917-AC4E46BD5C4F}"/>
            </c:ext>
          </c:extLst>
        </c:ser>
        <c:dLbls>
          <c:showLegendKey val="0"/>
          <c:showVal val="0"/>
          <c:showCatName val="0"/>
          <c:showSerName val="0"/>
          <c:showPercent val="0"/>
          <c:showBubbleSize val="0"/>
        </c:dLbls>
        <c:gapWidth val="150"/>
        <c:shape val="cone"/>
        <c:axId val="234157952"/>
        <c:axId val="234159488"/>
        <c:axId val="225616768"/>
      </c:bar3DChart>
      <c:catAx>
        <c:axId val="234157952"/>
        <c:scaling>
          <c:orientation val="minMax"/>
        </c:scaling>
        <c:delete val="0"/>
        <c:axPos val="b"/>
        <c:numFmt formatCode="General" sourceLinked="1"/>
        <c:majorTickMark val="none"/>
        <c:minorTickMark val="none"/>
        <c:tickLblPos val="nextTo"/>
        <c:txPr>
          <a:bodyPr/>
          <a:lstStyle/>
          <a:p>
            <a:pPr>
              <a:defRPr lang="en-US"/>
            </a:pPr>
            <a:endParaRPr lang="ro-RO"/>
          </a:p>
        </c:txPr>
        <c:crossAx val="234159488"/>
        <c:crossesAt val="0"/>
        <c:auto val="1"/>
        <c:lblAlgn val="ctr"/>
        <c:lblOffset val="100"/>
        <c:noMultiLvlLbl val="0"/>
      </c:catAx>
      <c:valAx>
        <c:axId val="234159488"/>
        <c:scaling>
          <c:orientation val="minMax"/>
          <c:max val="7.0000000000000021E-2"/>
          <c:min val="0"/>
        </c:scaling>
        <c:delete val="0"/>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9.2623543552383267E-2"/>
              <c:y val="0.20639896467235241"/>
            </c:manualLayout>
          </c:layout>
          <c:overlay val="0"/>
        </c:title>
        <c:numFmt formatCode="General" sourceLinked="1"/>
        <c:majorTickMark val="none"/>
        <c:minorTickMark val="none"/>
        <c:tickLblPos val="nextTo"/>
        <c:spPr>
          <a:noFill/>
        </c:spPr>
        <c:txPr>
          <a:bodyPr/>
          <a:lstStyle/>
          <a:p>
            <a:pPr>
              <a:defRPr lang="en-US"/>
            </a:pPr>
            <a:endParaRPr lang="ro-RO"/>
          </a:p>
        </c:txPr>
        <c:crossAx val="234157952"/>
        <c:crosses val="autoZero"/>
        <c:crossBetween val="between"/>
      </c:valAx>
      <c:serAx>
        <c:axId val="225616768"/>
        <c:scaling>
          <c:orientation val="minMax"/>
        </c:scaling>
        <c:delete val="1"/>
        <c:axPos val="b"/>
        <c:majorTickMark val="out"/>
        <c:minorTickMark val="none"/>
        <c:tickLblPos val="none"/>
        <c:crossAx val="234159488"/>
        <c:crossesAt val="0"/>
      </c:serAx>
    </c:plotArea>
    <c:legend>
      <c:legendPos val="r"/>
      <c:overlay val="0"/>
      <c:txPr>
        <a:bodyPr/>
        <a:lstStyle/>
        <a:p>
          <a:pPr>
            <a:defRPr lang="en-US"/>
          </a:pPr>
          <a:endParaRPr lang="ro-RO"/>
        </a:p>
      </c:txPr>
    </c:legend>
    <c:plotVisOnly val="1"/>
    <c:dispBlanksAs val="gap"/>
    <c:showDLblsOverMax val="0"/>
  </c:chart>
  <c:spPr>
    <a:ln w="0">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particule primare în suspensie</a:t>
            </a:r>
            <a:endParaRPr lang="ro-RO" sz="1200" baseline="0">
              <a:latin typeface="Arial"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PM2,5</c:v>
                </c:pt>
              </c:strCache>
            </c:strRef>
          </c:tx>
          <c:invertIfNegative val="0"/>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4.1999999999999998E-5</c:v>
                </c:pt>
                <c:pt idx="2">
                  <c:v>0.04</c:v>
                </c:pt>
              </c:numCache>
            </c:numRef>
          </c:val>
          <c:extLst>
            <c:ext xmlns:c16="http://schemas.microsoft.com/office/drawing/2014/chart" uri="{C3380CC4-5D6E-409C-BE32-E72D297353CC}">
              <c16:uniqueId val="{00000000-BE23-4FFC-93EB-3B9D3FBE9294}"/>
            </c:ext>
          </c:extLst>
        </c:ser>
        <c:ser>
          <c:idx val="1"/>
          <c:order val="1"/>
          <c:tx>
            <c:strRef>
              <c:f>Sheet1!$C$1</c:f>
              <c:strCache>
                <c:ptCount val="1"/>
                <c:pt idx="0">
                  <c:v>PM10</c:v>
                </c:pt>
              </c:strCache>
            </c:strRef>
          </c:tx>
          <c:invertIfNegative val="0"/>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4.0000000000000003E-5</c:v>
                </c:pt>
                <c:pt idx="2">
                  <c:v>3.9E-2</c:v>
                </c:pt>
              </c:numCache>
            </c:numRef>
          </c:val>
          <c:extLst>
            <c:ext xmlns:c16="http://schemas.microsoft.com/office/drawing/2014/chart" uri="{C3380CC4-5D6E-409C-BE32-E72D297353CC}">
              <c16:uniqueId val="{00000001-BE23-4FFC-93EB-3B9D3FBE9294}"/>
            </c:ext>
          </c:extLst>
        </c:ser>
        <c:dLbls>
          <c:showLegendKey val="0"/>
          <c:showVal val="0"/>
          <c:showCatName val="0"/>
          <c:showSerName val="0"/>
          <c:showPercent val="0"/>
          <c:showBubbleSize val="0"/>
        </c:dLbls>
        <c:gapWidth val="150"/>
        <c:shape val="cone"/>
        <c:axId val="234383232"/>
        <c:axId val="234384768"/>
        <c:axId val="226166528"/>
      </c:bar3DChart>
      <c:catAx>
        <c:axId val="234383232"/>
        <c:scaling>
          <c:orientation val="minMax"/>
        </c:scaling>
        <c:delete val="0"/>
        <c:axPos val="b"/>
        <c:numFmt formatCode="General" sourceLinked="1"/>
        <c:majorTickMark val="none"/>
        <c:minorTickMark val="none"/>
        <c:tickLblPos val="nextTo"/>
        <c:txPr>
          <a:bodyPr/>
          <a:lstStyle/>
          <a:p>
            <a:pPr>
              <a:defRPr lang="en-US"/>
            </a:pPr>
            <a:endParaRPr lang="ro-RO"/>
          </a:p>
        </c:txPr>
        <c:crossAx val="234384768"/>
        <c:crossesAt val="0"/>
        <c:auto val="1"/>
        <c:lblAlgn val="ctr"/>
        <c:lblOffset val="100"/>
        <c:noMultiLvlLbl val="0"/>
      </c:catAx>
      <c:valAx>
        <c:axId val="234384768"/>
        <c:scaling>
          <c:orientation val="minMax"/>
        </c:scaling>
        <c:delete val="0"/>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8.2654696200358146E-2"/>
              <c:y val="0.22117274121897892"/>
            </c:manualLayout>
          </c:layout>
          <c:overlay val="0"/>
        </c:title>
        <c:numFmt formatCode="General" sourceLinked="1"/>
        <c:majorTickMark val="none"/>
        <c:minorTickMark val="none"/>
        <c:tickLblPos val="nextTo"/>
        <c:spPr>
          <a:noFill/>
        </c:spPr>
        <c:txPr>
          <a:bodyPr/>
          <a:lstStyle/>
          <a:p>
            <a:pPr>
              <a:defRPr lang="en-US"/>
            </a:pPr>
            <a:endParaRPr lang="ro-RO"/>
          </a:p>
        </c:txPr>
        <c:crossAx val="234383232"/>
        <c:crosses val="autoZero"/>
        <c:crossBetween val="between"/>
      </c:valAx>
      <c:serAx>
        <c:axId val="226166528"/>
        <c:scaling>
          <c:orientation val="minMax"/>
        </c:scaling>
        <c:delete val="1"/>
        <c:axPos val="b"/>
        <c:majorTickMark val="out"/>
        <c:minorTickMark val="none"/>
        <c:tickLblPos val="none"/>
        <c:crossAx val="234384768"/>
        <c:crossesAt val="0"/>
      </c:serAx>
    </c:plotArea>
    <c:legend>
      <c:legendPos val="r"/>
      <c:overlay val="0"/>
      <c:txPr>
        <a:bodyPr/>
        <a:lstStyle/>
        <a:p>
          <a:pPr>
            <a:defRPr lang="en-US"/>
          </a:pPr>
          <a:endParaRPr lang="ro-RO"/>
        </a:p>
      </c:tx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metale grele</a:t>
            </a:r>
            <a:endParaRPr lang="ro-RO" sz="1200" baseline="0">
              <a:latin typeface="Arial"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Pb</c:v>
                </c:pt>
              </c:strCache>
            </c:strRef>
          </c:tx>
          <c:invertIfNegative val="0"/>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Sheet1!$B$2:$B$5</c:f>
              <c:numCache>
                <c:formatCode>General</c:formatCode>
                <c:ptCount val="4"/>
                <c:pt idx="0">
                  <c:v>0</c:v>
                </c:pt>
                <c:pt idx="1">
                  <c:v>3E-9</c:v>
                </c:pt>
                <c:pt idx="2">
                  <c:v>0</c:v>
                </c:pt>
                <c:pt idx="3">
                  <c:v>1.3999999999999999E-6</c:v>
                </c:pt>
              </c:numCache>
            </c:numRef>
          </c:val>
          <c:extLst>
            <c:ext xmlns:c16="http://schemas.microsoft.com/office/drawing/2014/chart" uri="{C3380CC4-5D6E-409C-BE32-E72D297353CC}">
              <c16:uniqueId val="{00000000-024E-48B0-9D9E-8EE61840664B}"/>
            </c:ext>
          </c:extLst>
        </c:ser>
        <c:ser>
          <c:idx val="1"/>
          <c:order val="1"/>
          <c:tx>
            <c:strRef>
              <c:f>Sheet1!$C$1</c:f>
              <c:strCache>
                <c:ptCount val="1"/>
                <c:pt idx="0">
                  <c:v>Cd</c:v>
                </c:pt>
              </c:strCache>
            </c:strRef>
          </c:tx>
          <c:invertIfNegative val="0"/>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Sheet1!$C$2:$C$5</c:f>
              <c:numCache>
                <c:formatCode>General</c:formatCode>
                <c:ptCount val="4"/>
                <c:pt idx="0">
                  <c:v>0</c:v>
                </c:pt>
                <c:pt idx="1">
                  <c:v>1.0000000000000001E-9</c:v>
                </c:pt>
                <c:pt idx="2">
                  <c:v>0</c:v>
                </c:pt>
                <c:pt idx="3">
                  <c:v>6.9999999999999997E-7</c:v>
                </c:pt>
              </c:numCache>
            </c:numRef>
          </c:val>
          <c:extLst>
            <c:ext xmlns:c16="http://schemas.microsoft.com/office/drawing/2014/chart" uri="{C3380CC4-5D6E-409C-BE32-E72D297353CC}">
              <c16:uniqueId val="{00000001-024E-48B0-9D9E-8EE61840664B}"/>
            </c:ext>
          </c:extLst>
        </c:ser>
        <c:ser>
          <c:idx val="2"/>
          <c:order val="2"/>
          <c:tx>
            <c:strRef>
              <c:f>Sheet1!$D$1</c:f>
              <c:strCache>
                <c:ptCount val="1"/>
                <c:pt idx="0">
                  <c:v>Hg</c:v>
                </c:pt>
              </c:strCache>
            </c:strRef>
          </c:tx>
          <c:invertIfNegative val="0"/>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Sheet1!$D$2:$D$5</c:f>
              <c:numCache>
                <c:formatCode>General</c:formatCode>
                <c:ptCount val="4"/>
                <c:pt idx="0">
                  <c:v>0</c:v>
                </c:pt>
                <c:pt idx="1">
                  <c:v>6E-9</c:v>
                </c:pt>
                <c:pt idx="2">
                  <c:v>0</c:v>
                </c:pt>
                <c:pt idx="3">
                  <c:v>2.9999999999999997E-8</c:v>
                </c:pt>
              </c:numCache>
            </c:numRef>
          </c:val>
          <c:extLst>
            <c:ext xmlns:c16="http://schemas.microsoft.com/office/drawing/2014/chart" uri="{C3380CC4-5D6E-409C-BE32-E72D297353CC}">
              <c16:uniqueId val="{00000002-024E-48B0-9D9E-8EE61840664B}"/>
            </c:ext>
          </c:extLst>
        </c:ser>
        <c:dLbls>
          <c:showLegendKey val="0"/>
          <c:showVal val="0"/>
          <c:showCatName val="0"/>
          <c:showSerName val="0"/>
          <c:showPercent val="0"/>
          <c:showBubbleSize val="0"/>
        </c:dLbls>
        <c:gapWidth val="150"/>
        <c:shape val="cone"/>
        <c:axId val="226400896"/>
        <c:axId val="231911808"/>
        <c:axId val="226209792"/>
      </c:bar3DChart>
      <c:catAx>
        <c:axId val="226400896"/>
        <c:scaling>
          <c:orientation val="minMax"/>
        </c:scaling>
        <c:delete val="0"/>
        <c:axPos val="b"/>
        <c:numFmt formatCode="General" sourceLinked="1"/>
        <c:majorTickMark val="none"/>
        <c:minorTickMark val="none"/>
        <c:tickLblPos val="nextTo"/>
        <c:txPr>
          <a:bodyPr/>
          <a:lstStyle/>
          <a:p>
            <a:pPr>
              <a:defRPr lang="en-US"/>
            </a:pPr>
            <a:endParaRPr lang="ro-RO"/>
          </a:p>
        </c:txPr>
        <c:crossAx val="231911808"/>
        <c:crossesAt val="0"/>
        <c:auto val="1"/>
        <c:lblAlgn val="ctr"/>
        <c:lblOffset val="100"/>
        <c:noMultiLvlLbl val="0"/>
      </c:catAx>
      <c:valAx>
        <c:axId val="231911808"/>
        <c:scaling>
          <c:orientation val="minMax"/>
        </c:scaling>
        <c:delete val="0"/>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0.12253012677212829"/>
              <c:y val="0.20270564583682746"/>
            </c:manualLayout>
          </c:layout>
          <c:overlay val="0"/>
        </c:title>
        <c:numFmt formatCode="General" sourceLinked="1"/>
        <c:majorTickMark val="none"/>
        <c:minorTickMark val="none"/>
        <c:tickLblPos val="nextTo"/>
        <c:spPr>
          <a:noFill/>
        </c:spPr>
        <c:txPr>
          <a:bodyPr/>
          <a:lstStyle/>
          <a:p>
            <a:pPr>
              <a:defRPr lang="en-US"/>
            </a:pPr>
            <a:endParaRPr lang="ro-RO"/>
          </a:p>
        </c:txPr>
        <c:crossAx val="226400896"/>
        <c:crosses val="autoZero"/>
        <c:crossBetween val="between"/>
        <c:majorUnit val="1.5000000000000083E-6"/>
        <c:minorUnit val="3.0000000000000195E-7"/>
      </c:valAx>
      <c:serAx>
        <c:axId val="226209792"/>
        <c:scaling>
          <c:orientation val="minMax"/>
        </c:scaling>
        <c:delete val="1"/>
        <c:axPos val="b"/>
        <c:majorTickMark val="out"/>
        <c:minorTickMark val="none"/>
        <c:tickLblPos val="none"/>
        <c:crossAx val="231911808"/>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PAH</c:v>
                </c:pt>
              </c:strCache>
            </c:strRef>
          </c:tx>
          <c:invertIfNegative val="0"/>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934B-4A22-9EEB-3EB84B2B76CF}"/>
            </c:ext>
          </c:extLst>
        </c:ser>
        <c:ser>
          <c:idx val="1"/>
          <c:order val="1"/>
          <c:tx>
            <c:strRef>
              <c:f>Sheet1!$C$1</c:f>
              <c:strCache>
                <c:ptCount val="1"/>
                <c:pt idx="0">
                  <c:v>PCBs</c:v>
                </c:pt>
              </c:strCache>
            </c:strRef>
          </c:tx>
          <c:invertIfNegative val="0"/>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5E-15</c:v>
                </c:pt>
                <c:pt idx="2">
                  <c:v>3E-11</c:v>
                </c:pt>
              </c:numCache>
            </c:numRef>
          </c:val>
          <c:extLst>
            <c:ext xmlns:c16="http://schemas.microsoft.com/office/drawing/2014/chart" uri="{C3380CC4-5D6E-409C-BE32-E72D297353CC}">
              <c16:uniqueId val="{00000001-934B-4A22-9EEB-3EB84B2B76CF}"/>
            </c:ext>
          </c:extLst>
        </c:ser>
        <c:dLbls>
          <c:showLegendKey val="0"/>
          <c:showVal val="0"/>
          <c:showCatName val="0"/>
          <c:showSerName val="0"/>
          <c:showPercent val="0"/>
          <c:showBubbleSize val="0"/>
        </c:dLbls>
        <c:gapWidth val="150"/>
        <c:shape val="cone"/>
        <c:axId val="240736896"/>
        <c:axId val="240742784"/>
        <c:axId val="226444160"/>
      </c:bar3DChart>
      <c:catAx>
        <c:axId val="240736896"/>
        <c:scaling>
          <c:orientation val="minMax"/>
        </c:scaling>
        <c:delete val="0"/>
        <c:axPos val="b"/>
        <c:numFmt formatCode="General" sourceLinked="1"/>
        <c:majorTickMark val="out"/>
        <c:minorTickMark val="none"/>
        <c:tickLblPos val="nextTo"/>
        <c:txPr>
          <a:bodyPr/>
          <a:lstStyle/>
          <a:p>
            <a:pPr>
              <a:defRPr lang="en-US"/>
            </a:pPr>
            <a:endParaRPr lang="ro-RO"/>
          </a:p>
        </c:txPr>
        <c:crossAx val="240742784"/>
        <c:crossesAt val="0"/>
        <c:auto val="1"/>
        <c:lblAlgn val="ctr"/>
        <c:lblOffset val="100"/>
        <c:noMultiLvlLbl val="0"/>
      </c:catAx>
      <c:valAx>
        <c:axId val="240742784"/>
        <c:scaling>
          <c:orientation val="minMax"/>
          <c:max val="5.0000000000000039E-15"/>
          <c:min val="0"/>
        </c:scaling>
        <c:delete val="0"/>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9.7607967228395501E-2"/>
              <c:y val="0.24333340603892745"/>
            </c:manualLayout>
          </c:layout>
          <c:overlay val="0"/>
        </c:title>
        <c:numFmt formatCode="General" sourceLinked="0"/>
        <c:majorTickMark val="out"/>
        <c:minorTickMark val="none"/>
        <c:tickLblPos val="nextTo"/>
        <c:spPr>
          <a:noFill/>
        </c:spPr>
        <c:txPr>
          <a:bodyPr/>
          <a:lstStyle/>
          <a:p>
            <a:pPr>
              <a:defRPr lang="en-US"/>
            </a:pPr>
            <a:endParaRPr lang="ro-RO"/>
          </a:p>
        </c:txPr>
        <c:crossAx val="240736896"/>
        <c:crosses val="autoZero"/>
        <c:crossBetween val="between"/>
        <c:majorUnit val="5.0000000000000039E-15"/>
      </c:valAx>
      <c:serAx>
        <c:axId val="226444160"/>
        <c:scaling>
          <c:orientation val="minMax"/>
        </c:scaling>
        <c:delete val="0"/>
        <c:axPos val="b"/>
        <c:majorTickMark val="out"/>
        <c:minorTickMark val="none"/>
        <c:tickLblPos val="nextTo"/>
        <c:crossAx val="240742784"/>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lang="en-US" sz="1200" baseline="0">
                <a:latin typeface="Arial" pitchFamily="34" charset="0"/>
              </a:defRPr>
            </a:pPr>
            <a:r>
              <a:rPr lang="ro-RO" sz="1200" baseline="0">
                <a:latin typeface="Arial" pitchFamily="34" charset="0"/>
              </a:rPr>
              <a:t>Contribuția sectoarelor de activitate la emisiile de poluanți cu efect de acidifiere </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strRef>
              <c:f>Sheet1!$A$2:$A$5</c:f>
              <c:strCache>
                <c:ptCount val="4"/>
                <c:pt idx="0">
                  <c:v>Energie</c:v>
                </c:pt>
                <c:pt idx="1">
                  <c:v>Transporturi</c:v>
                </c:pt>
                <c:pt idx="2">
                  <c:v>Procese industriale</c:v>
                </c:pt>
                <c:pt idx="3">
                  <c:v>Agricultură</c:v>
                </c:pt>
              </c:strCache>
            </c:strRef>
          </c:cat>
          <c:val>
            <c:numRef>
              <c:f>Sheet1!$B$2:$B$5</c:f>
              <c:numCache>
                <c:formatCode>General</c:formatCode>
                <c:ptCount val="4"/>
                <c:pt idx="0">
                  <c:v>0</c:v>
                </c:pt>
                <c:pt idx="1">
                  <c:v>0.48</c:v>
                </c:pt>
                <c:pt idx="2">
                  <c:v>4.4000000000000003E-3</c:v>
                </c:pt>
                <c:pt idx="3">
                  <c:v>0</c:v>
                </c:pt>
              </c:numCache>
            </c:numRef>
          </c:val>
          <c:extLst>
            <c:ext xmlns:c16="http://schemas.microsoft.com/office/drawing/2014/chart" uri="{C3380CC4-5D6E-409C-BE32-E72D297353CC}">
              <c16:uniqueId val="{00000000-33D9-4177-9412-0EEC9B25E5E8}"/>
            </c:ext>
          </c:extLst>
        </c:ser>
        <c:ser>
          <c:idx val="1"/>
          <c:order val="1"/>
          <c:tx>
            <c:strRef>
              <c:f>Sheet1!$C$1</c:f>
              <c:strCache>
                <c:ptCount val="1"/>
                <c:pt idx="0">
                  <c:v>SO2</c:v>
                </c:pt>
              </c:strCache>
            </c:strRef>
          </c:tx>
          <c:invertIfNegative val="0"/>
          <c:cat>
            <c:strRef>
              <c:f>Sheet1!$A$2:$A$5</c:f>
              <c:strCache>
                <c:ptCount val="4"/>
                <c:pt idx="0">
                  <c:v>Energie</c:v>
                </c:pt>
                <c:pt idx="1">
                  <c:v>Transporturi</c:v>
                </c:pt>
                <c:pt idx="2">
                  <c:v>Procese industriale</c:v>
                </c:pt>
                <c:pt idx="3">
                  <c:v>Agricultură</c:v>
                </c:pt>
              </c:strCache>
            </c:strRef>
          </c:cat>
          <c:val>
            <c:numRef>
              <c:f>Sheet1!$C$2:$C$5</c:f>
              <c:numCache>
                <c:formatCode>General</c:formatCode>
                <c:ptCount val="4"/>
                <c:pt idx="0">
                  <c:v>0</c:v>
                </c:pt>
                <c:pt idx="1">
                  <c:v>0</c:v>
                </c:pt>
                <c:pt idx="2">
                  <c:v>1.1E-5</c:v>
                </c:pt>
                <c:pt idx="3">
                  <c:v>0</c:v>
                </c:pt>
              </c:numCache>
            </c:numRef>
          </c:val>
          <c:extLst>
            <c:ext xmlns:c16="http://schemas.microsoft.com/office/drawing/2014/chart" uri="{C3380CC4-5D6E-409C-BE32-E72D297353CC}">
              <c16:uniqueId val="{00000001-33D9-4177-9412-0EEC9B25E5E8}"/>
            </c:ext>
          </c:extLst>
        </c:ser>
        <c:dLbls>
          <c:showLegendKey val="0"/>
          <c:showVal val="0"/>
          <c:showCatName val="0"/>
          <c:showSerName val="0"/>
          <c:showPercent val="0"/>
          <c:showBubbleSize val="0"/>
        </c:dLbls>
        <c:gapWidth val="150"/>
        <c:shape val="cone"/>
        <c:axId val="240773760"/>
        <c:axId val="240796032"/>
        <c:axId val="226445952"/>
      </c:bar3DChart>
      <c:catAx>
        <c:axId val="240773760"/>
        <c:scaling>
          <c:orientation val="minMax"/>
        </c:scaling>
        <c:delete val="0"/>
        <c:axPos val="b"/>
        <c:numFmt formatCode="General" sourceLinked="1"/>
        <c:majorTickMark val="none"/>
        <c:minorTickMark val="none"/>
        <c:tickLblPos val="nextTo"/>
        <c:txPr>
          <a:bodyPr/>
          <a:lstStyle/>
          <a:p>
            <a:pPr>
              <a:defRPr lang="en-US"/>
            </a:pPr>
            <a:endParaRPr lang="ro-RO"/>
          </a:p>
        </c:txPr>
        <c:crossAx val="240796032"/>
        <c:crossesAt val="0"/>
        <c:auto val="1"/>
        <c:lblAlgn val="ctr"/>
        <c:lblOffset val="100"/>
        <c:noMultiLvlLbl val="0"/>
      </c:catAx>
      <c:valAx>
        <c:axId val="240796032"/>
        <c:scaling>
          <c:orientation val="minMax"/>
        </c:scaling>
        <c:delete val="0"/>
        <c:axPos val="l"/>
        <c:title>
          <c:tx>
            <c:rich>
              <a:bodyPr rot="0" vert="horz"/>
              <a:lstStyle/>
              <a:p>
                <a:pPr>
                  <a:defRPr lang="en-US"/>
                </a:pPr>
                <a:r>
                  <a:rPr lang="ro-RO"/>
                  <a:t>%</a:t>
                </a:r>
              </a:p>
            </c:rich>
          </c:tx>
          <c:layout>
            <c:manualLayout>
              <c:xMode val="edge"/>
              <c:yMode val="edge"/>
              <c:x val="0.10508460274241532"/>
              <c:y val="0.1990120763990374"/>
            </c:manualLayout>
          </c:layout>
          <c:overlay val="0"/>
        </c:title>
        <c:numFmt formatCode="General" sourceLinked="1"/>
        <c:majorTickMark val="none"/>
        <c:minorTickMark val="none"/>
        <c:tickLblPos val="nextTo"/>
        <c:txPr>
          <a:bodyPr/>
          <a:lstStyle/>
          <a:p>
            <a:pPr>
              <a:defRPr lang="en-US"/>
            </a:pPr>
            <a:endParaRPr lang="ro-RO"/>
          </a:p>
        </c:txPr>
        <c:crossAx val="240773760"/>
        <c:crosses val="autoZero"/>
        <c:crossBetween val="between"/>
        <c:majorUnit val="0.5"/>
        <c:minorUnit val="4.0000000000000117E-6"/>
      </c:valAx>
      <c:serAx>
        <c:axId val="226445952"/>
        <c:scaling>
          <c:orientation val="minMax"/>
        </c:scaling>
        <c:delete val="1"/>
        <c:axPos val="b"/>
        <c:majorTickMark val="out"/>
        <c:minorTickMark val="none"/>
        <c:tickLblPos val="none"/>
        <c:crossAx val="240796032"/>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lang="en-US" sz="1200" baseline="0">
                <a:latin typeface="Arial" pitchFamily="34" charset="0"/>
              </a:defRPr>
            </a:pPr>
            <a:r>
              <a:rPr lang="ro-RO" sz="1200" baseline="0">
                <a:latin typeface="Arial" pitchFamily="34" charset="0"/>
              </a:rPr>
              <a:t>Contribuția sectoarelor de activitate din industrie la emisiile de poluanți cu efect de acidifiere </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1"/>
          <c:order val="0"/>
          <c:tx>
            <c:strRef>
              <c:f>Sheet1!$C$1</c:f>
              <c:strCache>
                <c:ptCount val="1"/>
                <c:pt idx="0">
                  <c:v>Nox</c:v>
                </c:pt>
              </c:strCache>
            </c:strRef>
          </c:tx>
          <c:invertIfNegative val="0"/>
          <c:cat>
            <c:strRef>
              <c:f>Sheet1!$A$2</c:f>
              <c:strCache>
                <c:ptCount val="1"/>
                <c:pt idx="0">
                  <c:v>Producția de fier și oțel</c:v>
                </c:pt>
              </c:strCache>
            </c:strRef>
          </c:cat>
          <c:val>
            <c:numRef>
              <c:f>Sheet1!$C$2</c:f>
              <c:numCache>
                <c:formatCode>General</c:formatCode>
                <c:ptCount val="1"/>
                <c:pt idx="0">
                  <c:v>4.4000000000000003E-3</c:v>
                </c:pt>
              </c:numCache>
            </c:numRef>
          </c:val>
          <c:extLst>
            <c:ext xmlns:c16="http://schemas.microsoft.com/office/drawing/2014/chart" uri="{C3380CC4-5D6E-409C-BE32-E72D297353CC}">
              <c16:uniqueId val="{00000000-1F3E-40B6-9752-230C9EA4289D}"/>
            </c:ext>
          </c:extLst>
        </c:ser>
        <c:ser>
          <c:idx val="2"/>
          <c:order val="1"/>
          <c:tx>
            <c:strRef>
              <c:f>Sheet1!$D$1</c:f>
              <c:strCache>
                <c:ptCount val="1"/>
                <c:pt idx="0">
                  <c:v>SO2</c:v>
                </c:pt>
              </c:strCache>
            </c:strRef>
          </c:tx>
          <c:invertIfNegative val="0"/>
          <c:cat>
            <c:strRef>
              <c:f>Sheet1!$A$2</c:f>
              <c:strCache>
                <c:ptCount val="1"/>
                <c:pt idx="0">
                  <c:v>Producția de fier și oțel</c:v>
                </c:pt>
              </c:strCache>
            </c:strRef>
          </c:cat>
          <c:val>
            <c:numRef>
              <c:f>Sheet1!$D$2</c:f>
              <c:numCache>
                <c:formatCode>General</c:formatCode>
                <c:ptCount val="1"/>
                <c:pt idx="0">
                  <c:v>1.1000000000000001E-6</c:v>
                </c:pt>
              </c:numCache>
            </c:numRef>
          </c:val>
          <c:extLst>
            <c:ext xmlns:c16="http://schemas.microsoft.com/office/drawing/2014/chart" uri="{C3380CC4-5D6E-409C-BE32-E72D297353CC}">
              <c16:uniqueId val="{00000001-1F3E-40B6-9752-230C9EA4289D}"/>
            </c:ext>
          </c:extLst>
        </c:ser>
        <c:ser>
          <c:idx val="3"/>
          <c:order val="2"/>
          <c:tx>
            <c:strRef>
              <c:f>Sheet1!$B$1</c:f>
              <c:strCache>
                <c:ptCount val="1"/>
                <c:pt idx="0">
                  <c:v>NH3</c:v>
                </c:pt>
              </c:strCache>
            </c:strRef>
          </c:tx>
          <c:invertIfNegative val="0"/>
          <c:cat>
            <c:strRef>
              <c:f>Sheet1!$A$2</c:f>
              <c:strCache>
                <c:ptCount val="1"/>
                <c:pt idx="0">
                  <c:v>Producția de fier și oțel</c:v>
                </c:pt>
              </c:strCache>
            </c:strRef>
          </c:cat>
          <c:val>
            <c:numRef>
              <c:f>Sheet1!$B$2</c:f>
              <c:numCache>
                <c:formatCode>General</c:formatCode>
                <c:ptCount val="1"/>
                <c:pt idx="0">
                  <c:v>3.9999999999999998E-6</c:v>
                </c:pt>
              </c:numCache>
            </c:numRef>
          </c:val>
          <c:extLst>
            <c:ext xmlns:c16="http://schemas.microsoft.com/office/drawing/2014/chart" uri="{C3380CC4-5D6E-409C-BE32-E72D297353CC}">
              <c16:uniqueId val="{00000002-1F3E-40B6-9752-230C9EA4289D}"/>
            </c:ext>
          </c:extLst>
        </c:ser>
        <c:dLbls>
          <c:showLegendKey val="0"/>
          <c:showVal val="0"/>
          <c:showCatName val="0"/>
          <c:showSerName val="0"/>
          <c:showPercent val="0"/>
          <c:showBubbleSize val="0"/>
        </c:dLbls>
        <c:gapWidth val="150"/>
        <c:shape val="cone"/>
        <c:axId val="240827776"/>
        <c:axId val="240907392"/>
        <c:axId val="232011968"/>
      </c:bar3DChart>
      <c:catAx>
        <c:axId val="240827776"/>
        <c:scaling>
          <c:orientation val="minMax"/>
        </c:scaling>
        <c:delete val="0"/>
        <c:axPos val="b"/>
        <c:numFmt formatCode="General" sourceLinked="1"/>
        <c:majorTickMark val="none"/>
        <c:minorTickMark val="none"/>
        <c:tickLblPos val="nextTo"/>
        <c:txPr>
          <a:bodyPr/>
          <a:lstStyle/>
          <a:p>
            <a:pPr>
              <a:defRPr lang="en-US"/>
            </a:pPr>
            <a:endParaRPr lang="ro-RO"/>
          </a:p>
        </c:txPr>
        <c:crossAx val="240907392"/>
        <c:crossesAt val="0"/>
        <c:auto val="1"/>
        <c:lblAlgn val="ctr"/>
        <c:lblOffset val="100"/>
        <c:noMultiLvlLbl val="0"/>
      </c:catAx>
      <c:valAx>
        <c:axId val="240907392"/>
        <c:scaling>
          <c:orientation val="minMax"/>
        </c:scaling>
        <c:delete val="0"/>
        <c:axPos val="l"/>
        <c:title>
          <c:tx>
            <c:rich>
              <a:bodyPr rot="0" vert="horz"/>
              <a:lstStyle/>
              <a:p>
                <a:pPr>
                  <a:defRPr lang="en-US"/>
                </a:pPr>
                <a:r>
                  <a:rPr lang="ro-RO"/>
                  <a:t>%</a:t>
                </a:r>
              </a:p>
            </c:rich>
          </c:tx>
          <c:layout>
            <c:manualLayout>
              <c:xMode val="edge"/>
              <c:yMode val="edge"/>
              <c:x val="0.25960173669880049"/>
              <c:y val="0.26180062672221388"/>
            </c:manualLayout>
          </c:layout>
          <c:overlay val="0"/>
        </c:title>
        <c:numFmt formatCode="General" sourceLinked="1"/>
        <c:majorTickMark val="none"/>
        <c:minorTickMark val="none"/>
        <c:tickLblPos val="nextTo"/>
        <c:txPr>
          <a:bodyPr/>
          <a:lstStyle/>
          <a:p>
            <a:pPr>
              <a:defRPr lang="en-US"/>
            </a:pPr>
            <a:endParaRPr lang="ro-RO"/>
          </a:p>
        </c:txPr>
        <c:crossAx val="240827776"/>
        <c:crosses val="autoZero"/>
        <c:crossBetween val="between"/>
      </c:valAx>
      <c:serAx>
        <c:axId val="232011968"/>
        <c:scaling>
          <c:orientation val="minMax"/>
        </c:scaling>
        <c:delete val="1"/>
        <c:axPos val="b"/>
        <c:majorTickMark val="out"/>
        <c:minorTickMark val="none"/>
        <c:tickLblPos val="none"/>
        <c:crossAx val="240907392"/>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lang="en-US" sz="1200" baseline="0">
                <a:latin typeface="Arial" pitchFamily="34" charset="0"/>
              </a:defRPr>
            </a:pPr>
            <a:r>
              <a:rPr lang="ro-RO" sz="1200" baseline="0">
                <a:latin typeface="Arial" pitchFamily="34" charset="0"/>
              </a:rPr>
              <a:t>Evoluția emisiilor de poluanți cu efect de acidifiere </a:t>
            </a:r>
          </a:p>
        </c:rich>
      </c:tx>
      <c:overlay val="0"/>
    </c:title>
    <c:autoTitleDeleted val="0"/>
    <c:plotArea>
      <c:layout>
        <c:manualLayout>
          <c:layoutTarget val="inner"/>
          <c:xMode val="edge"/>
          <c:yMode val="edge"/>
          <c:x val="0.17659626420279417"/>
          <c:y val="0.21909672980396391"/>
          <c:w val="0.66074678048421565"/>
          <c:h val="0.57468396028936886"/>
        </c:manualLayout>
      </c:layout>
      <c:barChart>
        <c:barDir val="col"/>
        <c:grouping val="clustered"/>
        <c:varyColors val="0"/>
        <c:ser>
          <c:idx val="0"/>
          <c:order val="0"/>
          <c:tx>
            <c:strRef>
              <c:f>Sheet1!$B$1</c:f>
              <c:strCache>
                <c:ptCount val="1"/>
                <c:pt idx="0">
                  <c:v>Nox</c:v>
                </c:pt>
              </c:strCache>
            </c:strRef>
          </c:tx>
          <c:invertIfNegative val="0"/>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1.1585000000000001</c:v>
                </c:pt>
                <c:pt idx="1">
                  <c:v>1.1190787137445199</c:v>
                </c:pt>
                <c:pt idx="2">
                  <c:v>1.1919999999999999</c:v>
                </c:pt>
                <c:pt idx="3">
                  <c:v>1.23</c:v>
                </c:pt>
              </c:numCache>
            </c:numRef>
          </c:val>
          <c:extLst>
            <c:ext xmlns:c16="http://schemas.microsoft.com/office/drawing/2014/chart" uri="{C3380CC4-5D6E-409C-BE32-E72D297353CC}">
              <c16:uniqueId val="{00000000-B4CB-4E9D-A728-A80196EC6479}"/>
            </c:ext>
          </c:extLst>
        </c:ser>
        <c:ser>
          <c:idx val="1"/>
          <c:order val="1"/>
          <c:tx>
            <c:strRef>
              <c:f>Sheet1!$C$1</c:f>
              <c:strCache>
                <c:ptCount val="1"/>
                <c:pt idx="0">
                  <c:v>SO2</c:v>
                </c:pt>
              </c:strCache>
            </c:strRef>
          </c:tx>
          <c:spPr>
            <a:solidFill>
              <a:schemeClr val="accent3"/>
            </a:solidFill>
          </c:spPr>
          <c:invertIfNegative val="0"/>
          <c:cat>
            <c:numRef>
              <c:f>Sheet1!$A$2:$A$5</c:f>
              <c:numCache>
                <c:formatCode>General</c:formatCode>
                <c:ptCount val="4"/>
                <c:pt idx="0">
                  <c:v>2014</c:v>
                </c:pt>
                <c:pt idx="1">
                  <c:v>2015</c:v>
                </c:pt>
                <c:pt idx="2">
                  <c:v>2016</c:v>
                </c:pt>
                <c:pt idx="3">
                  <c:v>2017</c:v>
                </c:pt>
              </c:numCache>
            </c:numRef>
          </c:cat>
          <c:val>
            <c:numRef>
              <c:f>Sheet1!$C$2:$C$5</c:f>
              <c:numCache>
                <c:formatCode>General</c:formatCode>
                <c:ptCount val="4"/>
                <c:pt idx="0">
                  <c:v>2.7000000000000001E-3</c:v>
                </c:pt>
                <c:pt idx="1">
                  <c:v>6.4125099749727703E-3</c:v>
                </c:pt>
                <c:pt idx="2">
                  <c:v>5.0000000000000001E-3</c:v>
                </c:pt>
                <c:pt idx="3">
                  <c:v>1.1999999999999999E-3</c:v>
                </c:pt>
              </c:numCache>
            </c:numRef>
          </c:val>
          <c:extLst>
            <c:ext xmlns:c16="http://schemas.microsoft.com/office/drawing/2014/chart" uri="{C3380CC4-5D6E-409C-BE32-E72D297353CC}">
              <c16:uniqueId val="{00000001-B4CB-4E9D-A728-A80196EC6479}"/>
            </c:ext>
          </c:extLst>
        </c:ser>
        <c:ser>
          <c:idx val="2"/>
          <c:order val="2"/>
          <c:tx>
            <c:strRef>
              <c:f>Sheet1!$D$1</c:f>
              <c:strCache>
                <c:ptCount val="1"/>
                <c:pt idx="0">
                  <c:v>NH3</c:v>
                </c:pt>
              </c:strCache>
            </c:strRef>
          </c:tx>
          <c:spPr>
            <a:solidFill>
              <a:srgbClr val="FFFF00"/>
            </a:solidFill>
          </c:spPr>
          <c:invertIfNegative val="0"/>
          <c:cat>
            <c:numRef>
              <c:f>Sheet1!$A$2:$A$5</c:f>
              <c:numCache>
                <c:formatCode>General</c:formatCode>
                <c:ptCount val="4"/>
                <c:pt idx="0">
                  <c:v>2014</c:v>
                </c:pt>
                <c:pt idx="1">
                  <c:v>2015</c:v>
                </c:pt>
                <c:pt idx="2">
                  <c:v>2016</c:v>
                </c:pt>
                <c:pt idx="3">
                  <c:v>2017</c:v>
                </c:pt>
              </c:numCache>
            </c:numRef>
          </c:cat>
          <c:val>
            <c:numRef>
              <c:f>Sheet1!$D$2:$D$5</c:f>
              <c:numCache>
                <c:formatCode>General</c:formatCode>
                <c:ptCount val="4"/>
                <c:pt idx="0">
                  <c:v>7.11</c:v>
                </c:pt>
                <c:pt idx="1">
                  <c:v>0.436502933262161</c:v>
                </c:pt>
                <c:pt idx="2">
                  <c:v>0.218</c:v>
                </c:pt>
                <c:pt idx="3">
                  <c:v>0.28899999999999998</c:v>
                </c:pt>
              </c:numCache>
            </c:numRef>
          </c:val>
          <c:extLst>
            <c:ext xmlns:c16="http://schemas.microsoft.com/office/drawing/2014/chart" uri="{C3380CC4-5D6E-409C-BE32-E72D297353CC}">
              <c16:uniqueId val="{00000002-B4CB-4E9D-A728-A80196EC6479}"/>
            </c:ext>
          </c:extLst>
        </c:ser>
        <c:ser>
          <c:idx val="3"/>
          <c:order val="3"/>
          <c:tx>
            <c:strRef>
              <c:f>Sheet1!$E$1</c:f>
              <c:strCache>
                <c:ptCount val="1"/>
                <c:pt idx="0">
                  <c:v>Echivalent acidifiere</c:v>
                </c:pt>
              </c:strCache>
            </c:strRef>
          </c:tx>
          <c:spPr>
            <a:solidFill>
              <a:schemeClr val="accent2"/>
            </a:solidFill>
          </c:spPr>
          <c:invertIfNegative val="0"/>
          <c:cat>
            <c:numRef>
              <c:f>Sheet1!$A$2:$A$5</c:f>
              <c:numCache>
                <c:formatCode>General</c:formatCode>
                <c:ptCount val="4"/>
                <c:pt idx="0">
                  <c:v>2014</c:v>
                </c:pt>
                <c:pt idx="1">
                  <c:v>2015</c:v>
                </c:pt>
                <c:pt idx="2">
                  <c:v>2016</c:v>
                </c:pt>
                <c:pt idx="3">
                  <c:v>2017</c:v>
                </c:pt>
              </c:numCache>
            </c:numRef>
          </c:cat>
          <c:val>
            <c:numRef>
              <c:f>Sheet1!$E$2:$E$5</c:f>
              <c:numCache>
                <c:formatCode>General</c:formatCode>
                <c:ptCount val="4"/>
                <c:pt idx="0">
                  <c:v>0.44329195999999998</c:v>
                </c:pt>
                <c:pt idx="1">
                  <c:v>5.0151092126287794E-2</c:v>
                </c:pt>
                <c:pt idx="2">
                  <c:v>3.8841300000000002E-2</c:v>
                </c:pt>
                <c:pt idx="3">
                  <c:v>4.3721759999999998E-2</c:v>
                </c:pt>
              </c:numCache>
            </c:numRef>
          </c:val>
          <c:extLst>
            <c:ext xmlns:c16="http://schemas.microsoft.com/office/drawing/2014/chart" uri="{C3380CC4-5D6E-409C-BE32-E72D297353CC}">
              <c16:uniqueId val="{00000003-B4CB-4E9D-A728-A80196EC6479}"/>
            </c:ext>
          </c:extLst>
        </c:ser>
        <c:dLbls>
          <c:showLegendKey val="0"/>
          <c:showVal val="0"/>
          <c:showCatName val="0"/>
          <c:showSerName val="0"/>
          <c:showPercent val="0"/>
          <c:showBubbleSize val="0"/>
        </c:dLbls>
        <c:gapWidth val="150"/>
        <c:axId val="240927488"/>
        <c:axId val="240929024"/>
      </c:barChart>
      <c:catAx>
        <c:axId val="240927488"/>
        <c:scaling>
          <c:orientation val="minMax"/>
        </c:scaling>
        <c:delete val="0"/>
        <c:axPos val="b"/>
        <c:numFmt formatCode="General" sourceLinked="1"/>
        <c:majorTickMark val="none"/>
        <c:minorTickMark val="none"/>
        <c:tickLblPos val="nextTo"/>
        <c:txPr>
          <a:bodyPr/>
          <a:lstStyle/>
          <a:p>
            <a:pPr>
              <a:defRPr lang="en-US"/>
            </a:pPr>
            <a:endParaRPr lang="ro-RO"/>
          </a:p>
        </c:txPr>
        <c:crossAx val="240929024"/>
        <c:crossesAt val="0"/>
        <c:auto val="1"/>
        <c:lblAlgn val="ctr"/>
        <c:lblOffset val="100"/>
        <c:noMultiLvlLbl val="0"/>
      </c:catAx>
      <c:valAx>
        <c:axId val="240929024"/>
        <c:scaling>
          <c:orientation val="minMax"/>
          <c:max val="7"/>
        </c:scaling>
        <c:delete val="0"/>
        <c:axPos val="l"/>
        <c:title>
          <c:tx>
            <c:rich>
              <a:bodyPr rot="0" vert="horz"/>
              <a:lstStyle/>
              <a:p>
                <a:pPr>
                  <a:defRPr lang="en-US"/>
                </a:pPr>
                <a:r>
                  <a:rPr lang="en-US"/>
                  <a:t>mii tone</a:t>
                </a:r>
                <a:endParaRPr lang="ro-RO"/>
              </a:p>
            </c:rich>
          </c:tx>
          <c:layout>
            <c:manualLayout>
              <c:xMode val="edge"/>
              <c:yMode val="edge"/>
              <c:x val="9.7607943391686547E-2"/>
              <c:y val="0.12278121288754779"/>
            </c:manualLayout>
          </c:layout>
          <c:overlay val="0"/>
        </c:title>
        <c:numFmt formatCode="General" sourceLinked="1"/>
        <c:majorTickMark val="none"/>
        <c:minorTickMark val="none"/>
        <c:tickLblPos val="nextTo"/>
        <c:txPr>
          <a:bodyPr/>
          <a:lstStyle/>
          <a:p>
            <a:pPr>
              <a:defRPr lang="en-US"/>
            </a:pPr>
            <a:endParaRPr lang="ro-RO"/>
          </a:p>
        </c:txPr>
        <c:crossAx val="240927488"/>
        <c:crosses val="autoZero"/>
        <c:crossBetween val="between"/>
        <c:minorUnit val="0.5"/>
      </c:valAx>
    </c:plotArea>
    <c:legend>
      <c:legendPos val="r"/>
      <c:layout>
        <c:manualLayout>
          <c:xMode val="edge"/>
          <c:yMode val="edge"/>
          <c:x val="0.85495850295860565"/>
          <c:y val="0.19922552707617772"/>
          <c:w val="0.14504149704139585"/>
          <c:h val="0.48410081111253828"/>
        </c:manualLayout>
      </c:layout>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strRef>
              <c:f>Sheet1!$A$2:$A$4</c:f>
              <c:strCache>
                <c:ptCount val="3"/>
                <c:pt idx="0">
                  <c:v>Producția de fier și oțel</c:v>
                </c:pt>
                <c:pt idx="1">
                  <c:v>Industria alimentară</c:v>
                </c:pt>
                <c:pt idx="2">
                  <c:v>Asfaltarea drumurilor</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0572-4725-9AB4-E4E08E38DBA4}"/>
            </c:ext>
          </c:extLst>
        </c:ser>
        <c:ser>
          <c:idx val="1"/>
          <c:order val="1"/>
          <c:tx>
            <c:strRef>
              <c:f>Sheet1!$C$1</c:f>
              <c:strCache>
                <c:ptCount val="1"/>
                <c:pt idx="0">
                  <c:v>NMCOV</c:v>
                </c:pt>
              </c:strCache>
            </c:strRef>
          </c:tx>
          <c:invertIfNegative val="0"/>
          <c:cat>
            <c:strRef>
              <c:f>Sheet1!$A$2:$A$4</c:f>
              <c:strCache>
                <c:ptCount val="3"/>
                <c:pt idx="0">
                  <c:v>Producția de fier și oțel</c:v>
                </c:pt>
                <c:pt idx="1">
                  <c:v>Industria alimentară</c:v>
                </c:pt>
                <c:pt idx="2">
                  <c:v>Asfaltarea drumurilor</c:v>
                </c:pt>
              </c:strCache>
            </c:strRef>
          </c:cat>
          <c:val>
            <c:numRef>
              <c:f>Sheet1!$C$2:$C$4</c:f>
              <c:numCache>
                <c:formatCode>General</c:formatCode>
                <c:ptCount val="3"/>
                <c:pt idx="0">
                  <c:v>5.0000000000000002E-5</c:v>
                </c:pt>
                <c:pt idx="1">
                  <c:v>0</c:v>
                </c:pt>
                <c:pt idx="2">
                  <c:v>0.02</c:v>
                </c:pt>
              </c:numCache>
            </c:numRef>
          </c:val>
          <c:extLst>
            <c:ext xmlns:c16="http://schemas.microsoft.com/office/drawing/2014/chart" uri="{C3380CC4-5D6E-409C-BE32-E72D297353CC}">
              <c16:uniqueId val="{00000001-0572-4725-9AB4-E4E08E38DBA4}"/>
            </c:ext>
          </c:extLst>
        </c:ser>
        <c:ser>
          <c:idx val="2"/>
          <c:order val="2"/>
          <c:tx>
            <c:strRef>
              <c:f>Sheet1!$D$1</c:f>
              <c:strCache>
                <c:ptCount val="1"/>
                <c:pt idx="0">
                  <c:v>CO</c:v>
                </c:pt>
              </c:strCache>
            </c:strRef>
          </c:tx>
          <c:invertIfNegative val="0"/>
          <c:cat>
            <c:strRef>
              <c:f>Sheet1!$A$2:$A$4</c:f>
              <c:strCache>
                <c:ptCount val="3"/>
                <c:pt idx="0">
                  <c:v>Producția de fier și oțel</c:v>
                </c:pt>
                <c:pt idx="1">
                  <c:v>Industria alimentară</c:v>
                </c:pt>
                <c:pt idx="2">
                  <c:v>Asfaltarea drumurilor</c:v>
                </c:pt>
              </c:strCache>
            </c:strRef>
          </c:cat>
          <c:val>
            <c:numRef>
              <c:f>Sheet1!$D$2:$D$4</c:f>
              <c:numCache>
                <c:formatCode>General</c:formatCode>
                <c:ptCount val="3"/>
                <c:pt idx="0">
                  <c:v>1.5E-3</c:v>
                </c:pt>
                <c:pt idx="1">
                  <c:v>0</c:v>
                </c:pt>
                <c:pt idx="2">
                  <c:v>0</c:v>
                </c:pt>
              </c:numCache>
            </c:numRef>
          </c:val>
          <c:extLst>
            <c:ext xmlns:c16="http://schemas.microsoft.com/office/drawing/2014/chart" uri="{C3380CC4-5D6E-409C-BE32-E72D297353CC}">
              <c16:uniqueId val="{00000002-0572-4725-9AB4-E4E08E38DBA4}"/>
            </c:ext>
          </c:extLst>
        </c:ser>
        <c:dLbls>
          <c:showLegendKey val="0"/>
          <c:showVal val="0"/>
          <c:showCatName val="0"/>
          <c:showSerName val="0"/>
          <c:showPercent val="0"/>
          <c:showBubbleSize val="0"/>
        </c:dLbls>
        <c:gapWidth val="150"/>
        <c:shape val="cone"/>
        <c:axId val="241172864"/>
        <c:axId val="241174400"/>
        <c:axId val="233644480"/>
      </c:bar3DChart>
      <c:catAx>
        <c:axId val="241172864"/>
        <c:scaling>
          <c:orientation val="minMax"/>
        </c:scaling>
        <c:delete val="0"/>
        <c:axPos val="b"/>
        <c:numFmt formatCode="General" sourceLinked="1"/>
        <c:majorTickMark val="none"/>
        <c:minorTickMark val="none"/>
        <c:tickLblPos val="nextTo"/>
        <c:txPr>
          <a:bodyPr/>
          <a:lstStyle/>
          <a:p>
            <a:pPr>
              <a:defRPr lang="en-US"/>
            </a:pPr>
            <a:endParaRPr lang="ro-RO"/>
          </a:p>
        </c:txPr>
        <c:crossAx val="241174400"/>
        <c:crossesAt val="0"/>
        <c:auto val="1"/>
        <c:lblAlgn val="ctr"/>
        <c:lblOffset val="100"/>
        <c:noMultiLvlLbl val="0"/>
      </c:catAx>
      <c:valAx>
        <c:axId val="241174400"/>
        <c:scaling>
          <c:orientation val="minMax"/>
        </c:scaling>
        <c:delete val="0"/>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0.12253012677212829"/>
              <c:y val="0.20270564583682738"/>
            </c:manualLayout>
          </c:layout>
          <c:overlay val="0"/>
        </c:title>
        <c:numFmt formatCode="General" sourceLinked="1"/>
        <c:majorTickMark val="none"/>
        <c:minorTickMark val="none"/>
        <c:tickLblPos val="nextTo"/>
        <c:spPr>
          <a:noFill/>
        </c:spPr>
        <c:txPr>
          <a:bodyPr/>
          <a:lstStyle/>
          <a:p>
            <a:pPr>
              <a:defRPr lang="en-US"/>
            </a:pPr>
            <a:endParaRPr lang="ro-RO"/>
          </a:p>
        </c:txPr>
        <c:crossAx val="241172864"/>
        <c:crosses val="autoZero"/>
        <c:crossBetween val="between"/>
      </c:valAx>
      <c:serAx>
        <c:axId val="233644480"/>
        <c:scaling>
          <c:orientation val="minMax"/>
        </c:scaling>
        <c:delete val="1"/>
        <c:axPos val="b"/>
        <c:majorTickMark val="out"/>
        <c:minorTickMark val="none"/>
        <c:tickLblPos val="none"/>
        <c:crossAx val="241174400"/>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particule primare în suspensie</a:t>
            </a:r>
            <a:endParaRPr lang="ro-RO" sz="1200" baseline="0">
              <a:latin typeface="Arial"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PM2,5</c:v>
                </c:pt>
              </c:strCache>
            </c:strRef>
          </c:tx>
          <c:invertIfNegative val="0"/>
          <c:cat>
            <c:strRef>
              <c:f>Sheet1!$A$2</c:f>
              <c:strCache>
                <c:ptCount val="1"/>
                <c:pt idx="0">
                  <c:v>Producția de fier și oțel</c:v>
                </c:pt>
              </c:strCache>
            </c:strRef>
          </c:cat>
          <c:val>
            <c:numRef>
              <c:f>Sheet1!$B$2</c:f>
              <c:numCache>
                <c:formatCode>General</c:formatCode>
                <c:ptCount val="1"/>
                <c:pt idx="0">
                  <c:v>4.1999999999999998E-5</c:v>
                </c:pt>
              </c:numCache>
            </c:numRef>
          </c:val>
          <c:extLst>
            <c:ext xmlns:c16="http://schemas.microsoft.com/office/drawing/2014/chart" uri="{C3380CC4-5D6E-409C-BE32-E72D297353CC}">
              <c16:uniqueId val="{00000000-E49B-4A1A-BD36-3CE3C451A00D}"/>
            </c:ext>
          </c:extLst>
        </c:ser>
        <c:ser>
          <c:idx val="1"/>
          <c:order val="1"/>
          <c:tx>
            <c:strRef>
              <c:f>Sheet1!$C$1</c:f>
              <c:strCache>
                <c:ptCount val="1"/>
                <c:pt idx="0">
                  <c:v>PM10</c:v>
                </c:pt>
              </c:strCache>
            </c:strRef>
          </c:tx>
          <c:invertIfNegative val="0"/>
          <c:cat>
            <c:strRef>
              <c:f>Sheet1!$A$2</c:f>
              <c:strCache>
                <c:ptCount val="1"/>
                <c:pt idx="0">
                  <c:v>Producția de fier și oțel</c:v>
                </c:pt>
              </c:strCache>
            </c:strRef>
          </c:cat>
          <c:val>
            <c:numRef>
              <c:f>Sheet1!$C$2</c:f>
              <c:numCache>
                <c:formatCode>General</c:formatCode>
                <c:ptCount val="1"/>
                <c:pt idx="0">
                  <c:v>4.1999999999999998E-5</c:v>
                </c:pt>
              </c:numCache>
            </c:numRef>
          </c:val>
          <c:extLst>
            <c:ext xmlns:c16="http://schemas.microsoft.com/office/drawing/2014/chart" uri="{C3380CC4-5D6E-409C-BE32-E72D297353CC}">
              <c16:uniqueId val="{00000001-E49B-4A1A-BD36-3CE3C451A00D}"/>
            </c:ext>
          </c:extLst>
        </c:ser>
        <c:dLbls>
          <c:showLegendKey val="0"/>
          <c:showVal val="0"/>
          <c:showCatName val="0"/>
          <c:showSerName val="0"/>
          <c:showPercent val="0"/>
          <c:showBubbleSize val="0"/>
        </c:dLbls>
        <c:gapWidth val="150"/>
        <c:shape val="cone"/>
        <c:axId val="241209728"/>
        <c:axId val="241211264"/>
        <c:axId val="234166912"/>
      </c:bar3DChart>
      <c:catAx>
        <c:axId val="241209728"/>
        <c:scaling>
          <c:orientation val="minMax"/>
        </c:scaling>
        <c:delete val="0"/>
        <c:axPos val="b"/>
        <c:numFmt formatCode="General" sourceLinked="1"/>
        <c:majorTickMark val="none"/>
        <c:minorTickMark val="none"/>
        <c:tickLblPos val="nextTo"/>
        <c:txPr>
          <a:bodyPr/>
          <a:lstStyle/>
          <a:p>
            <a:pPr>
              <a:defRPr lang="en-US"/>
            </a:pPr>
            <a:endParaRPr lang="ro-RO"/>
          </a:p>
        </c:txPr>
        <c:crossAx val="241211264"/>
        <c:crossesAt val="0"/>
        <c:auto val="1"/>
        <c:lblAlgn val="ctr"/>
        <c:lblOffset val="100"/>
        <c:noMultiLvlLbl val="0"/>
      </c:catAx>
      <c:valAx>
        <c:axId val="241211264"/>
        <c:scaling>
          <c:orientation val="minMax"/>
        </c:scaling>
        <c:delete val="0"/>
        <c:axPos val="l"/>
        <c:majorGridlines/>
        <c:minorGridlines>
          <c:spPr>
            <a:ln>
              <a:solidFill>
                <a:sysClr val="window" lastClr="FFFFFF"/>
              </a:solidFill>
            </a:ln>
          </c:spPr>
        </c:minorGridlines>
        <c:title>
          <c:tx>
            <c:rich>
              <a:bodyPr rot="0" vert="horz"/>
              <a:lstStyle/>
              <a:p>
                <a:pPr>
                  <a:defRPr lang="en-US"/>
                </a:pPr>
                <a:r>
                  <a:rPr lang="ro-RO"/>
                  <a:t>%</a:t>
                </a:r>
              </a:p>
            </c:rich>
          </c:tx>
          <c:layout>
            <c:manualLayout>
              <c:xMode val="edge"/>
              <c:yMode val="edge"/>
              <c:x val="0.15742105134054504"/>
              <c:y val="0.28765473567881888"/>
            </c:manualLayout>
          </c:layout>
          <c:overlay val="0"/>
        </c:title>
        <c:numFmt formatCode="General" sourceLinked="1"/>
        <c:majorTickMark val="none"/>
        <c:minorTickMark val="none"/>
        <c:tickLblPos val="nextTo"/>
        <c:spPr>
          <a:noFill/>
        </c:spPr>
        <c:txPr>
          <a:bodyPr/>
          <a:lstStyle/>
          <a:p>
            <a:pPr>
              <a:defRPr lang="en-US"/>
            </a:pPr>
            <a:endParaRPr lang="ro-RO"/>
          </a:p>
        </c:txPr>
        <c:crossAx val="241209728"/>
        <c:crosses val="autoZero"/>
        <c:crossBetween val="between"/>
      </c:valAx>
      <c:serAx>
        <c:axId val="234166912"/>
        <c:scaling>
          <c:orientation val="minMax"/>
        </c:scaling>
        <c:delete val="1"/>
        <c:axPos val="b"/>
        <c:majorTickMark val="out"/>
        <c:minorTickMark val="none"/>
        <c:tickLblPos val="none"/>
        <c:crossAx val="241211264"/>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8"/>
      <c:hPercent val="46"/>
      <c:rotY val="44"/>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0.13387065525344802"/>
          <c:y val="2.1897810218979036E-2"/>
          <c:w val="0.61211012394510778"/>
          <c:h val="0.74155730533683251"/>
        </c:manualLayout>
      </c:layout>
      <c:bar3DChart>
        <c:barDir val="col"/>
        <c:grouping val="clustered"/>
        <c:varyColors val="0"/>
        <c:ser>
          <c:idx val="3"/>
          <c:order val="0"/>
          <c:tx>
            <c:strRef>
              <c:f>Sheet1!$A$2</c:f>
              <c:strCache>
                <c:ptCount val="1"/>
                <c:pt idx="0">
                  <c:v>Medii anuale nef. 2018</c:v>
                </c:pt>
              </c:strCache>
            </c:strRef>
          </c:tx>
          <c:invertIfNegative val="0"/>
          <c:cat>
            <c:strRef>
              <c:f>Sheet1!$B$1:$F$1</c:f>
              <c:strCache>
                <c:ptCount val="5"/>
                <c:pt idx="0">
                  <c:v>BR1</c:v>
                </c:pt>
                <c:pt idx="1">
                  <c:v>BR2</c:v>
                </c:pt>
                <c:pt idx="2">
                  <c:v>BR3</c:v>
                </c:pt>
                <c:pt idx="3">
                  <c:v>BR4</c:v>
                </c:pt>
                <c:pt idx="4">
                  <c:v>BR5</c:v>
                </c:pt>
              </c:strCache>
            </c:strRef>
          </c:cat>
          <c:val>
            <c:numRef>
              <c:f>Sheet1!$B$2:$F$2</c:f>
              <c:numCache>
                <c:formatCode>General</c:formatCode>
                <c:ptCount val="5"/>
                <c:pt idx="0">
                  <c:v>13.47</c:v>
                </c:pt>
                <c:pt idx="1">
                  <c:v>16.14</c:v>
                </c:pt>
                <c:pt idx="2">
                  <c:v>18.82</c:v>
                </c:pt>
                <c:pt idx="3">
                  <c:v>15.83</c:v>
                </c:pt>
                <c:pt idx="4">
                  <c:v>17.02</c:v>
                </c:pt>
              </c:numCache>
            </c:numRef>
          </c:val>
          <c:extLst>
            <c:ext xmlns:c16="http://schemas.microsoft.com/office/drawing/2014/chart" uri="{C3380CC4-5D6E-409C-BE32-E72D297353CC}">
              <c16:uniqueId val="{00000000-3CE5-4E5F-B34B-8440104FFBAC}"/>
            </c:ext>
          </c:extLst>
        </c:ser>
        <c:ser>
          <c:idx val="15"/>
          <c:order val="1"/>
          <c:tx>
            <c:strRef>
              <c:f>Sheet1!$A$3</c:f>
              <c:strCache>
                <c:ptCount val="1"/>
              </c:strCache>
            </c:strRef>
          </c:tx>
          <c:invertIfNegative val="0"/>
          <c:cat>
            <c:strRef>
              <c:f>Sheet1!$B$1:$F$1</c:f>
              <c:strCache>
                <c:ptCount val="5"/>
                <c:pt idx="0">
                  <c:v>BR1</c:v>
                </c:pt>
                <c:pt idx="1">
                  <c:v>BR2</c:v>
                </c:pt>
                <c:pt idx="2">
                  <c:v>BR3</c:v>
                </c:pt>
                <c:pt idx="3">
                  <c:v>BR4</c:v>
                </c:pt>
                <c:pt idx="4">
                  <c:v>BR5</c:v>
                </c:pt>
              </c:strCache>
            </c:strRef>
          </c:cat>
          <c:val>
            <c:numRef>
              <c:f>Sheet1!$B$3:$F$3</c:f>
              <c:numCache>
                <c:formatCode>General</c:formatCode>
                <c:ptCount val="5"/>
              </c:numCache>
            </c:numRef>
          </c:val>
          <c:extLst>
            <c:ext xmlns:c16="http://schemas.microsoft.com/office/drawing/2014/chart" uri="{C3380CC4-5D6E-409C-BE32-E72D297353CC}">
              <c16:uniqueId val="{00000001-3CE5-4E5F-B34B-8440104FFBAC}"/>
            </c:ext>
          </c:extLst>
        </c:ser>
        <c:dLbls>
          <c:showLegendKey val="0"/>
          <c:showVal val="0"/>
          <c:showCatName val="0"/>
          <c:showSerName val="0"/>
          <c:showPercent val="0"/>
          <c:showBubbleSize val="0"/>
        </c:dLbls>
        <c:gapWidth val="270"/>
        <c:gapDepth val="0"/>
        <c:shape val="box"/>
        <c:axId val="226374784"/>
        <c:axId val="226419072"/>
        <c:axId val="0"/>
      </c:bar3DChart>
      <c:catAx>
        <c:axId val="226374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6419072"/>
        <c:crosses val="autoZero"/>
        <c:auto val="1"/>
        <c:lblAlgn val="ctr"/>
        <c:lblOffset val="100"/>
        <c:tickLblSkip val="1"/>
        <c:tickMarkSkip val="1"/>
        <c:noMultiLvlLbl val="0"/>
      </c:catAx>
      <c:valAx>
        <c:axId val="226419072"/>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4.5210965845902014E-2"/>
              <c:y val="0.1506803149606299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6374784"/>
        <c:crosses val="autoZero"/>
        <c:crossBetween val="between"/>
      </c:valAx>
      <c:spPr>
        <a:noFill/>
        <a:ln w="25399">
          <a:noFill/>
        </a:ln>
      </c:spPr>
    </c:plotArea>
    <c:legend>
      <c:legendPos val="r"/>
      <c:legendEntry>
        <c:idx val="1"/>
        <c:delete val="1"/>
      </c:legendEntry>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PCDD/PCDF</c:v>
                </c:pt>
              </c:strCache>
            </c:strRef>
          </c:tx>
          <c:invertIfNegative val="0"/>
          <c:cat>
            <c:strRef>
              <c:f>Sheet1!$A$2</c:f>
              <c:strCache>
                <c:ptCount val="1"/>
                <c:pt idx="0">
                  <c:v>Producția de fier și oțel</c:v>
                </c:pt>
              </c:strCache>
            </c:strRef>
          </c:cat>
          <c:val>
            <c:numRef>
              <c:f>Sheet1!$B$2</c:f>
              <c:numCache>
                <c:formatCode>General</c:formatCode>
                <c:ptCount val="1"/>
                <c:pt idx="0">
                  <c:v>4E-14</c:v>
                </c:pt>
              </c:numCache>
            </c:numRef>
          </c:val>
          <c:extLst>
            <c:ext xmlns:c16="http://schemas.microsoft.com/office/drawing/2014/chart" uri="{C3380CC4-5D6E-409C-BE32-E72D297353CC}">
              <c16:uniqueId val="{00000000-E805-4BDD-8880-BC159084E6EA}"/>
            </c:ext>
          </c:extLst>
        </c:ser>
        <c:ser>
          <c:idx val="1"/>
          <c:order val="1"/>
          <c:tx>
            <c:strRef>
              <c:f>Sheet1!$C$1</c:f>
              <c:strCache>
                <c:ptCount val="1"/>
                <c:pt idx="0">
                  <c:v>PAH</c:v>
                </c:pt>
              </c:strCache>
            </c:strRef>
          </c:tx>
          <c:invertIfNegative val="0"/>
          <c:cat>
            <c:strRef>
              <c:f>Sheet1!$A$2</c:f>
              <c:strCache>
                <c:ptCount val="1"/>
                <c:pt idx="0">
                  <c:v>Producția de fier și oțel</c:v>
                </c:pt>
              </c:strCache>
            </c:strRef>
          </c:cat>
          <c:val>
            <c:numRef>
              <c:f>Sheet1!$C$2</c:f>
              <c:numCache>
                <c:formatCode>General</c:formatCode>
                <c:ptCount val="1"/>
                <c:pt idx="0">
                  <c:v>0</c:v>
                </c:pt>
              </c:numCache>
            </c:numRef>
          </c:val>
          <c:extLst>
            <c:ext xmlns:c16="http://schemas.microsoft.com/office/drawing/2014/chart" uri="{C3380CC4-5D6E-409C-BE32-E72D297353CC}">
              <c16:uniqueId val="{00000001-E805-4BDD-8880-BC159084E6EA}"/>
            </c:ext>
          </c:extLst>
        </c:ser>
        <c:ser>
          <c:idx val="2"/>
          <c:order val="2"/>
          <c:tx>
            <c:strRef>
              <c:f>Sheet1!$D$1</c:f>
              <c:strCache>
                <c:ptCount val="1"/>
                <c:pt idx="0">
                  <c:v>HCB</c:v>
                </c:pt>
              </c:strCache>
            </c:strRef>
          </c:tx>
          <c:invertIfNegative val="0"/>
          <c:cat>
            <c:strRef>
              <c:f>Sheet1!$A$2</c:f>
              <c:strCache>
                <c:ptCount val="1"/>
                <c:pt idx="0">
                  <c:v>Producția de fier și oțel</c:v>
                </c:pt>
              </c:strCache>
            </c:strRef>
          </c:cat>
          <c:val>
            <c:numRef>
              <c:f>Sheet1!$E$2</c:f>
              <c:numCache>
                <c:formatCode>General</c:formatCode>
                <c:ptCount val="1"/>
                <c:pt idx="0">
                  <c:v>5E-15</c:v>
                </c:pt>
              </c:numCache>
            </c:numRef>
          </c:val>
          <c:extLst>
            <c:ext xmlns:c16="http://schemas.microsoft.com/office/drawing/2014/chart" uri="{C3380CC4-5D6E-409C-BE32-E72D297353CC}">
              <c16:uniqueId val="{00000002-E805-4BDD-8880-BC159084E6EA}"/>
            </c:ext>
          </c:extLst>
        </c:ser>
        <c:ser>
          <c:idx val="3"/>
          <c:order val="3"/>
          <c:tx>
            <c:strRef>
              <c:f>Sheet1!$E$1</c:f>
              <c:strCache>
                <c:ptCount val="1"/>
                <c:pt idx="0">
                  <c:v>PCBs</c:v>
                </c:pt>
              </c:strCache>
            </c:strRef>
          </c:tx>
          <c:invertIfNegative val="0"/>
          <c:cat>
            <c:strRef>
              <c:f>Sheet1!$A$2</c:f>
              <c:strCache>
                <c:ptCount val="1"/>
                <c:pt idx="0">
                  <c:v>Producția de fier și oțel</c:v>
                </c:pt>
              </c:strCache>
            </c:strRef>
          </c:cat>
          <c:val>
            <c:numRef>
              <c:f>Sheet1!#REF!</c:f>
              <c:numCache>
                <c:formatCode>General</c:formatCode>
                <c:ptCount val="1"/>
                <c:pt idx="0">
                  <c:v>1</c:v>
                </c:pt>
              </c:numCache>
            </c:numRef>
          </c:val>
          <c:extLst>
            <c:ext xmlns:c16="http://schemas.microsoft.com/office/drawing/2014/chart" uri="{C3380CC4-5D6E-409C-BE32-E72D297353CC}">
              <c16:uniqueId val="{00000003-E805-4BDD-8880-BC159084E6EA}"/>
            </c:ext>
          </c:extLst>
        </c:ser>
        <c:dLbls>
          <c:showLegendKey val="0"/>
          <c:showVal val="0"/>
          <c:showCatName val="0"/>
          <c:showSerName val="0"/>
          <c:showPercent val="0"/>
          <c:showBubbleSize val="0"/>
        </c:dLbls>
        <c:gapWidth val="150"/>
        <c:shape val="cone"/>
        <c:axId val="240641920"/>
        <c:axId val="240643456"/>
        <c:axId val="234196992"/>
      </c:bar3DChart>
      <c:catAx>
        <c:axId val="240641920"/>
        <c:scaling>
          <c:orientation val="minMax"/>
        </c:scaling>
        <c:delete val="0"/>
        <c:axPos val="b"/>
        <c:numFmt formatCode="General" sourceLinked="1"/>
        <c:majorTickMark val="none"/>
        <c:minorTickMark val="none"/>
        <c:tickLblPos val="nextTo"/>
        <c:txPr>
          <a:bodyPr/>
          <a:lstStyle/>
          <a:p>
            <a:pPr>
              <a:defRPr lang="en-US"/>
            </a:pPr>
            <a:endParaRPr lang="ro-RO"/>
          </a:p>
        </c:txPr>
        <c:crossAx val="240643456"/>
        <c:crosses val="autoZero"/>
        <c:auto val="1"/>
        <c:lblAlgn val="ctr"/>
        <c:lblOffset val="100"/>
        <c:noMultiLvlLbl val="0"/>
      </c:catAx>
      <c:valAx>
        <c:axId val="240643456"/>
        <c:scaling>
          <c:orientation val="minMax"/>
        </c:scaling>
        <c:delete val="0"/>
        <c:axPos val="l"/>
        <c:majorGridlines/>
        <c:minorGridlines>
          <c:spPr>
            <a:ln>
              <a:solidFill>
                <a:schemeClr val="bg1"/>
              </a:solidFill>
            </a:ln>
          </c:spPr>
        </c:minorGridlines>
        <c:title>
          <c:tx>
            <c:rich>
              <a:bodyPr rot="0" vert="horz"/>
              <a:lstStyle/>
              <a:p>
                <a:pPr>
                  <a:defRPr lang="en-US"/>
                </a:pPr>
                <a:r>
                  <a:rPr lang="ro-RO"/>
                  <a:t>%</a:t>
                </a:r>
              </a:p>
            </c:rich>
          </c:tx>
          <c:layout>
            <c:manualLayout>
              <c:xMode val="edge"/>
              <c:yMode val="edge"/>
              <c:x val="0.18981980523462624"/>
              <c:y val="0.26180062672221388"/>
            </c:manualLayout>
          </c:layout>
          <c:overlay val="0"/>
        </c:title>
        <c:numFmt formatCode="General" sourceLinked="1"/>
        <c:majorTickMark val="none"/>
        <c:minorTickMark val="none"/>
        <c:tickLblPos val="nextTo"/>
        <c:spPr>
          <a:noFill/>
        </c:spPr>
        <c:txPr>
          <a:bodyPr/>
          <a:lstStyle/>
          <a:p>
            <a:pPr>
              <a:defRPr lang="en-US"/>
            </a:pPr>
            <a:endParaRPr lang="ro-RO"/>
          </a:p>
        </c:txPr>
        <c:crossAx val="240641920"/>
        <c:crosses val="autoZero"/>
        <c:crossBetween val="between"/>
        <c:minorUnit val="4.000000000000024E-15"/>
      </c:valAx>
      <c:serAx>
        <c:axId val="234196992"/>
        <c:scaling>
          <c:orientation val="minMax"/>
        </c:scaling>
        <c:delete val="1"/>
        <c:axPos val="b"/>
        <c:majorTickMark val="out"/>
        <c:minorTickMark val="none"/>
        <c:tickLblPos val="none"/>
        <c:crossAx val="240643456"/>
        <c:crosses val="autoZero"/>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sz="1200" baseline="0">
                <a:latin typeface="Arial" pitchFamily="34" charset="0"/>
              </a:defRPr>
            </a:pPr>
            <a:r>
              <a:rPr lang="ro-RO" sz="1200" baseline="0">
                <a:latin typeface="Arial" pitchFamily="34" charset="0"/>
                <a:cs typeface="Arial" pitchFamily="34" charset="0"/>
              </a:rPr>
              <a:t>Contribuția diverselor tipuri de vehicule la emisiile poluanților cu efect de acidifiere și eutrofizare </a:t>
            </a:r>
            <a:r>
              <a:rPr lang="ro-RO" sz="1200" baseline="0">
                <a:latin typeface="Arial" pitchFamily="34" charset="0"/>
              </a:rPr>
              <a:t> </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4170190751472544"/>
          <c:y val="0.16919333221645191"/>
          <c:w val="0.74801592838870334"/>
          <c:h val="0.69869101468700412"/>
        </c:manualLayout>
      </c:layout>
      <c:bar3DChart>
        <c:barDir val="col"/>
        <c:grouping val="standard"/>
        <c:varyColors val="0"/>
        <c:ser>
          <c:idx val="0"/>
          <c:order val="0"/>
          <c:tx>
            <c:strRef>
              <c:f>Sheet1!$B$1</c:f>
              <c:strCache>
                <c:ptCount val="1"/>
                <c:pt idx="0">
                  <c:v>Nox</c:v>
                </c:pt>
              </c:strCache>
            </c:strRef>
          </c:tx>
          <c:invertIfNegative val="0"/>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0.21</c:v>
                </c:pt>
                <c:pt idx="1">
                  <c:v>8.0000000000000004E-4</c:v>
                </c:pt>
                <c:pt idx="2">
                  <c:v>0.26300000000000001</c:v>
                </c:pt>
                <c:pt idx="3">
                  <c:v>1E-4</c:v>
                </c:pt>
              </c:numCache>
            </c:numRef>
          </c:val>
          <c:extLst>
            <c:ext xmlns:c16="http://schemas.microsoft.com/office/drawing/2014/chart" uri="{C3380CC4-5D6E-409C-BE32-E72D297353CC}">
              <c16:uniqueId val="{00000000-458C-4ADA-92A8-90CF0DE8FAF5}"/>
            </c:ext>
          </c:extLst>
        </c:ser>
        <c:ser>
          <c:idx val="1"/>
          <c:order val="1"/>
          <c:tx>
            <c:strRef>
              <c:f>Sheet1!$C$1</c:f>
              <c:strCache>
                <c:ptCount val="1"/>
                <c:pt idx="0">
                  <c:v>NH3</c:v>
                </c:pt>
              </c:strCache>
            </c:strRef>
          </c:tx>
          <c:invertIfNegative val="0"/>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5.4000000000000003E-3</c:v>
                </c:pt>
                <c:pt idx="1">
                  <c:v>3.6000000000000002E-4</c:v>
                </c:pt>
                <c:pt idx="2">
                  <c:v>2.5000000000000001E-4</c:v>
                </c:pt>
                <c:pt idx="3">
                  <c:v>8.0000000000000003E-10</c:v>
                </c:pt>
              </c:numCache>
            </c:numRef>
          </c:val>
          <c:extLst>
            <c:ext xmlns:c16="http://schemas.microsoft.com/office/drawing/2014/chart" uri="{C3380CC4-5D6E-409C-BE32-E72D297353CC}">
              <c16:uniqueId val="{00000001-458C-4ADA-92A8-90CF0DE8FAF5}"/>
            </c:ext>
          </c:extLst>
        </c:ser>
        <c:dLbls>
          <c:showLegendKey val="0"/>
          <c:showVal val="0"/>
          <c:showCatName val="0"/>
          <c:showSerName val="0"/>
          <c:showPercent val="0"/>
          <c:showBubbleSize val="0"/>
        </c:dLbls>
        <c:gapWidth val="150"/>
        <c:shape val="cylinder"/>
        <c:axId val="241342336"/>
        <c:axId val="241343872"/>
        <c:axId val="234199232"/>
      </c:bar3DChart>
      <c:catAx>
        <c:axId val="241342336"/>
        <c:scaling>
          <c:orientation val="minMax"/>
        </c:scaling>
        <c:delete val="0"/>
        <c:axPos val="b"/>
        <c:numFmt formatCode="General" sourceLinked="0"/>
        <c:majorTickMark val="none"/>
        <c:minorTickMark val="none"/>
        <c:tickLblPos val="nextTo"/>
        <c:txPr>
          <a:bodyPr/>
          <a:lstStyle/>
          <a:p>
            <a:pPr>
              <a:defRPr lang="en-US"/>
            </a:pPr>
            <a:endParaRPr lang="ro-RO"/>
          </a:p>
        </c:txPr>
        <c:crossAx val="241343872"/>
        <c:crosses val="autoZero"/>
        <c:auto val="1"/>
        <c:lblAlgn val="ctr"/>
        <c:lblOffset val="100"/>
        <c:noMultiLvlLbl val="0"/>
      </c:catAx>
      <c:valAx>
        <c:axId val="241343872"/>
        <c:scaling>
          <c:orientation val="minMax"/>
          <c:max val="0.30000000000000032"/>
        </c:scaling>
        <c:delete val="0"/>
        <c:axPos val="l"/>
        <c:majorGridlines/>
        <c:title>
          <c:tx>
            <c:rich>
              <a:bodyPr rot="0" vert="horz"/>
              <a:lstStyle/>
              <a:p>
                <a:pPr>
                  <a:defRPr lang="en-US"/>
                </a:pPr>
                <a:r>
                  <a:rPr lang="ro-RO"/>
                  <a:t>%</a:t>
                </a:r>
              </a:p>
            </c:rich>
          </c:tx>
          <c:layout>
            <c:manualLayout>
              <c:xMode val="edge"/>
              <c:yMode val="edge"/>
              <c:x val="0.12271731856302755"/>
              <c:y val="0.21121740101636549"/>
            </c:manualLayout>
          </c:layout>
          <c:overlay val="0"/>
        </c:title>
        <c:numFmt formatCode="General" sourceLinked="1"/>
        <c:majorTickMark val="none"/>
        <c:minorTickMark val="none"/>
        <c:tickLblPos val="nextTo"/>
        <c:txPr>
          <a:bodyPr/>
          <a:lstStyle/>
          <a:p>
            <a:pPr>
              <a:defRPr lang="en-US"/>
            </a:pPr>
            <a:endParaRPr lang="ro-RO"/>
          </a:p>
        </c:txPr>
        <c:crossAx val="241342336"/>
        <c:crosses val="autoZero"/>
        <c:crossBetween val="between"/>
      </c:valAx>
      <c:serAx>
        <c:axId val="234199232"/>
        <c:scaling>
          <c:orientation val="minMax"/>
        </c:scaling>
        <c:delete val="1"/>
        <c:axPos val="b"/>
        <c:majorTickMark val="out"/>
        <c:minorTickMark val="none"/>
        <c:tickLblPos val="none"/>
        <c:crossAx val="241343872"/>
        <c:crosses val="autoZero"/>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baseline="0"/>
            </a:pPr>
            <a:r>
              <a:rPr lang="ro-RO" sz="1200" baseline="0">
                <a:latin typeface="Arial" pitchFamily="34" charset="0"/>
                <a:cs typeface="Arial" pitchFamily="34" charset="0"/>
              </a:rPr>
              <a:t>Contribuția tipurilor de vehicule la emisiile de poluanți atmosferici precursori ai ozonului</a:t>
            </a:r>
            <a:endParaRPr lang="ro-RO" baseline="0"/>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0.2</c:v>
                </c:pt>
                <c:pt idx="1">
                  <c:v>8.0000000000000004E-4</c:v>
                </c:pt>
                <c:pt idx="2">
                  <c:v>0.26</c:v>
                </c:pt>
                <c:pt idx="3">
                  <c:v>1E-4</c:v>
                </c:pt>
              </c:numCache>
            </c:numRef>
          </c:val>
          <c:extLst>
            <c:ext xmlns:c16="http://schemas.microsoft.com/office/drawing/2014/chart" uri="{C3380CC4-5D6E-409C-BE32-E72D297353CC}">
              <c16:uniqueId val="{00000000-6F39-4747-8D2A-970E077047DB}"/>
            </c:ext>
          </c:extLst>
        </c:ser>
        <c:ser>
          <c:idx val="1"/>
          <c:order val="1"/>
          <c:tx>
            <c:strRef>
              <c:f>Sheet1!$C$1</c:f>
              <c:strCache>
                <c:ptCount val="1"/>
                <c:pt idx="0">
                  <c:v>CO</c:v>
                </c:pt>
              </c:strCache>
            </c:strRef>
          </c:tx>
          <c:invertIfNegative val="0"/>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0.82</c:v>
                </c:pt>
                <c:pt idx="1">
                  <c:v>0.13</c:v>
                </c:pt>
                <c:pt idx="2">
                  <c:v>7.0000000000000007E-2</c:v>
                </c:pt>
                <c:pt idx="3">
                  <c:v>6.0000000000000001E-3</c:v>
                </c:pt>
              </c:numCache>
            </c:numRef>
          </c:val>
          <c:extLst>
            <c:ext xmlns:c16="http://schemas.microsoft.com/office/drawing/2014/chart" uri="{C3380CC4-5D6E-409C-BE32-E72D297353CC}">
              <c16:uniqueId val="{00000001-6F39-4747-8D2A-970E077047DB}"/>
            </c:ext>
          </c:extLst>
        </c:ser>
        <c:ser>
          <c:idx val="2"/>
          <c:order val="2"/>
          <c:tx>
            <c:strRef>
              <c:f>Sheet1!$D$1</c:f>
              <c:strCache>
                <c:ptCount val="1"/>
                <c:pt idx="0">
                  <c:v>NMCOV</c:v>
                </c:pt>
              </c:strCache>
            </c:strRef>
          </c:tx>
          <c:invertIfNegative val="0"/>
          <c:cat>
            <c:strRef>
              <c:f>Sheet1!$A$2:$A$5</c:f>
              <c:strCache>
                <c:ptCount val="4"/>
                <c:pt idx="0">
                  <c:v>Transport pasageri</c:v>
                </c:pt>
                <c:pt idx="1">
                  <c:v>Vehicule usoare</c:v>
                </c:pt>
                <c:pt idx="2">
                  <c:v>Vehicule grele</c:v>
                </c:pt>
                <c:pt idx="3">
                  <c:v>Motorete si motociclete</c:v>
                </c:pt>
              </c:strCache>
            </c:strRef>
          </c:cat>
          <c:val>
            <c:numRef>
              <c:f>Sheet1!$D$2:$D$5</c:f>
              <c:numCache>
                <c:formatCode>General</c:formatCode>
                <c:ptCount val="4"/>
                <c:pt idx="0">
                  <c:v>0.16</c:v>
                </c:pt>
                <c:pt idx="1">
                  <c:v>8.0000000000000004E-4</c:v>
                </c:pt>
                <c:pt idx="2">
                  <c:v>0.02</c:v>
                </c:pt>
                <c:pt idx="3">
                  <c:v>1.6000000000000001E-3</c:v>
                </c:pt>
              </c:numCache>
            </c:numRef>
          </c:val>
          <c:extLst>
            <c:ext xmlns:c16="http://schemas.microsoft.com/office/drawing/2014/chart" uri="{C3380CC4-5D6E-409C-BE32-E72D297353CC}">
              <c16:uniqueId val="{00000002-6F39-4747-8D2A-970E077047DB}"/>
            </c:ext>
          </c:extLst>
        </c:ser>
        <c:dLbls>
          <c:showLegendKey val="0"/>
          <c:showVal val="0"/>
          <c:showCatName val="0"/>
          <c:showSerName val="0"/>
          <c:showPercent val="0"/>
          <c:showBubbleSize val="0"/>
        </c:dLbls>
        <c:gapWidth val="150"/>
        <c:shape val="cylinder"/>
        <c:axId val="241359488"/>
        <c:axId val="241373568"/>
        <c:axId val="240599040"/>
      </c:bar3DChart>
      <c:catAx>
        <c:axId val="241359488"/>
        <c:scaling>
          <c:orientation val="minMax"/>
        </c:scaling>
        <c:delete val="0"/>
        <c:axPos val="b"/>
        <c:numFmt formatCode="General" sourceLinked="0"/>
        <c:majorTickMark val="none"/>
        <c:minorTickMark val="none"/>
        <c:tickLblPos val="nextTo"/>
        <c:txPr>
          <a:bodyPr/>
          <a:lstStyle/>
          <a:p>
            <a:pPr>
              <a:defRPr lang="en-US"/>
            </a:pPr>
            <a:endParaRPr lang="ro-RO"/>
          </a:p>
        </c:txPr>
        <c:crossAx val="241373568"/>
        <c:crosses val="autoZero"/>
        <c:auto val="1"/>
        <c:lblAlgn val="ctr"/>
        <c:lblOffset val="100"/>
        <c:noMultiLvlLbl val="0"/>
      </c:catAx>
      <c:valAx>
        <c:axId val="241373568"/>
        <c:scaling>
          <c:orientation val="minMax"/>
          <c:max val="1"/>
          <c:min val="0"/>
        </c:scaling>
        <c:delete val="0"/>
        <c:axPos val="l"/>
        <c:majorGridlines/>
        <c:title>
          <c:tx>
            <c:rich>
              <a:bodyPr rot="0" vert="horz"/>
              <a:lstStyle/>
              <a:p>
                <a:pPr>
                  <a:defRPr lang="en-US"/>
                </a:pPr>
                <a:r>
                  <a:rPr lang="ro-RO"/>
                  <a:t>%</a:t>
                </a:r>
              </a:p>
            </c:rich>
          </c:tx>
          <c:layout>
            <c:manualLayout>
              <c:xMode val="edge"/>
              <c:yMode val="edge"/>
              <c:x val="9.3603489437238077E-2"/>
              <c:y val="0.22489557156419276"/>
            </c:manualLayout>
          </c:layout>
          <c:overlay val="0"/>
        </c:title>
        <c:numFmt formatCode="General" sourceLinked="1"/>
        <c:majorTickMark val="none"/>
        <c:minorTickMark val="none"/>
        <c:tickLblPos val="nextTo"/>
        <c:txPr>
          <a:bodyPr/>
          <a:lstStyle/>
          <a:p>
            <a:pPr>
              <a:defRPr lang="en-US"/>
            </a:pPr>
            <a:endParaRPr lang="ro-RO"/>
          </a:p>
        </c:txPr>
        <c:crossAx val="241359488"/>
        <c:crosses val="autoZero"/>
        <c:crossBetween val="between"/>
        <c:majorUnit val="0.2"/>
        <c:minorUnit val="4.0000000000000022E-2"/>
      </c:valAx>
      <c:serAx>
        <c:axId val="240599040"/>
        <c:scaling>
          <c:orientation val="minMax"/>
        </c:scaling>
        <c:delete val="1"/>
        <c:axPos val="b"/>
        <c:majorTickMark val="out"/>
        <c:minorTickMark val="none"/>
        <c:tickLblPos val="none"/>
        <c:crossAx val="241373568"/>
        <c:crosses val="autoZero"/>
      </c:serAx>
    </c:plotArea>
    <c:legend>
      <c:legendPos val="r"/>
      <c:layout>
        <c:manualLayout>
          <c:xMode val="edge"/>
          <c:yMode val="edge"/>
          <c:x val="0.83837347613788926"/>
          <c:y val="0.46051350220500836"/>
          <c:w val="0.16162652386211188"/>
          <c:h val="0.25510669574587136"/>
        </c:manualLayout>
      </c:layout>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baseline="0"/>
            </a:pPr>
            <a:r>
              <a:rPr lang="ro-RO" sz="1200" baseline="0">
                <a:latin typeface="Arial" pitchFamily="34" charset="0"/>
                <a:cs typeface="Arial" pitchFamily="34" charset="0"/>
              </a:rPr>
              <a:t>Contribuții ale tipurilor de vehicule de transport la emisiile de particule primare în suspensie</a:t>
            </a:r>
            <a:endParaRPr lang="ro-RO" baseline="0"/>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7.1921379145788597E-2"/>
          <c:y val="0.19016167478175569"/>
          <c:w val="0.80006203769983364"/>
          <c:h val="0.45307673305542751"/>
        </c:manualLayout>
      </c:layout>
      <c:bar3DChart>
        <c:barDir val="col"/>
        <c:grouping val="standard"/>
        <c:varyColors val="0"/>
        <c:ser>
          <c:idx val="0"/>
          <c:order val="0"/>
          <c:tx>
            <c:strRef>
              <c:f>Sheet1!$B$1</c:f>
              <c:strCache>
                <c:ptCount val="1"/>
                <c:pt idx="0">
                  <c:v>PM2,5</c:v>
                </c:pt>
              </c:strCache>
            </c:strRef>
          </c:tx>
          <c:invertIfNegative val="0"/>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0.01</c:v>
                </c:pt>
                <c:pt idx="1">
                  <c:v>4.0000000000000001E-3</c:v>
                </c:pt>
                <c:pt idx="2">
                  <c:v>8.9999999999999993E-3</c:v>
                </c:pt>
                <c:pt idx="3">
                  <c:v>3.0000000000000001E-5</c:v>
                </c:pt>
              </c:numCache>
            </c:numRef>
          </c:val>
          <c:extLst>
            <c:ext xmlns:c16="http://schemas.microsoft.com/office/drawing/2014/chart" uri="{C3380CC4-5D6E-409C-BE32-E72D297353CC}">
              <c16:uniqueId val="{00000000-617B-4E13-A8D7-7E50BAB6E7A1}"/>
            </c:ext>
          </c:extLst>
        </c:ser>
        <c:ser>
          <c:idx val="1"/>
          <c:order val="1"/>
          <c:tx>
            <c:strRef>
              <c:f>Sheet1!$C$1</c:f>
              <c:strCache>
                <c:ptCount val="1"/>
                <c:pt idx="0">
                  <c:v>PM10</c:v>
                </c:pt>
              </c:strCache>
            </c:strRef>
          </c:tx>
          <c:invertIfNegative val="0"/>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1.2999999999999999E-2</c:v>
                </c:pt>
                <c:pt idx="1">
                  <c:v>6.0000000000000001E-3</c:v>
                </c:pt>
                <c:pt idx="2">
                  <c:v>1.0999999999999999E-2</c:v>
                </c:pt>
                <c:pt idx="3">
                  <c:v>4.0000000000000003E-5</c:v>
                </c:pt>
              </c:numCache>
            </c:numRef>
          </c:val>
          <c:extLst>
            <c:ext xmlns:c16="http://schemas.microsoft.com/office/drawing/2014/chart" uri="{C3380CC4-5D6E-409C-BE32-E72D297353CC}">
              <c16:uniqueId val="{00000001-617B-4E13-A8D7-7E50BAB6E7A1}"/>
            </c:ext>
          </c:extLst>
        </c:ser>
        <c:dLbls>
          <c:showLegendKey val="0"/>
          <c:showVal val="0"/>
          <c:showCatName val="0"/>
          <c:showSerName val="0"/>
          <c:showPercent val="0"/>
          <c:showBubbleSize val="0"/>
        </c:dLbls>
        <c:gapWidth val="150"/>
        <c:shape val="cylinder"/>
        <c:axId val="241281664"/>
        <c:axId val="241299840"/>
        <c:axId val="240599488"/>
      </c:bar3DChart>
      <c:catAx>
        <c:axId val="241281664"/>
        <c:scaling>
          <c:orientation val="minMax"/>
        </c:scaling>
        <c:delete val="0"/>
        <c:axPos val="b"/>
        <c:numFmt formatCode="General" sourceLinked="0"/>
        <c:majorTickMark val="none"/>
        <c:minorTickMark val="none"/>
        <c:tickLblPos val="nextTo"/>
        <c:txPr>
          <a:bodyPr/>
          <a:lstStyle/>
          <a:p>
            <a:pPr>
              <a:defRPr lang="en-US"/>
            </a:pPr>
            <a:endParaRPr lang="ro-RO"/>
          </a:p>
        </c:txPr>
        <c:crossAx val="241299840"/>
        <c:crosses val="autoZero"/>
        <c:auto val="1"/>
        <c:lblAlgn val="ctr"/>
        <c:lblOffset val="100"/>
        <c:noMultiLvlLbl val="0"/>
      </c:catAx>
      <c:valAx>
        <c:axId val="241299840"/>
        <c:scaling>
          <c:orientation val="minMax"/>
        </c:scaling>
        <c:delete val="0"/>
        <c:axPos val="l"/>
        <c:majorGridlines/>
        <c:title>
          <c:tx>
            <c:rich>
              <a:bodyPr rot="0" vert="horz"/>
              <a:lstStyle/>
              <a:p>
                <a:pPr>
                  <a:defRPr lang="en-US"/>
                </a:pPr>
                <a:r>
                  <a:rPr lang="ro-RO"/>
                  <a:t>%</a:t>
                </a:r>
              </a:p>
            </c:rich>
          </c:tx>
          <c:layout>
            <c:manualLayout>
              <c:xMode val="edge"/>
              <c:yMode val="edge"/>
              <c:x val="9.9268034533658026E-2"/>
              <c:y val="0.1923920813089853"/>
            </c:manualLayout>
          </c:layout>
          <c:overlay val="0"/>
        </c:title>
        <c:numFmt formatCode="General" sourceLinked="1"/>
        <c:majorTickMark val="none"/>
        <c:minorTickMark val="none"/>
        <c:tickLblPos val="nextTo"/>
        <c:txPr>
          <a:bodyPr/>
          <a:lstStyle/>
          <a:p>
            <a:pPr>
              <a:defRPr lang="en-US"/>
            </a:pPr>
            <a:endParaRPr lang="ro-RO"/>
          </a:p>
        </c:txPr>
        <c:crossAx val="241281664"/>
        <c:crosses val="autoZero"/>
        <c:crossBetween val="between"/>
      </c:valAx>
      <c:serAx>
        <c:axId val="240599488"/>
        <c:scaling>
          <c:orientation val="minMax"/>
        </c:scaling>
        <c:delete val="1"/>
        <c:axPos val="b"/>
        <c:majorTickMark val="out"/>
        <c:minorTickMark val="none"/>
        <c:tickLblPos val="none"/>
        <c:crossAx val="241299840"/>
        <c:crosses val="autoZero"/>
      </c:serAx>
    </c:plotArea>
    <c:legend>
      <c:legendPos val="r"/>
      <c:layout>
        <c:manualLayout>
          <c:xMode val="edge"/>
          <c:yMode val="edge"/>
          <c:x val="0.8198622047244094"/>
          <c:y val="0.31759812210890681"/>
          <c:w val="0.16498628012407576"/>
          <c:h val="0.25573939337698964"/>
        </c:manualLayout>
      </c:layout>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baseline="0"/>
            </a:pPr>
            <a:r>
              <a:rPr lang="ro-RO" sz="1200" baseline="0">
                <a:latin typeface="Arial" pitchFamily="34" charset="0"/>
                <a:cs typeface="Arial" pitchFamily="34" charset="0"/>
              </a:rPr>
              <a:t>Contribuția tipurilor de vehicule de transport la emisiile de metale grele</a:t>
            </a:r>
            <a:endParaRPr lang="ro-RO" baseline="0"/>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Cd</c:v>
                </c:pt>
              </c:strCache>
            </c:strRef>
          </c:tx>
          <c:invertIfNegative val="0"/>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1.9999999999999999E-7</c:v>
                </c:pt>
                <c:pt idx="1">
                  <c:v>4.9999999999999998E-8</c:v>
                </c:pt>
                <c:pt idx="2">
                  <c:v>9.9999999999999995E-8</c:v>
                </c:pt>
                <c:pt idx="3">
                  <c:v>3E-10</c:v>
                </c:pt>
              </c:numCache>
            </c:numRef>
          </c:val>
          <c:extLst>
            <c:ext xmlns:c16="http://schemas.microsoft.com/office/drawing/2014/chart" uri="{C3380CC4-5D6E-409C-BE32-E72D297353CC}">
              <c16:uniqueId val="{00000000-87DB-40BC-9DD7-CB63926DE897}"/>
            </c:ext>
          </c:extLst>
        </c:ser>
        <c:ser>
          <c:idx val="1"/>
          <c:order val="1"/>
          <c:tx>
            <c:strRef>
              <c:f>Sheet1!$C$1</c:f>
              <c:strCache>
                <c:ptCount val="1"/>
                <c:pt idx="0">
                  <c:v>Pb</c:v>
                </c:pt>
              </c:strCache>
            </c:strRef>
          </c:tx>
          <c:invertIfNegative val="0"/>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7.9999999999999996E-6</c:v>
                </c:pt>
                <c:pt idx="1">
                  <c:v>1.9999999999999999E-6</c:v>
                </c:pt>
                <c:pt idx="2">
                  <c:v>5.0000000000000004E-6</c:v>
                </c:pt>
                <c:pt idx="3">
                  <c:v>8.9999999999999999E-8</c:v>
                </c:pt>
              </c:numCache>
            </c:numRef>
          </c:val>
          <c:extLst>
            <c:ext xmlns:c16="http://schemas.microsoft.com/office/drawing/2014/chart" uri="{C3380CC4-5D6E-409C-BE32-E72D297353CC}">
              <c16:uniqueId val="{00000001-87DB-40BC-9DD7-CB63926DE897}"/>
            </c:ext>
          </c:extLst>
        </c:ser>
        <c:dLbls>
          <c:showLegendKey val="0"/>
          <c:showVal val="0"/>
          <c:showCatName val="0"/>
          <c:showSerName val="0"/>
          <c:showPercent val="0"/>
          <c:showBubbleSize val="0"/>
        </c:dLbls>
        <c:gapWidth val="150"/>
        <c:shape val="cylinder"/>
        <c:axId val="241457792"/>
        <c:axId val="241496448"/>
        <c:axId val="241324032"/>
      </c:bar3DChart>
      <c:catAx>
        <c:axId val="241457792"/>
        <c:scaling>
          <c:orientation val="minMax"/>
        </c:scaling>
        <c:delete val="0"/>
        <c:axPos val="b"/>
        <c:numFmt formatCode="General" sourceLinked="0"/>
        <c:majorTickMark val="none"/>
        <c:minorTickMark val="none"/>
        <c:tickLblPos val="nextTo"/>
        <c:txPr>
          <a:bodyPr/>
          <a:lstStyle/>
          <a:p>
            <a:pPr>
              <a:defRPr lang="en-US"/>
            </a:pPr>
            <a:endParaRPr lang="ro-RO"/>
          </a:p>
        </c:txPr>
        <c:crossAx val="241496448"/>
        <c:crosses val="autoZero"/>
        <c:auto val="1"/>
        <c:lblAlgn val="ctr"/>
        <c:lblOffset val="100"/>
        <c:noMultiLvlLbl val="0"/>
      </c:catAx>
      <c:valAx>
        <c:axId val="241496448"/>
        <c:scaling>
          <c:orientation val="minMax"/>
          <c:max val="2.0000000000000259E-5"/>
          <c:min val="0"/>
        </c:scaling>
        <c:delete val="0"/>
        <c:axPos val="l"/>
        <c:majorGridlines/>
        <c:title>
          <c:tx>
            <c:rich>
              <a:bodyPr rot="0" vert="horz"/>
              <a:lstStyle/>
              <a:p>
                <a:pPr>
                  <a:defRPr lang="en-US"/>
                </a:pPr>
                <a:r>
                  <a:rPr lang="ro-RO"/>
                  <a:t>%</a:t>
                </a:r>
              </a:p>
            </c:rich>
          </c:tx>
          <c:layout>
            <c:manualLayout>
              <c:xMode val="edge"/>
              <c:yMode val="edge"/>
              <c:x val="9.0023114199332704E-2"/>
              <c:y val="0.19061400569609654"/>
            </c:manualLayout>
          </c:layout>
          <c:overlay val="0"/>
        </c:title>
        <c:numFmt formatCode="General" sourceLinked="1"/>
        <c:majorTickMark val="none"/>
        <c:minorTickMark val="none"/>
        <c:tickLblPos val="nextTo"/>
        <c:txPr>
          <a:bodyPr/>
          <a:lstStyle/>
          <a:p>
            <a:pPr>
              <a:defRPr lang="en-US"/>
            </a:pPr>
            <a:endParaRPr lang="ro-RO"/>
          </a:p>
        </c:txPr>
        <c:crossAx val="241457792"/>
        <c:crosses val="autoZero"/>
        <c:crossBetween val="between"/>
      </c:valAx>
      <c:serAx>
        <c:axId val="241324032"/>
        <c:scaling>
          <c:orientation val="minMax"/>
        </c:scaling>
        <c:delete val="1"/>
        <c:axPos val="b"/>
        <c:majorTickMark val="out"/>
        <c:minorTickMark val="none"/>
        <c:tickLblPos val="none"/>
        <c:crossAx val="241496448"/>
        <c:crosses val="autoZero"/>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lang="en-US" sz="1200" baseline="0">
                <a:latin typeface="Arial" pitchFamily="34" charset="0"/>
              </a:defRPr>
            </a:pPr>
            <a:r>
              <a:rPr lang="ro-RO" sz="1200" baseline="0">
                <a:latin typeface="Arial" pitchFamily="34" charset="0"/>
              </a:rPr>
              <a:t>Contribuții ale sectoarelor de activitate din agricultură la emisiile de poluanți cu efect de acidifiere </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strRef>
              <c:f>Sheet1!$A$2:$A$3</c:f>
              <c:strCache>
                <c:ptCount val="2"/>
                <c:pt idx="0">
                  <c:v>Porcine</c:v>
                </c:pt>
                <c:pt idx="1">
                  <c:v>Găini ouătoare</c:v>
                </c:pt>
              </c:strCache>
            </c:strRef>
          </c:cat>
          <c:val>
            <c:numRef>
              <c:f>Sheet1!$B$2:$B$3</c:f>
              <c:numCache>
                <c:formatCode>General</c:formatCode>
                <c:ptCount val="2"/>
                <c:pt idx="0">
                  <c:v>0</c:v>
                </c:pt>
                <c:pt idx="1">
                  <c:v>0</c:v>
                </c:pt>
              </c:numCache>
            </c:numRef>
          </c:val>
          <c:extLst>
            <c:ext xmlns:c16="http://schemas.microsoft.com/office/drawing/2014/chart" uri="{C3380CC4-5D6E-409C-BE32-E72D297353CC}">
              <c16:uniqueId val="{00000000-BEE3-474B-AE60-EEC263ACF1D4}"/>
            </c:ext>
          </c:extLst>
        </c:ser>
        <c:ser>
          <c:idx val="1"/>
          <c:order val="1"/>
          <c:tx>
            <c:strRef>
              <c:f>Sheet1!$C$1</c:f>
              <c:strCache>
                <c:ptCount val="1"/>
                <c:pt idx="0">
                  <c:v>NH3</c:v>
                </c:pt>
              </c:strCache>
            </c:strRef>
          </c:tx>
          <c:invertIfNegative val="0"/>
          <c:cat>
            <c:strRef>
              <c:f>Sheet1!$A$2:$A$3</c:f>
              <c:strCache>
                <c:ptCount val="2"/>
                <c:pt idx="0">
                  <c:v>Porcine</c:v>
                </c:pt>
                <c:pt idx="1">
                  <c:v>Găini ouătoare</c:v>
                </c:pt>
              </c:strCache>
            </c:strRef>
          </c:cat>
          <c:val>
            <c:numRef>
              <c:f>Sheet1!$C$2:$C$2</c:f>
              <c:numCache>
                <c:formatCode>General</c:formatCode>
                <c:ptCount val="1"/>
                <c:pt idx="0">
                  <c:v>0.1</c:v>
                </c:pt>
              </c:numCache>
            </c:numRef>
          </c:val>
          <c:extLst>
            <c:ext xmlns:c16="http://schemas.microsoft.com/office/drawing/2014/chart" uri="{C3380CC4-5D6E-409C-BE32-E72D297353CC}">
              <c16:uniqueId val="{00000001-BEE3-474B-AE60-EEC263ACF1D4}"/>
            </c:ext>
          </c:extLst>
        </c:ser>
        <c:dLbls>
          <c:showLegendKey val="0"/>
          <c:showVal val="0"/>
          <c:showCatName val="0"/>
          <c:showSerName val="0"/>
          <c:showPercent val="0"/>
          <c:showBubbleSize val="0"/>
        </c:dLbls>
        <c:gapWidth val="150"/>
        <c:gapDepth val="20"/>
        <c:shape val="cone"/>
        <c:axId val="241506944"/>
        <c:axId val="241529216"/>
        <c:axId val="241324928"/>
      </c:bar3DChart>
      <c:catAx>
        <c:axId val="241506944"/>
        <c:scaling>
          <c:orientation val="minMax"/>
        </c:scaling>
        <c:delete val="0"/>
        <c:axPos val="b"/>
        <c:numFmt formatCode="General" sourceLinked="1"/>
        <c:majorTickMark val="none"/>
        <c:minorTickMark val="none"/>
        <c:tickLblPos val="nextTo"/>
        <c:txPr>
          <a:bodyPr/>
          <a:lstStyle/>
          <a:p>
            <a:pPr>
              <a:defRPr lang="en-US"/>
            </a:pPr>
            <a:endParaRPr lang="ro-RO"/>
          </a:p>
        </c:txPr>
        <c:crossAx val="241529216"/>
        <c:crossesAt val="0"/>
        <c:auto val="1"/>
        <c:lblAlgn val="ctr"/>
        <c:lblOffset val="100"/>
        <c:noMultiLvlLbl val="0"/>
      </c:catAx>
      <c:valAx>
        <c:axId val="241529216"/>
        <c:scaling>
          <c:orientation val="minMax"/>
        </c:scaling>
        <c:delete val="0"/>
        <c:axPos val="l"/>
        <c:title>
          <c:tx>
            <c:rich>
              <a:bodyPr rot="0" vert="horz"/>
              <a:lstStyle/>
              <a:p>
                <a:pPr>
                  <a:defRPr lang="en-US"/>
                </a:pPr>
                <a:r>
                  <a:rPr lang="ro-RO"/>
                  <a:t>%</a:t>
                </a:r>
              </a:p>
            </c:rich>
          </c:tx>
          <c:layout>
            <c:manualLayout>
              <c:xMode val="edge"/>
              <c:yMode val="edge"/>
              <c:x val="9.2116228834227584E-2"/>
              <c:y val="0.18768783742578873"/>
            </c:manualLayout>
          </c:layout>
          <c:overlay val="0"/>
        </c:title>
        <c:numFmt formatCode="General" sourceLinked="1"/>
        <c:majorTickMark val="none"/>
        <c:minorTickMark val="none"/>
        <c:tickLblPos val="nextTo"/>
        <c:txPr>
          <a:bodyPr/>
          <a:lstStyle/>
          <a:p>
            <a:pPr>
              <a:defRPr lang="en-US"/>
            </a:pPr>
            <a:endParaRPr lang="ro-RO"/>
          </a:p>
        </c:txPr>
        <c:crossAx val="241506944"/>
        <c:crosses val="autoZero"/>
        <c:crossBetween val="between"/>
      </c:valAx>
      <c:serAx>
        <c:axId val="241324928"/>
        <c:scaling>
          <c:orientation val="minMax"/>
        </c:scaling>
        <c:delete val="1"/>
        <c:axPos val="b"/>
        <c:majorTickMark val="out"/>
        <c:minorTickMark val="none"/>
        <c:tickLblPos val="none"/>
        <c:crossAx val="241529216"/>
        <c:crossesAt val="0"/>
      </c:serAx>
    </c:plotArea>
    <c:legend>
      <c:legendPos val="r"/>
      <c:layout>
        <c:manualLayout>
          <c:xMode val="edge"/>
          <c:yMode val="edge"/>
          <c:x val="0.83582215024755702"/>
          <c:y val="0.41275075295007951"/>
          <c:w val="0.10540284737135146"/>
          <c:h val="0.29979017108959088"/>
        </c:manualLayout>
      </c:layout>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o-RO"/>
              <a:t>Tendința emisiilor de poluanți cu efect de acidifiere și eutrofizare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o-R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15056801105971"/>
          <c:y val="0.36456790123456789"/>
          <c:w val="0.86685961010598866"/>
          <c:h val="0.35102848255079228"/>
        </c:manualLayout>
      </c:layout>
      <c:bar3DChart>
        <c:barDir val="col"/>
        <c:grouping val="standard"/>
        <c:varyColors val="0"/>
        <c:ser>
          <c:idx val="0"/>
          <c:order val="0"/>
          <c:tx>
            <c:strRef>
              <c:f>Sheet1!$B$1</c:f>
              <c:strCache>
                <c:ptCount val="1"/>
                <c:pt idx="0">
                  <c:v>Nox</c:v>
                </c:pt>
              </c:strCache>
            </c:strRef>
          </c:tx>
          <c:spPr>
            <a:gradFill rotWithShape="1">
              <a:gsLst>
                <a:gs pos="0">
                  <a:schemeClr val="accent5">
                    <a:shade val="65000"/>
                    <a:shade val="51000"/>
                    <a:satMod val="130000"/>
                  </a:schemeClr>
                </a:gs>
                <a:gs pos="80000">
                  <a:schemeClr val="accent5">
                    <a:shade val="65000"/>
                    <a:shade val="93000"/>
                    <a:satMod val="130000"/>
                  </a:schemeClr>
                </a:gs>
                <a:gs pos="100000">
                  <a:schemeClr val="accent5">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1.29129</c:v>
                </c:pt>
                <c:pt idx="1">
                  <c:v>1.58</c:v>
                </c:pt>
                <c:pt idx="2">
                  <c:v>1.1000000000000001</c:v>
                </c:pt>
                <c:pt idx="3">
                  <c:v>1.1919999999999999</c:v>
                </c:pt>
                <c:pt idx="4">
                  <c:v>1.2290000000000001</c:v>
                </c:pt>
              </c:numCache>
            </c:numRef>
          </c:val>
          <c:extLst>
            <c:ext xmlns:c16="http://schemas.microsoft.com/office/drawing/2014/chart" uri="{C3380CC4-5D6E-409C-BE32-E72D297353CC}">
              <c16:uniqueId val="{00000000-F0D5-4BB7-BC02-AB98C46B52A3}"/>
            </c:ext>
          </c:extLst>
        </c:ser>
        <c:ser>
          <c:idx val="1"/>
          <c:order val="1"/>
          <c:tx>
            <c:strRef>
              <c:f>Sheet1!$C$1</c:f>
              <c:strCache>
                <c:ptCount val="1"/>
                <c:pt idx="0">
                  <c:v>SO2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4.0000000000000001E-3</c:v>
                </c:pt>
                <c:pt idx="1">
                  <c:v>2.5999999999999999E-3</c:v>
                </c:pt>
                <c:pt idx="2">
                  <c:v>0.2</c:v>
                </c:pt>
                <c:pt idx="3">
                  <c:v>5.0000000000000001E-3</c:v>
                </c:pt>
                <c:pt idx="4">
                  <c:v>1.1000000000000001E-3</c:v>
                </c:pt>
              </c:numCache>
            </c:numRef>
          </c:val>
          <c:extLst>
            <c:ext xmlns:c16="http://schemas.microsoft.com/office/drawing/2014/chart" uri="{C3380CC4-5D6E-409C-BE32-E72D297353CC}">
              <c16:uniqueId val="{00000001-F0D5-4BB7-BC02-AB98C46B52A3}"/>
            </c:ext>
          </c:extLst>
        </c:ser>
        <c:ser>
          <c:idx val="2"/>
          <c:order val="2"/>
          <c:tx>
            <c:strRef>
              <c:f>Sheet1!$D$1</c:f>
              <c:strCache>
                <c:ptCount val="1"/>
                <c:pt idx="0">
                  <c:v>NH3</c:v>
                </c:pt>
              </c:strCache>
            </c:strRef>
          </c:tx>
          <c:spPr>
            <a:gradFill rotWithShape="1">
              <a:gsLst>
                <a:gs pos="0">
                  <a:schemeClr val="accent5">
                    <a:tint val="65000"/>
                    <a:shade val="51000"/>
                    <a:satMod val="130000"/>
                  </a:schemeClr>
                </a:gs>
                <a:gs pos="80000">
                  <a:schemeClr val="accent5">
                    <a:tint val="65000"/>
                    <a:shade val="93000"/>
                    <a:satMod val="130000"/>
                  </a:schemeClr>
                </a:gs>
                <a:gs pos="100000">
                  <a:schemeClr val="accent5">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6.02224</c:v>
                </c:pt>
                <c:pt idx="1">
                  <c:v>7.11</c:v>
                </c:pt>
                <c:pt idx="2">
                  <c:v>0.4</c:v>
                </c:pt>
                <c:pt idx="3">
                  <c:v>0.218</c:v>
                </c:pt>
                <c:pt idx="4">
                  <c:v>0.28899999999999998</c:v>
                </c:pt>
              </c:numCache>
            </c:numRef>
          </c:val>
          <c:extLst>
            <c:ext xmlns:c16="http://schemas.microsoft.com/office/drawing/2014/chart" uri="{C3380CC4-5D6E-409C-BE32-E72D297353CC}">
              <c16:uniqueId val="{00000002-F0D5-4BB7-BC02-AB98C46B52A3}"/>
            </c:ext>
          </c:extLst>
        </c:ser>
        <c:dLbls>
          <c:showLegendKey val="0"/>
          <c:showVal val="0"/>
          <c:showCatName val="0"/>
          <c:showSerName val="0"/>
          <c:showPercent val="0"/>
          <c:showBubbleSize val="0"/>
        </c:dLbls>
        <c:gapWidth val="150"/>
        <c:shape val="cone"/>
        <c:axId val="241548672"/>
        <c:axId val="241550464"/>
        <c:axId val="241537024"/>
      </c:bar3DChart>
      <c:catAx>
        <c:axId val="241548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41550464"/>
        <c:crossesAt val="0"/>
        <c:auto val="1"/>
        <c:lblAlgn val="ctr"/>
        <c:lblOffset val="100"/>
        <c:noMultiLvlLbl val="0"/>
      </c:catAx>
      <c:valAx>
        <c:axId val="241550464"/>
        <c:scaling>
          <c:orientation val="minMax"/>
          <c:max val="7"/>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ro-RO"/>
                  <a:t>Gg</a:t>
                </a:r>
              </a:p>
            </c:rich>
          </c:tx>
          <c:layout>
            <c:manualLayout>
              <c:xMode val="edge"/>
              <c:yMode val="edge"/>
              <c:x val="9.0131331714376844E-2"/>
              <c:y val="0.20270552053569491"/>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41548672"/>
        <c:crosses val="autoZero"/>
        <c:crossBetween val="between"/>
        <c:majorUnit val="2"/>
        <c:minorUnit val="0.2"/>
      </c:valAx>
      <c:serAx>
        <c:axId val="241537024"/>
        <c:scaling>
          <c:orientation val="minMax"/>
        </c:scaling>
        <c:delete val="0"/>
        <c:axPos val="b"/>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41550464"/>
        <c:crossesAt val="0"/>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poluanți cu efect de acidifiere și eutrofizare din sectorul de activitate energie</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2.8000000000000001E-2</c:v>
                </c:pt>
                <c:pt idx="1">
                  <c:v>0</c:v>
                </c:pt>
                <c:pt idx="2">
                  <c:v>0</c:v>
                </c:pt>
                <c:pt idx="3">
                  <c:v>0</c:v>
                </c:pt>
                <c:pt idx="4">
                  <c:v>0</c:v>
                </c:pt>
              </c:numCache>
            </c:numRef>
          </c:val>
          <c:extLst>
            <c:ext xmlns:c16="http://schemas.microsoft.com/office/drawing/2014/chart" uri="{C3380CC4-5D6E-409C-BE32-E72D297353CC}">
              <c16:uniqueId val="{00000000-19B7-41EE-9A7C-7A94167214B9}"/>
            </c:ext>
          </c:extLst>
        </c:ser>
        <c:ser>
          <c:idx val="1"/>
          <c:order val="1"/>
          <c:tx>
            <c:strRef>
              <c:f>Sheet1!$C$1</c:f>
              <c:strCache>
                <c:ptCount val="1"/>
                <c:pt idx="0">
                  <c:v>SO2</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8.9999999999999998E-4</c:v>
                </c:pt>
                <c:pt idx="1">
                  <c:v>0</c:v>
                </c:pt>
                <c:pt idx="2">
                  <c:v>0</c:v>
                </c:pt>
                <c:pt idx="3">
                  <c:v>0</c:v>
                </c:pt>
                <c:pt idx="4">
                  <c:v>0</c:v>
                </c:pt>
              </c:numCache>
            </c:numRef>
          </c:val>
          <c:extLst>
            <c:ext xmlns:c16="http://schemas.microsoft.com/office/drawing/2014/chart" uri="{C3380CC4-5D6E-409C-BE32-E72D297353CC}">
              <c16:uniqueId val="{00000001-19B7-41EE-9A7C-7A94167214B9}"/>
            </c:ext>
          </c:extLst>
        </c:ser>
        <c:ser>
          <c:idx val="2"/>
          <c:order val="2"/>
          <c:tx>
            <c:strRef>
              <c:f>Sheet1!$D$1</c:f>
              <c:strCache>
                <c:ptCount val="1"/>
                <c:pt idx="0">
                  <c:v>NH3</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19B7-41EE-9A7C-7A94167214B9}"/>
            </c:ext>
          </c:extLst>
        </c:ser>
        <c:dLbls>
          <c:showLegendKey val="0"/>
          <c:showVal val="0"/>
          <c:showCatName val="0"/>
          <c:showSerName val="0"/>
          <c:showPercent val="0"/>
          <c:showBubbleSize val="0"/>
        </c:dLbls>
        <c:gapWidth val="150"/>
        <c:shape val="cone"/>
        <c:axId val="241643904"/>
        <c:axId val="241645440"/>
        <c:axId val="241538368"/>
      </c:bar3DChart>
      <c:catAx>
        <c:axId val="241643904"/>
        <c:scaling>
          <c:orientation val="minMax"/>
        </c:scaling>
        <c:delete val="0"/>
        <c:axPos val="b"/>
        <c:numFmt formatCode="General" sourceLinked="1"/>
        <c:majorTickMark val="none"/>
        <c:minorTickMark val="none"/>
        <c:tickLblPos val="nextTo"/>
        <c:txPr>
          <a:bodyPr/>
          <a:lstStyle/>
          <a:p>
            <a:pPr>
              <a:defRPr lang="en-US"/>
            </a:pPr>
            <a:endParaRPr lang="ro-RO"/>
          </a:p>
        </c:txPr>
        <c:crossAx val="241645440"/>
        <c:crossesAt val="0"/>
        <c:auto val="1"/>
        <c:lblAlgn val="ctr"/>
        <c:lblOffset val="100"/>
        <c:noMultiLvlLbl val="0"/>
      </c:catAx>
      <c:valAx>
        <c:axId val="241645440"/>
        <c:scaling>
          <c:orientation val="minMax"/>
        </c:scaling>
        <c:delete val="0"/>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8.5146908038364347E-2"/>
              <c:y val="0.1990120763990374"/>
            </c:manualLayout>
          </c:layout>
          <c:overlay val="0"/>
        </c:title>
        <c:numFmt formatCode="General" sourceLinked="1"/>
        <c:majorTickMark val="none"/>
        <c:minorTickMark val="none"/>
        <c:tickLblPos val="nextTo"/>
        <c:txPr>
          <a:bodyPr/>
          <a:lstStyle/>
          <a:p>
            <a:pPr>
              <a:defRPr lang="en-US"/>
            </a:pPr>
            <a:endParaRPr lang="ro-RO"/>
          </a:p>
        </c:txPr>
        <c:crossAx val="241643904"/>
        <c:crosses val="autoZero"/>
        <c:crossBetween val="between"/>
        <c:majorUnit val="0.2"/>
      </c:valAx>
      <c:serAx>
        <c:axId val="241538368"/>
        <c:scaling>
          <c:orientation val="minMax"/>
        </c:scaling>
        <c:delete val="1"/>
        <c:axPos val="b"/>
        <c:majorTickMark val="out"/>
        <c:minorTickMark val="none"/>
        <c:tickLblPos val="none"/>
        <c:crossAx val="241645440"/>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poluanți cu efect de acidifiere și eutrofizare din sectorul de activitate industrie</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1.46E-2</c:v>
                </c:pt>
                <c:pt idx="1">
                  <c:v>5.8999999999999999E-3</c:v>
                </c:pt>
                <c:pt idx="2">
                  <c:v>8.0000000000000002E-3</c:v>
                </c:pt>
                <c:pt idx="3">
                  <c:v>0.01</c:v>
                </c:pt>
                <c:pt idx="4">
                  <c:v>8.9999999999999993E-3</c:v>
                </c:pt>
              </c:numCache>
            </c:numRef>
          </c:val>
          <c:extLst>
            <c:ext xmlns:c16="http://schemas.microsoft.com/office/drawing/2014/chart" uri="{C3380CC4-5D6E-409C-BE32-E72D297353CC}">
              <c16:uniqueId val="{00000000-404D-4B40-99CC-95B1AF9FBFBA}"/>
            </c:ext>
          </c:extLst>
        </c:ser>
        <c:ser>
          <c:idx val="1"/>
          <c:order val="1"/>
          <c:tx>
            <c:strRef>
              <c:f>Sheet1!$C$1</c:f>
              <c:strCache>
                <c:ptCount val="1"/>
                <c:pt idx="0">
                  <c:v>SO2</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2.1350000000000002E-3</c:v>
                </c:pt>
                <c:pt idx="1">
                  <c:v>8.9999999999999998E-4</c:v>
                </c:pt>
                <c:pt idx="2">
                  <c:v>1E-4</c:v>
                </c:pt>
                <c:pt idx="3">
                  <c:v>3.0000000000000001E-5</c:v>
                </c:pt>
                <c:pt idx="4">
                  <c:v>1.9999999999999999E-6</c:v>
                </c:pt>
              </c:numCache>
            </c:numRef>
          </c:val>
          <c:extLst>
            <c:ext xmlns:c16="http://schemas.microsoft.com/office/drawing/2014/chart" uri="{C3380CC4-5D6E-409C-BE32-E72D297353CC}">
              <c16:uniqueId val="{00000001-404D-4B40-99CC-95B1AF9FBFBA}"/>
            </c:ext>
          </c:extLst>
        </c:ser>
        <c:ser>
          <c:idx val="2"/>
          <c:order val="2"/>
          <c:tx>
            <c:strRef>
              <c:f>Sheet1!$D$1</c:f>
              <c:strCache>
                <c:ptCount val="1"/>
                <c:pt idx="0">
                  <c:v>NH3</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6.4999999999999997E-4</c:v>
                </c:pt>
                <c:pt idx="1">
                  <c:v>3.2000000000000003E-4</c:v>
                </c:pt>
                <c:pt idx="2">
                  <c:v>1.0000000000000001E-5</c:v>
                </c:pt>
                <c:pt idx="3">
                  <c:v>1.0000000000000001E-5</c:v>
                </c:pt>
                <c:pt idx="4">
                  <c:v>8.0000000000000007E-5</c:v>
                </c:pt>
              </c:numCache>
            </c:numRef>
          </c:val>
          <c:extLst>
            <c:ext xmlns:c16="http://schemas.microsoft.com/office/drawing/2014/chart" uri="{C3380CC4-5D6E-409C-BE32-E72D297353CC}">
              <c16:uniqueId val="{00000002-404D-4B40-99CC-95B1AF9FBFBA}"/>
            </c:ext>
          </c:extLst>
        </c:ser>
        <c:dLbls>
          <c:showLegendKey val="0"/>
          <c:showVal val="0"/>
          <c:showCatName val="0"/>
          <c:showSerName val="0"/>
          <c:showPercent val="0"/>
          <c:showBubbleSize val="0"/>
        </c:dLbls>
        <c:gapWidth val="150"/>
        <c:shape val="cone"/>
        <c:axId val="241468544"/>
        <c:axId val="241470080"/>
        <c:axId val="241540608"/>
      </c:bar3DChart>
      <c:catAx>
        <c:axId val="241468544"/>
        <c:scaling>
          <c:orientation val="minMax"/>
        </c:scaling>
        <c:delete val="0"/>
        <c:axPos val="b"/>
        <c:numFmt formatCode="General" sourceLinked="1"/>
        <c:majorTickMark val="none"/>
        <c:minorTickMark val="none"/>
        <c:tickLblPos val="nextTo"/>
        <c:txPr>
          <a:bodyPr/>
          <a:lstStyle/>
          <a:p>
            <a:pPr>
              <a:defRPr lang="en-US"/>
            </a:pPr>
            <a:endParaRPr lang="ro-RO"/>
          </a:p>
        </c:txPr>
        <c:crossAx val="241470080"/>
        <c:crossesAt val="0"/>
        <c:auto val="1"/>
        <c:lblAlgn val="ctr"/>
        <c:lblOffset val="100"/>
        <c:noMultiLvlLbl val="0"/>
      </c:catAx>
      <c:valAx>
        <c:axId val="241470080"/>
        <c:scaling>
          <c:orientation val="minMax"/>
        </c:scaling>
        <c:delete val="0"/>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0.12253012677212829"/>
              <c:y val="0.20270564583682713"/>
            </c:manualLayout>
          </c:layout>
          <c:overlay val="0"/>
        </c:title>
        <c:numFmt formatCode="General" sourceLinked="1"/>
        <c:majorTickMark val="none"/>
        <c:minorTickMark val="none"/>
        <c:tickLblPos val="nextTo"/>
        <c:txPr>
          <a:bodyPr/>
          <a:lstStyle/>
          <a:p>
            <a:pPr>
              <a:defRPr lang="en-US"/>
            </a:pPr>
            <a:endParaRPr lang="ro-RO"/>
          </a:p>
        </c:txPr>
        <c:crossAx val="241468544"/>
        <c:crosses val="autoZero"/>
        <c:crossBetween val="between"/>
        <c:majorUnit val="2.0000000000000011E-2"/>
      </c:valAx>
      <c:serAx>
        <c:axId val="241540608"/>
        <c:scaling>
          <c:orientation val="minMax"/>
        </c:scaling>
        <c:delete val="1"/>
        <c:axPos val="b"/>
        <c:majorTickMark val="out"/>
        <c:minorTickMark val="none"/>
        <c:tickLblPos val="none"/>
        <c:crossAx val="241470080"/>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poluanți cu efect de acidifiere și eutrofizare din sectorul de activitate transport</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2674259813464275"/>
          <c:y val="0.15634231247410224"/>
          <c:w val="0.74597689126498523"/>
          <c:h val="0.74172206105815763"/>
        </c:manualLayout>
      </c:layout>
      <c:bar3DChart>
        <c:barDir val="col"/>
        <c:grouping val="standard"/>
        <c:varyColors val="0"/>
        <c:ser>
          <c:idx val="0"/>
          <c:order val="0"/>
          <c:tx>
            <c:strRef>
              <c:f>Sheet1!$B$1</c:f>
              <c:strCache>
                <c:ptCount val="1"/>
                <c:pt idx="0">
                  <c:v>NH3</c:v>
                </c:pt>
              </c:strCache>
            </c:strRef>
          </c:tx>
          <c:invertIfNegative val="0"/>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9.2999999999999992E-3</c:v>
                </c:pt>
                <c:pt idx="1">
                  <c:v>8.6999999999999994E-3</c:v>
                </c:pt>
                <c:pt idx="2">
                  <c:v>0.01</c:v>
                </c:pt>
                <c:pt idx="3">
                  <c:v>1.0999999999999999E-2</c:v>
                </c:pt>
              </c:numCache>
            </c:numRef>
          </c:val>
          <c:extLst>
            <c:ext xmlns:c16="http://schemas.microsoft.com/office/drawing/2014/chart" uri="{C3380CC4-5D6E-409C-BE32-E72D297353CC}">
              <c16:uniqueId val="{00000000-B430-4B48-B508-25E97C53E5E5}"/>
            </c:ext>
          </c:extLst>
        </c:ser>
        <c:ser>
          <c:idx val="1"/>
          <c:order val="1"/>
          <c:tx>
            <c:strRef>
              <c:f>Sheet1!$C$1</c:f>
              <c:strCache>
                <c:ptCount val="1"/>
                <c:pt idx="0">
                  <c:v>Nox</c:v>
                </c:pt>
              </c:strCache>
            </c:strRef>
          </c:tx>
          <c:invertIfNegative val="0"/>
          <c:cat>
            <c:numRef>
              <c:f>Sheet1!$A$2:$A$5</c:f>
              <c:numCache>
                <c:formatCode>General</c:formatCode>
                <c:ptCount val="4"/>
                <c:pt idx="0">
                  <c:v>2014</c:v>
                </c:pt>
                <c:pt idx="1">
                  <c:v>2015</c:v>
                </c:pt>
                <c:pt idx="2">
                  <c:v>2016</c:v>
                </c:pt>
                <c:pt idx="3">
                  <c:v>2017</c:v>
                </c:pt>
              </c:numCache>
            </c:numRef>
          </c:cat>
          <c:val>
            <c:numRef>
              <c:f>Sheet1!$C$2:$C$5</c:f>
              <c:numCache>
                <c:formatCode>General</c:formatCode>
                <c:ptCount val="4"/>
                <c:pt idx="0">
                  <c:v>0.97799999999999998</c:v>
                </c:pt>
                <c:pt idx="1">
                  <c:v>0.996</c:v>
                </c:pt>
                <c:pt idx="2">
                  <c:v>0.96299999999999997</c:v>
                </c:pt>
                <c:pt idx="3">
                  <c:v>0.98599999999999999</c:v>
                </c:pt>
              </c:numCache>
            </c:numRef>
          </c:val>
          <c:extLst>
            <c:ext xmlns:c16="http://schemas.microsoft.com/office/drawing/2014/chart" uri="{C3380CC4-5D6E-409C-BE32-E72D297353CC}">
              <c16:uniqueId val="{00000001-B430-4B48-B508-25E97C53E5E5}"/>
            </c:ext>
          </c:extLst>
        </c:ser>
        <c:dLbls>
          <c:showLegendKey val="0"/>
          <c:showVal val="0"/>
          <c:showCatName val="0"/>
          <c:showSerName val="0"/>
          <c:showPercent val="0"/>
          <c:showBubbleSize val="0"/>
        </c:dLbls>
        <c:gapWidth val="150"/>
        <c:shape val="cone"/>
        <c:axId val="241767552"/>
        <c:axId val="241769088"/>
        <c:axId val="241724032"/>
      </c:bar3DChart>
      <c:catAx>
        <c:axId val="241767552"/>
        <c:scaling>
          <c:orientation val="minMax"/>
        </c:scaling>
        <c:delete val="0"/>
        <c:axPos val="b"/>
        <c:numFmt formatCode="General" sourceLinked="1"/>
        <c:majorTickMark val="none"/>
        <c:minorTickMark val="none"/>
        <c:tickLblPos val="nextTo"/>
        <c:txPr>
          <a:bodyPr/>
          <a:lstStyle/>
          <a:p>
            <a:pPr>
              <a:defRPr lang="en-US"/>
            </a:pPr>
            <a:endParaRPr lang="ro-RO"/>
          </a:p>
        </c:txPr>
        <c:crossAx val="241769088"/>
        <c:crossesAt val="0"/>
        <c:auto val="1"/>
        <c:lblAlgn val="ctr"/>
        <c:lblOffset val="100"/>
        <c:noMultiLvlLbl val="0"/>
      </c:catAx>
      <c:valAx>
        <c:axId val="241769088"/>
        <c:scaling>
          <c:orientation val="minMax"/>
        </c:scaling>
        <c:delete val="0"/>
        <c:axPos val="l"/>
        <c:majorGridlines/>
        <c:title>
          <c:tx>
            <c:rich>
              <a:bodyPr rot="0" vert="horz"/>
              <a:lstStyle/>
              <a:p>
                <a:pPr>
                  <a:defRPr lang="en-US"/>
                </a:pPr>
                <a:r>
                  <a:rPr lang="ro-RO"/>
                  <a:t>Gg</a:t>
                </a:r>
              </a:p>
            </c:rich>
          </c:tx>
          <c:layout>
            <c:manualLayout>
              <c:xMode val="edge"/>
              <c:yMode val="edge"/>
              <c:x val="0.12253012677212829"/>
              <c:y val="0.20270564583682724"/>
            </c:manualLayout>
          </c:layout>
          <c:overlay val="0"/>
        </c:title>
        <c:numFmt formatCode="General" sourceLinked="1"/>
        <c:majorTickMark val="none"/>
        <c:minorTickMark val="none"/>
        <c:tickLblPos val="nextTo"/>
        <c:txPr>
          <a:bodyPr/>
          <a:lstStyle/>
          <a:p>
            <a:pPr>
              <a:defRPr lang="en-US"/>
            </a:pPr>
            <a:endParaRPr lang="ro-RO"/>
          </a:p>
        </c:txPr>
        <c:crossAx val="241767552"/>
        <c:crosses val="autoZero"/>
        <c:crossBetween val="between"/>
        <c:majorUnit val="1"/>
      </c:valAx>
      <c:serAx>
        <c:axId val="241724032"/>
        <c:scaling>
          <c:orientation val="minMax"/>
        </c:scaling>
        <c:delete val="1"/>
        <c:axPos val="b"/>
        <c:majorTickMark val="out"/>
        <c:minorTickMark val="none"/>
        <c:tickLblPos val="none"/>
        <c:crossAx val="241769088"/>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8"/>
      <c:hPercent val="46"/>
      <c:rotY val="44"/>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0.13387065525344793"/>
          <c:y val="2.1897810218979061E-2"/>
          <c:w val="0.61211012394510778"/>
          <c:h val="0.74155730533683251"/>
        </c:manualLayout>
      </c:layout>
      <c:bar3DChart>
        <c:barDir val="col"/>
        <c:grouping val="clustered"/>
        <c:varyColors val="0"/>
        <c:ser>
          <c:idx val="3"/>
          <c:order val="0"/>
          <c:tx>
            <c:strRef>
              <c:f>Sheet1!$A$2</c:f>
              <c:strCache>
                <c:ptCount val="1"/>
                <c:pt idx="0">
                  <c:v>Medii anuale grv. 2018     Valori orientative</c:v>
                </c:pt>
              </c:strCache>
            </c:strRef>
          </c:tx>
          <c:invertIfNegative val="0"/>
          <c:cat>
            <c:strRef>
              <c:f>Sheet1!$B$1:$F$1</c:f>
              <c:strCache>
                <c:ptCount val="5"/>
                <c:pt idx="0">
                  <c:v>BR1</c:v>
                </c:pt>
                <c:pt idx="1">
                  <c:v>BR2</c:v>
                </c:pt>
                <c:pt idx="2">
                  <c:v>BR3</c:v>
                </c:pt>
                <c:pt idx="3">
                  <c:v>BR4</c:v>
                </c:pt>
                <c:pt idx="4">
                  <c:v>BR5</c:v>
                </c:pt>
              </c:strCache>
            </c:strRef>
          </c:cat>
          <c:val>
            <c:numRef>
              <c:f>Sheet1!$B$2:$F$2</c:f>
              <c:numCache>
                <c:formatCode>General</c:formatCode>
                <c:ptCount val="5"/>
                <c:pt idx="0">
                  <c:v>22.72</c:v>
                </c:pt>
                <c:pt idx="1">
                  <c:v>17.52</c:v>
                </c:pt>
                <c:pt idx="2">
                  <c:v>20.18</c:v>
                </c:pt>
                <c:pt idx="3">
                  <c:v>20.350000000000001</c:v>
                </c:pt>
              </c:numCache>
            </c:numRef>
          </c:val>
          <c:extLst>
            <c:ext xmlns:c16="http://schemas.microsoft.com/office/drawing/2014/chart" uri="{C3380CC4-5D6E-409C-BE32-E72D297353CC}">
              <c16:uniqueId val="{00000000-A948-4828-A27B-4E40D4F7C6FD}"/>
            </c:ext>
          </c:extLst>
        </c:ser>
        <c:dLbls>
          <c:showLegendKey val="0"/>
          <c:showVal val="0"/>
          <c:showCatName val="0"/>
          <c:showSerName val="0"/>
          <c:showPercent val="0"/>
          <c:showBubbleSize val="0"/>
        </c:dLbls>
        <c:gapWidth val="270"/>
        <c:gapDepth val="0"/>
        <c:shape val="box"/>
        <c:axId val="231087104"/>
        <c:axId val="231327616"/>
        <c:axId val="0"/>
        <c:extLst>
          <c:ext xmlns:c15="http://schemas.microsoft.com/office/drawing/2012/chart" uri="{02D57815-91ED-43cb-92C2-25804820EDAC}">
            <c15:filteredBarSeries>
              <c15:ser>
                <c:idx val="15"/>
                <c:order val="1"/>
                <c:tx>
                  <c:strRef>
                    <c:extLst>
                      <c:ext uri="{02D57815-91ED-43cb-92C2-25804820EDAC}">
                        <c15:formulaRef>
                          <c15:sqref>Sheet1!$A$3</c15:sqref>
                        </c15:formulaRef>
                      </c:ext>
                    </c:extLst>
                    <c:strCache>
                      <c:ptCount val="1"/>
                    </c:strCache>
                  </c:strRef>
                </c:tx>
                <c:invertIfNegative val="0"/>
                <c:cat>
                  <c:strRef>
                    <c:extLst>
                      <c:ext uri="{02D57815-91ED-43cb-92C2-25804820EDAC}">
                        <c15:formulaRef>
                          <c15:sqref>Sheet1!$B$1:$F$1</c15:sqref>
                        </c15:formulaRef>
                      </c:ext>
                    </c:extLst>
                    <c:strCache>
                      <c:ptCount val="5"/>
                      <c:pt idx="0">
                        <c:v>BR1</c:v>
                      </c:pt>
                      <c:pt idx="1">
                        <c:v>BR2</c:v>
                      </c:pt>
                      <c:pt idx="2">
                        <c:v>BR3</c:v>
                      </c:pt>
                      <c:pt idx="3">
                        <c:v>BR4</c:v>
                      </c:pt>
                      <c:pt idx="4">
                        <c:v>BR5</c:v>
                      </c:pt>
                    </c:strCache>
                  </c:strRef>
                </c:cat>
                <c:val>
                  <c:numRef>
                    <c:extLst>
                      <c:ext uri="{02D57815-91ED-43cb-92C2-25804820EDAC}">
                        <c15:formulaRef>
                          <c15:sqref>Sheet1!$B$3:$F$3</c15:sqref>
                        </c15:formulaRef>
                      </c:ext>
                    </c:extLst>
                    <c:numCache>
                      <c:formatCode>General</c:formatCode>
                      <c:ptCount val="5"/>
                    </c:numCache>
                  </c:numRef>
                </c:val>
                <c:extLst>
                  <c:ext xmlns:c16="http://schemas.microsoft.com/office/drawing/2014/chart" uri="{C3380CC4-5D6E-409C-BE32-E72D297353CC}">
                    <c16:uniqueId val="{00000001-A948-4828-A27B-4E40D4F7C6FD}"/>
                  </c:ext>
                </c:extLst>
              </c15:ser>
            </c15:filteredBarSeries>
          </c:ext>
        </c:extLst>
      </c:bar3DChart>
      <c:catAx>
        <c:axId val="231087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31327616"/>
        <c:crosses val="autoZero"/>
        <c:auto val="1"/>
        <c:lblAlgn val="ctr"/>
        <c:lblOffset val="100"/>
        <c:tickLblSkip val="1"/>
        <c:tickMarkSkip val="1"/>
        <c:noMultiLvlLbl val="0"/>
      </c:catAx>
      <c:valAx>
        <c:axId val="231327616"/>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4.5210965845902014E-2"/>
              <c:y val="0.1506803149606299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31087104"/>
        <c:crosses val="autoZero"/>
        <c:crossBetween val="between"/>
      </c:valAx>
      <c:spPr>
        <a:noFill/>
        <a:ln w="25399">
          <a:noFill/>
        </a:ln>
      </c:spPr>
    </c:plotArea>
    <c:legend>
      <c:legendPos val="r"/>
      <c:layout>
        <c:manualLayout>
          <c:xMode val="edge"/>
          <c:yMode val="edge"/>
          <c:x val="0.76263222360362837"/>
          <c:y val="0.24213217523697714"/>
          <c:w val="0.2326894138232721"/>
          <c:h val="0.39069249091319647"/>
        </c:manualLayout>
      </c:layout>
      <c:overlay val="0"/>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poluanți cu efect de acidifiere și eutrofizare din sectorul de activitate agricultură</a:t>
            </a:r>
          </a:p>
          <a:p>
            <a:pPr>
              <a:defRPr lang="en-US" sz="1200" baseline="0">
                <a:latin typeface="Arial" pitchFamily="34" charset="0"/>
              </a:defRPr>
            </a:pPr>
            <a:endParaRPr lang="ro-RO" sz="1200" baseline="0">
              <a:latin typeface="Arial"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NH3</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6.01</c:v>
                </c:pt>
                <c:pt idx="1">
                  <c:v>7.09</c:v>
                </c:pt>
                <c:pt idx="2">
                  <c:v>0.3</c:v>
                </c:pt>
                <c:pt idx="3">
                  <c:v>0.2</c:v>
                </c:pt>
                <c:pt idx="4">
                  <c:v>0.2</c:v>
                </c:pt>
              </c:numCache>
            </c:numRef>
          </c:val>
          <c:extLst>
            <c:ext xmlns:c16="http://schemas.microsoft.com/office/drawing/2014/chart" uri="{C3380CC4-5D6E-409C-BE32-E72D297353CC}">
              <c16:uniqueId val="{00000000-4E7D-4C6A-B46D-7A10927D7AB2}"/>
            </c:ext>
          </c:extLst>
        </c:ser>
        <c:ser>
          <c:idx val="1"/>
          <c:order val="1"/>
          <c:tx>
            <c:strRef>
              <c:f>Sheet1!$C$1</c:f>
              <c:strCache>
                <c:ptCount val="1"/>
                <c:pt idx="0">
                  <c:v>N2O</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0.44900000000000001</c:v>
                </c:pt>
                <c:pt idx="1">
                  <c:v>0.44900000000000001</c:v>
                </c:pt>
                <c:pt idx="2">
                  <c:v>0.02</c:v>
                </c:pt>
                <c:pt idx="3">
                  <c:v>0</c:v>
                </c:pt>
                <c:pt idx="4">
                  <c:v>0</c:v>
                </c:pt>
              </c:numCache>
            </c:numRef>
          </c:val>
          <c:extLst>
            <c:ext xmlns:c16="http://schemas.microsoft.com/office/drawing/2014/chart" uri="{C3380CC4-5D6E-409C-BE32-E72D297353CC}">
              <c16:uniqueId val="{00000001-4E7D-4C6A-B46D-7A10927D7AB2}"/>
            </c:ext>
          </c:extLst>
        </c:ser>
        <c:dLbls>
          <c:showLegendKey val="0"/>
          <c:showVal val="0"/>
          <c:showCatName val="0"/>
          <c:showSerName val="0"/>
          <c:showPercent val="0"/>
          <c:showBubbleSize val="0"/>
        </c:dLbls>
        <c:gapWidth val="150"/>
        <c:shape val="cone"/>
        <c:axId val="241804416"/>
        <c:axId val="241805952"/>
        <c:axId val="241538816"/>
      </c:bar3DChart>
      <c:catAx>
        <c:axId val="241804416"/>
        <c:scaling>
          <c:orientation val="minMax"/>
        </c:scaling>
        <c:delete val="0"/>
        <c:axPos val="b"/>
        <c:numFmt formatCode="General" sourceLinked="1"/>
        <c:majorTickMark val="none"/>
        <c:minorTickMark val="none"/>
        <c:tickLblPos val="nextTo"/>
        <c:txPr>
          <a:bodyPr/>
          <a:lstStyle/>
          <a:p>
            <a:pPr>
              <a:defRPr lang="en-US"/>
            </a:pPr>
            <a:endParaRPr lang="ro-RO"/>
          </a:p>
        </c:txPr>
        <c:crossAx val="241805952"/>
        <c:crossesAt val="0"/>
        <c:auto val="1"/>
        <c:lblAlgn val="ctr"/>
        <c:lblOffset val="100"/>
        <c:noMultiLvlLbl val="0"/>
      </c:catAx>
      <c:valAx>
        <c:axId val="241805952"/>
        <c:scaling>
          <c:orientation val="minMax"/>
          <c:max val="9"/>
          <c:min val="1"/>
        </c:scaling>
        <c:delete val="0"/>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9.0131331714376844E-2"/>
              <c:y val="0.26549407085887478"/>
            </c:manualLayout>
          </c:layout>
          <c:overlay val="0"/>
        </c:title>
        <c:numFmt formatCode="General" sourceLinked="1"/>
        <c:majorTickMark val="none"/>
        <c:minorTickMark val="none"/>
        <c:tickLblPos val="nextTo"/>
        <c:txPr>
          <a:bodyPr/>
          <a:lstStyle/>
          <a:p>
            <a:pPr>
              <a:defRPr lang="en-US"/>
            </a:pPr>
            <a:endParaRPr lang="ro-RO"/>
          </a:p>
        </c:txPr>
        <c:crossAx val="241804416"/>
        <c:crosses val="autoZero"/>
        <c:crossBetween val="between"/>
      </c:valAx>
      <c:serAx>
        <c:axId val="241538816"/>
        <c:scaling>
          <c:orientation val="minMax"/>
        </c:scaling>
        <c:delete val="1"/>
        <c:axPos val="b"/>
        <c:majorTickMark val="out"/>
        <c:minorTickMark val="none"/>
        <c:tickLblPos val="none"/>
        <c:crossAx val="241805952"/>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baseline="0"/>
            </a:pPr>
            <a:r>
              <a:rPr lang="ro-RO" sz="1200" baseline="0">
                <a:latin typeface="Arial" pitchFamily="34" charset="0"/>
                <a:cs typeface="Arial" pitchFamily="34" charset="0"/>
              </a:rPr>
              <a:t>Tendința emisiilor de poluanți precursori ai ozonului</a:t>
            </a:r>
            <a:endParaRPr lang="ro-RO" baseline="0"/>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1.29129</c:v>
                </c:pt>
                <c:pt idx="1">
                  <c:v>1.58</c:v>
                </c:pt>
                <c:pt idx="2">
                  <c:v>1.1000000000000001</c:v>
                </c:pt>
                <c:pt idx="3">
                  <c:v>1.292</c:v>
                </c:pt>
                <c:pt idx="4">
                  <c:v>1.2290000000000001</c:v>
                </c:pt>
              </c:numCache>
            </c:numRef>
          </c:val>
          <c:extLst>
            <c:ext xmlns:c16="http://schemas.microsoft.com/office/drawing/2014/chart" uri="{C3380CC4-5D6E-409C-BE32-E72D297353CC}">
              <c16:uniqueId val="{00000000-1EAA-4B8F-82C2-3987E741B937}"/>
            </c:ext>
          </c:extLst>
        </c:ser>
        <c:ser>
          <c:idx val="1"/>
          <c:order val="1"/>
          <c:tx>
            <c:strRef>
              <c:f>Sheet1!$C$1</c:f>
              <c:strCache>
                <c:ptCount val="1"/>
                <c:pt idx="0">
                  <c:v>NMCOV</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2.14</c:v>
                </c:pt>
                <c:pt idx="1">
                  <c:v>1.82</c:v>
                </c:pt>
                <c:pt idx="2">
                  <c:v>2.2000000000000002</c:v>
                </c:pt>
                <c:pt idx="3">
                  <c:v>2.1070000000000002</c:v>
                </c:pt>
                <c:pt idx="4">
                  <c:v>2.4449999999999998</c:v>
                </c:pt>
              </c:numCache>
            </c:numRef>
          </c:val>
          <c:extLst>
            <c:ext xmlns:c16="http://schemas.microsoft.com/office/drawing/2014/chart" uri="{C3380CC4-5D6E-409C-BE32-E72D297353CC}">
              <c16:uniqueId val="{00000001-1EAA-4B8F-82C2-3987E741B937}"/>
            </c:ext>
          </c:extLst>
        </c:ser>
        <c:ser>
          <c:idx val="2"/>
          <c:order val="2"/>
          <c:tx>
            <c:strRef>
              <c:f>Sheet1!$D$1</c:f>
              <c:strCache>
                <c:ptCount val="1"/>
                <c:pt idx="0">
                  <c:v>CO</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2.6829999999999998</c:v>
                </c:pt>
                <c:pt idx="1">
                  <c:v>2.73</c:v>
                </c:pt>
                <c:pt idx="2">
                  <c:v>4.0999999999999996</c:v>
                </c:pt>
                <c:pt idx="3">
                  <c:v>1.885</c:v>
                </c:pt>
                <c:pt idx="4">
                  <c:v>2.335</c:v>
                </c:pt>
              </c:numCache>
            </c:numRef>
          </c:val>
          <c:extLst>
            <c:ext xmlns:c16="http://schemas.microsoft.com/office/drawing/2014/chart" uri="{C3380CC4-5D6E-409C-BE32-E72D297353CC}">
              <c16:uniqueId val="{00000002-1EAA-4B8F-82C2-3987E741B937}"/>
            </c:ext>
          </c:extLst>
        </c:ser>
        <c:dLbls>
          <c:showLegendKey val="0"/>
          <c:showVal val="0"/>
          <c:showCatName val="0"/>
          <c:showSerName val="0"/>
          <c:showPercent val="0"/>
          <c:showBubbleSize val="0"/>
        </c:dLbls>
        <c:gapWidth val="150"/>
        <c:shape val="cone"/>
        <c:axId val="241821568"/>
        <c:axId val="241823104"/>
        <c:axId val="241834624"/>
      </c:bar3DChart>
      <c:catAx>
        <c:axId val="241821568"/>
        <c:scaling>
          <c:orientation val="minMax"/>
        </c:scaling>
        <c:delete val="0"/>
        <c:axPos val="b"/>
        <c:numFmt formatCode="General" sourceLinked="1"/>
        <c:majorTickMark val="none"/>
        <c:minorTickMark val="none"/>
        <c:tickLblPos val="nextTo"/>
        <c:txPr>
          <a:bodyPr/>
          <a:lstStyle/>
          <a:p>
            <a:pPr>
              <a:defRPr lang="en-US"/>
            </a:pPr>
            <a:endParaRPr lang="ro-RO"/>
          </a:p>
        </c:txPr>
        <c:crossAx val="241823104"/>
        <c:crossesAt val="0"/>
        <c:auto val="1"/>
        <c:lblAlgn val="ctr"/>
        <c:lblOffset val="100"/>
        <c:noMultiLvlLbl val="0"/>
      </c:catAx>
      <c:valAx>
        <c:axId val="241823104"/>
        <c:scaling>
          <c:orientation val="minMax"/>
        </c:scaling>
        <c:delete val="0"/>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8.0162484362351891E-2"/>
              <c:y val="0.15838419089580863"/>
            </c:manualLayout>
          </c:layout>
          <c:overlay val="0"/>
        </c:title>
        <c:numFmt formatCode="General" sourceLinked="1"/>
        <c:majorTickMark val="none"/>
        <c:minorTickMark val="none"/>
        <c:tickLblPos val="nextTo"/>
        <c:spPr>
          <a:noFill/>
        </c:spPr>
        <c:txPr>
          <a:bodyPr/>
          <a:lstStyle/>
          <a:p>
            <a:pPr>
              <a:defRPr lang="en-US"/>
            </a:pPr>
            <a:endParaRPr lang="ro-RO"/>
          </a:p>
        </c:txPr>
        <c:crossAx val="241821568"/>
        <c:crosses val="autoZero"/>
        <c:crossBetween val="between"/>
      </c:valAx>
      <c:serAx>
        <c:axId val="241834624"/>
        <c:scaling>
          <c:orientation val="minMax"/>
        </c:scaling>
        <c:delete val="1"/>
        <c:axPos val="b"/>
        <c:majorTickMark val="out"/>
        <c:minorTickMark val="none"/>
        <c:tickLblPos val="none"/>
        <c:crossAx val="241823104"/>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energie</a:t>
            </a:r>
            <a:endParaRPr lang="ro-RO" baseline="0"/>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2.8000000000000001E-2</c:v>
                </c:pt>
                <c:pt idx="1">
                  <c:v>0</c:v>
                </c:pt>
                <c:pt idx="2">
                  <c:v>0</c:v>
                </c:pt>
                <c:pt idx="3">
                  <c:v>0</c:v>
                </c:pt>
                <c:pt idx="4">
                  <c:v>0</c:v>
                </c:pt>
              </c:numCache>
            </c:numRef>
          </c:val>
          <c:extLst>
            <c:ext xmlns:c16="http://schemas.microsoft.com/office/drawing/2014/chart" uri="{C3380CC4-5D6E-409C-BE32-E72D297353CC}">
              <c16:uniqueId val="{00000000-22DB-4ED1-8164-22B5A747340B}"/>
            </c:ext>
          </c:extLst>
        </c:ser>
        <c:ser>
          <c:idx val="1"/>
          <c:order val="1"/>
          <c:tx>
            <c:strRef>
              <c:f>Sheet1!$C$1</c:f>
              <c:strCache>
                <c:ptCount val="1"/>
                <c:pt idx="0">
                  <c:v>NMCOV</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4.7000000000000112E-4</c:v>
                </c:pt>
                <c:pt idx="1">
                  <c:v>0</c:v>
                </c:pt>
                <c:pt idx="2">
                  <c:v>0</c:v>
                </c:pt>
                <c:pt idx="3">
                  <c:v>0</c:v>
                </c:pt>
                <c:pt idx="4">
                  <c:v>0</c:v>
                </c:pt>
              </c:numCache>
            </c:numRef>
          </c:val>
          <c:extLst>
            <c:ext xmlns:c16="http://schemas.microsoft.com/office/drawing/2014/chart" uri="{C3380CC4-5D6E-409C-BE32-E72D297353CC}">
              <c16:uniqueId val="{00000001-22DB-4ED1-8164-22B5A747340B}"/>
            </c:ext>
          </c:extLst>
        </c:ser>
        <c:ser>
          <c:idx val="2"/>
          <c:order val="2"/>
          <c:tx>
            <c:strRef>
              <c:f>Sheet1!$D$1</c:f>
              <c:strCache>
                <c:ptCount val="1"/>
                <c:pt idx="0">
                  <c:v>CO</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1.2E-2</c:v>
                </c:pt>
                <c:pt idx="1">
                  <c:v>0</c:v>
                </c:pt>
                <c:pt idx="2">
                  <c:v>0</c:v>
                </c:pt>
                <c:pt idx="3">
                  <c:v>0</c:v>
                </c:pt>
                <c:pt idx="4">
                  <c:v>0</c:v>
                </c:pt>
              </c:numCache>
            </c:numRef>
          </c:val>
          <c:extLst>
            <c:ext xmlns:c16="http://schemas.microsoft.com/office/drawing/2014/chart" uri="{C3380CC4-5D6E-409C-BE32-E72D297353CC}">
              <c16:uniqueId val="{00000002-22DB-4ED1-8164-22B5A747340B}"/>
            </c:ext>
          </c:extLst>
        </c:ser>
        <c:dLbls>
          <c:showLegendKey val="0"/>
          <c:showVal val="0"/>
          <c:showCatName val="0"/>
          <c:showSerName val="0"/>
          <c:showPercent val="0"/>
          <c:showBubbleSize val="0"/>
        </c:dLbls>
        <c:gapWidth val="150"/>
        <c:shape val="cone"/>
        <c:axId val="241908352"/>
        <c:axId val="241922432"/>
        <c:axId val="241835520"/>
      </c:bar3DChart>
      <c:catAx>
        <c:axId val="241908352"/>
        <c:scaling>
          <c:orientation val="minMax"/>
        </c:scaling>
        <c:delete val="0"/>
        <c:axPos val="b"/>
        <c:numFmt formatCode="General" sourceLinked="1"/>
        <c:majorTickMark val="none"/>
        <c:minorTickMark val="none"/>
        <c:tickLblPos val="nextTo"/>
        <c:txPr>
          <a:bodyPr/>
          <a:lstStyle/>
          <a:p>
            <a:pPr>
              <a:defRPr lang="en-US"/>
            </a:pPr>
            <a:endParaRPr lang="ro-RO"/>
          </a:p>
        </c:txPr>
        <c:crossAx val="241922432"/>
        <c:crossesAt val="0"/>
        <c:auto val="1"/>
        <c:lblAlgn val="ctr"/>
        <c:lblOffset val="100"/>
        <c:noMultiLvlLbl val="0"/>
      </c:catAx>
      <c:valAx>
        <c:axId val="241922432"/>
        <c:scaling>
          <c:orientation val="minMax"/>
        </c:scaling>
        <c:delete val="0"/>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9.0131331714376844E-2"/>
              <c:y val="0.20270552053569491"/>
            </c:manualLayout>
          </c:layout>
          <c:overlay val="0"/>
        </c:title>
        <c:numFmt formatCode="General" sourceLinked="1"/>
        <c:majorTickMark val="none"/>
        <c:minorTickMark val="none"/>
        <c:tickLblPos val="nextTo"/>
        <c:spPr>
          <a:noFill/>
        </c:spPr>
        <c:txPr>
          <a:bodyPr/>
          <a:lstStyle/>
          <a:p>
            <a:pPr>
              <a:defRPr lang="en-US"/>
            </a:pPr>
            <a:endParaRPr lang="ro-RO"/>
          </a:p>
        </c:txPr>
        <c:crossAx val="241908352"/>
        <c:crosses val="autoZero"/>
        <c:crossBetween val="between"/>
      </c:valAx>
      <c:serAx>
        <c:axId val="241835520"/>
        <c:scaling>
          <c:orientation val="minMax"/>
        </c:scaling>
        <c:delete val="1"/>
        <c:axPos val="b"/>
        <c:majorTickMark val="out"/>
        <c:minorTickMark val="none"/>
        <c:tickLblPos val="none"/>
        <c:crossAx val="241922432"/>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industrie</a:t>
            </a:r>
            <a:endParaRPr lang="ro-RO" baseline="0"/>
          </a:p>
        </c:rich>
      </c:tx>
      <c:layout>
        <c:manualLayout>
          <c:xMode val="edge"/>
          <c:yMode val="edge"/>
          <c:x val="0.16296855961402751"/>
          <c:y val="0"/>
        </c:manualLayout>
      </c:layout>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Nox</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1.4E-2</c:v>
                </c:pt>
                <c:pt idx="1">
                  <c:v>6.0000000000000001E-3</c:v>
                </c:pt>
                <c:pt idx="2">
                  <c:v>8.0000000000000002E-3</c:v>
                </c:pt>
                <c:pt idx="3">
                  <c:v>0.01</c:v>
                </c:pt>
                <c:pt idx="4">
                  <c:v>8.9999999999999993E-3</c:v>
                </c:pt>
              </c:numCache>
            </c:numRef>
          </c:val>
          <c:extLst>
            <c:ext xmlns:c16="http://schemas.microsoft.com/office/drawing/2014/chart" uri="{C3380CC4-5D6E-409C-BE32-E72D297353CC}">
              <c16:uniqueId val="{00000000-BF2E-454F-B46C-8E2B388D9A35}"/>
            </c:ext>
          </c:extLst>
        </c:ser>
        <c:ser>
          <c:idx val="1"/>
          <c:order val="1"/>
          <c:tx>
            <c:strRef>
              <c:f>Sheet1!$C$1</c:f>
              <c:strCache>
                <c:ptCount val="1"/>
                <c:pt idx="0">
                  <c:v>NMCOV</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0.14399999999999999</c:v>
                </c:pt>
                <c:pt idx="1">
                  <c:v>0.09</c:v>
                </c:pt>
                <c:pt idx="2">
                  <c:v>4.0000000000000001E-3</c:v>
                </c:pt>
                <c:pt idx="3">
                  <c:v>2.5000000000000001E-4</c:v>
                </c:pt>
                <c:pt idx="4">
                  <c:v>1E-4</c:v>
                </c:pt>
              </c:numCache>
            </c:numRef>
          </c:val>
          <c:extLst>
            <c:ext xmlns:c16="http://schemas.microsoft.com/office/drawing/2014/chart" uri="{C3380CC4-5D6E-409C-BE32-E72D297353CC}">
              <c16:uniqueId val="{00000001-BF2E-454F-B46C-8E2B388D9A35}"/>
            </c:ext>
          </c:extLst>
        </c:ser>
        <c:ser>
          <c:idx val="2"/>
          <c:order val="2"/>
          <c:tx>
            <c:strRef>
              <c:f>Sheet1!$D$1</c:f>
              <c:strCache>
                <c:ptCount val="1"/>
                <c:pt idx="0">
                  <c:v>CO</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2.8000000000000001E-2</c:v>
                </c:pt>
                <c:pt idx="1">
                  <c:v>4.0000000000000001E-3</c:v>
                </c:pt>
                <c:pt idx="2">
                  <c:v>7.0000000000000001E-3</c:v>
                </c:pt>
                <c:pt idx="3">
                  <c:v>5.0000000000000001E-3</c:v>
                </c:pt>
                <c:pt idx="4">
                  <c:v>3.0000000000000001E-3</c:v>
                </c:pt>
              </c:numCache>
            </c:numRef>
          </c:val>
          <c:extLst>
            <c:ext xmlns:c16="http://schemas.microsoft.com/office/drawing/2014/chart" uri="{C3380CC4-5D6E-409C-BE32-E72D297353CC}">
              <c16:uniqueId val="{00000002-BF2E-454F-B46C-8E2B388D9A35}"/>
            </c:ext>
          </c:extLst>
        </c:ser>
        <c:dLbls>
          <c:showLegendKey val="0"/>
          <c:showVal val="0"/>
          <c:showCatName val="0"/>
          <c:showSerName val="0"/>
          <c:showPercent val="0"/>
          <c:showBubbleSize val="0"/>
        </c:dLbls>
        <c:gapWidth val="150"/>
        <c:shape val="cone"/>
        <c:axId val="241741184"/>
        <c:axId val="241853568"/>
        <c:axId val="241920192"/>
      </c:bar3DChart>
      <c:catAx>
        <c:axId val="241741184"/>
        <c:scaling>
          <c:orientation val="minMax"/>
        </c:scaling>
        <c:delete val="0"/>
        <c:axPos val="b"/>
        <c:numFmt formatCode="General" sourceLinked="1"/>
        <c:majorTickMark val="none"/>
        <c:minorTickMark val="none"/>
        <c:tickLblPos val="nextTo"/>
        <c:txPr>
          <a:bodyPr/>
          <a:lstStyle/>
          <a:p>
            <a:pPr>
              <a:defRPr lang="en-US"/>
            </a:pPr>
            <a:endParaRPr lang="ro-RO"/>
          </a:p>
        </c:txPr>
        <c:crossAx val="241853568"/>
        <c:crossesAt val="0"/>
        <c:auto val="1"/>
        <c:lblAlgn val="ctr"/>
        <c:lblOffset val="100"/>
        <c:noMultiLvlLbl val="0"/>
      </c:catAx>
      <c:valAx>
        <c:axId val="241853568"/>
        <c:scaling>
          <c:orientation val="minMax"/>
          <c:max val="0.30000000000000032"/>
          <c:min val="0"/>
        </c:scaling>
        <c:delete val="0"/>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9.7607967228395501E-2"/>
              <c:y val="0.20270552053569491"/>
            </c:manualLayout>
          </c:layout>
          <c:overlay val="0"/>
        </c:title>
        <c:numFmt formatCode="General" sourceLinked="1"/>
        <c:majorTickMark val="none"/>
        <c:minorTickMark val="none"/>
        <c:tickLblPos val="nextTo"/>
        <c:spPr>
          <a:noFill/>
        </c:spPr>
        <c:txPr>
          <a:bodyPr/>
          <a:lstStyle/>
          <a:p>
            <a:pPr>
              <a:defRPr lang="en-US"/>
            </a:pPr>
            <a:endParaRPr lang="ro-RO"/>
          </a:p>
        </c:txPr>
        <c:crossAx val="241741184"/>
        <c:crosses val="autoZero"/>
        <c:crossBetween val="between"/>
        <c:majorUnit val="0.1"/>
      </c:valAx>
      <c:serAx>
        <c:axId val="241920192"/>
        <c:scaling>
          <c:orientation val="minMax"/>
        </c:scaling>
        <c:delete val="1"/>
        <c:axPos val="b"/>
        <c:majorTickMark val="out"/>
        <c:minorTickMark val="none"/>
        <c:tickLblPos val="none"/>
        <c:crossAx val="241853568"/>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transport</a:t>
            </a:r>
            <a:endParaRPr lang="ro-RO" baseline="0"/>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1315257077774492"/>
          <c:y val="0.21323273131640658"/>
          <c:w val="0.71536596583322842"/>
          <c:h val="0.50487601878712529"/>
        </c:manualLayout>
      </c:layout>
      <c:bar3DChart>
        <c:barDir val="col"/>
        <c:grouping val="standard"/>
        <c:varyColors val="0"/>
        <c:ser>
          <c:idx val="0"/>
          <c:order val="0"/>
          <c:tx>
            <c:strRef>
              <c:f>Sheet1!$B$1</c:f>
              <c:strCache>
                <c:ptCount val="1"/>
                <c:pt idx="0">
                  <c:v>Nox</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0.97799999999999998</c:v>
                </c:pt>
                <c:pt idx="1">
                  <c:v>0.996</c:v>
                </c:pt>
                <c:pt idx="2">
                  <c:v>0.96299999999999997</c:v>
                </c:pt>
                <c:pt idx="3">
                  <c:v>0.98599999999999999</c:v>
                </c:pt>
                <c:pt idx="4">
                  <c:v>0.90600000000000003</c:v>
                </c:pt>
              </c:numCache>
            </c:numRef>
          </c:val>
          <c:extLst>
            <c:ext xmlns:c16="http://schemas.microsoft.com/office/drawing/2014/chart" uri="{C3380CC4-5D6E-409C-BE32-E72D297353CC}">
              <c16:uniqueId val="{00000000-F359-4210-8216-7F32FFF3A136}"/>
            </c:ext>
          </c:extLst>
        </c:ser>
        <c:ser>
          <c:idx val="1"/>
          <c:order val="1"/>
          <c:tx>
            <c:strRef>
              <c:f>Sheet1!$C$1</c:f>
              <c:strCache>
                <c:ptCount val="1"/>
                <c:pt idx="0">
                  <c:v>NMCOV</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3.04E-2</c:v>
                </c:pt>
                <c:pt idx="1">
                  <c:v>0.29199999999999998</c:v>
                </c:pt>
                <c:pt idx="2">
                  <c:v>0.308</c:v>
                </c:pt>
                <c:pt idx="3">
                  <c:v>0.34899999999999998</c:v>
                </c:pt>
                <c:pt idx="4">
                  <c:v>0.34899999999999998</c:v>
                </c:pt>
              </c:numCache>
            </c:numRef>
          </c:val>
          <c:extLst>
            <c:ext xmlns:c16="http://schemas.microsoft.com/office/drawing/2014/chart" uri="{C3380CC4-5D6E-409C-BE32-E72D297353CC}">
              <c16:uniqueId val="{00000001-F359-4210-8216-7F32FFF3A136}"/>
            </c:ext>
          </c:extLst>
        </c:ser>
        <c:ser>
          <c:idx val="2"/>
          <c:order val="2"/>
          <c:tx>
            <c:strRef>
              <c:f>Sheet1!$D$1</c:f>
              <c:strCache>
                <c:ptCount val="1"/>
                <c:pt idx="0">
                  <c:v>CO</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2.4700000000000002</c:v>
                </c:pt>
                <c:pt idx="1">
                  <c:v>2.335</c:v>
                </c:pt>
                <c:pt idx="2">
                  <c:v>1.744</c:v>
                </c:pt>
                <c:pt idx="3">
                  <c:v>1.8260000000000001</c:v>
                </c:pt>
                <c:pt idx="4">
                  <c:v>1.9610000000000001</c:v>
                </c:pt>
              </c:numCache>
            </c:numRef>
          </c:val>
          <c:extLst>
            <c:ext xmlns:c16="http://schemas.microsoft.com/office/drawing/2014/chart" uri="{C3380CC4-5D6E-409C-BE32-E72D297353CC}">
              <c16:uniqueId val="{00000002-F359-4210-8216-7F32FFF3A136}"/>
            </c:ext>
          </c:extLst>
        </c:ser>
        <c:dLbls>
          <c:showLegendKey val="0"/>
          <c:showVal val="0"/>
          <c:showCatName val="0"/>
          <c:showSerName val="0"/>
          <c:showPercent val="0"/>
          <c:showBubbleSize val="0"/>
        </c:dLbls>
        <c:gapWidth val="150"/>
        <c:shape val="cone"/>
        <c:axId val="242115328"/>
        <c:axId val="242116864"/>
        <c:axId val="242024448"/>
      </c:bar3DChart>
      <c:catAx>
        <c:axId val="242115328"/>
        <c:scaling>
          <c:orientation val="minMax"/>
        </c:scaling>
        <c:delete val="0"/>
        <c:axPos val="b"/>
        <c:numFmt formatCode="General" sourceLinked="1"/>
        <c:majorTickMark val="none"/>
        <c:minorTickMark val="none"/>
        <c:tickLblPos val="nextTo"/>
        <c:txPr>
          <a:bodyPr/>
          <a:lstStyle/>
          <a:p>
            <a:pPr>
              <a:defRPr lang="en-US"/>
            </a:pPr>
            <a:endParaRPr lang="ro-RO"/>
          </a:p>
        </c:txPr>
        <c:crossAx val="242116864"/>
        <c:crossesAt val="0"/>
        <c:auto val="1"/>
        <c:lblAlgn val="ctr"/>
        <c:lblOffset val="100"/>
        <c:noMultiLvlLbl val="0"/>
      </c:catAx>
      <c:valAx>
        <c:axId val="242116864"/>
        <c:scaling>
          <c:orientation val="minMax"/>
          <c:min val="0"/>
        </c:scaling>
        <c:delete val="0"/>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9.2623543552383267E-2"/>
              <c:y val="0.20270552053569491"/>
            </c:manualLayout>
          </c:layout>
          <c:overlay val="0"/>
        </c:title>
        <c:numFmt formatCode="General" sourceLinked="1"/>
        <c:majorTickMark val="none"/>
        <c:minorTickMark val="none"/>
        <c:tickLblPos val="nextTo"/>
        <c:spPr>
          <a:noFill/>
        </c:spPr>
        <c:txPr>
          <a:bodyPr/>
          <a:lstStyle/>
          <a:p>
            <a:pPr>
              <a:defRPr lang="en-US"/>
            </a:pPr>
            <a:endParaRPr lang="ro-RO"/>
          </a:p>
        </c:txPr>
        <c:crossAx val="242115328"/>
        <c:crosses val="autoZero"/>
        <c:crossBetween val="between"/>
        <c:majorUnit val="2"/>
      </c:valAx>
      <c:serAx>
        <c:axId val="242024448"/>
        <c:scaling>
          <c:orientation val="minMax"/>
        </c:scaling>
        <c:delete val="1"/>
        <c:axPos val="b"/>
        <c:majorTickMark val="out"/>
        <c:minorTickMark val="none"/>
        <c:tickLblPos val="none"/>
        <c:crossAx val="242116864"/>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particule primare în suspensie</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PM2,5</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4.7E-2</c:v>
                </c:pt>
                <c:pt idx="1">
                  <c:v>6.0999999999999999E-2</c:v>
                </c:pt>
                <c:pt idx="2">
                  <c:v>0.54923588304478899</c:v>
                </c:pt>
                <c:pt idx="3">
                  <c:v>0.29799999999999999</c:v>
                </c:pt>
                <c:pt idx="4">
                  <c:v>0.155</c:v>
                </c:pt>
              </c:numCache>
            </c:numRef>
          </c:val>
          <c:extLst>
            <c:ext xmlns:c16="http://schemas.microsoft.com/office/drawing/2014/chart" uri="{C3380CC4-5D6E-409C-BE32-E72D297353CC}">
              <c16:uniqueId val="{00000000-7172-4A7D-B2A6-A49116DAC86B}"/>
            </c:ext>
          </c:extLst>
        </c:ser>
        <c:ser>
          <c:idx val="1"/>
          <c:order val="1"/>
          <c:tx>
            <c:strRef>
              <c:f>Sheet1!$C$1</c:f>
              <c:strCache>
                <c:ptCount val="1"/>
                <c:pt idx="0">
                  <c:v>PM10</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5.0999999999999997E-2</c:v>
                </c:pt>
                <c:pt idx="1">
                  <c:v>6.5000000000000002E-2</c:v>
                </c:pt>
                <c:pt idx="2">
                  <c:v>1.1000000000000001</c:v>
                </c:pt>
                <c:pt idx="3">
                  <c:v>3.1</c:v>
                </c:pt>
                <c:pt idx="4">
                  <c:v>0.44600000000000001</c:v>
                </c:pt>
              </c:numCache>
            </c:numRef>
          </c:val>
          <c:extLst>
            <c:ext xmlns:c16="http://schemas.microsoft.com/office/drawing/2014/chart" uri="{C3380CC4-5D6E-409C-BE32-E72D297353CC}">
              <c16:uniqueId val="{00000001-7172-4A7D-B2A6-A49116DAC86B}"/>
            </c:ext>
          </c:extLst>
        </c:ser>
        <c:dLbls>
          <c:showLegendKey val="0"/>
          <c:showVal val="0"/>
          <c:showCatName val="0"/>
          <c:showSerName val="0"/>
          <c:showPercent val="0"/>
          <c:showBubbleSize val="0"/>
        </c:dLbls>
        <c:gapWidth val="150"/>
        <c:shape val="cone"/>
        <c:axId val="242180864"/>
        <c:axId val="242182400"/>
        <c:axId val="242026240"/>
      </c:bar3DChart>
      <c:catAx>
        <c:axId val="242180864"/>
        <c:scaling>
          <c:orientation val="minMax"/>
        </c:scaling>
        <c:delete val="0"/>
        <c:axPos val="b"/>
        <c:numFmt formatCode="General" sourceLinked="1"/>
        <c:majorTickMark val="none"/>
        <c:minorTickMark val="none"/>
        <c:tickLblPos val="nextTo"/>
        <c:txPr>
          <a:bodyPr/>
          <a:lstStyle/>
          <a:p>
            <a:pPr>
              <a:defRPr lang="en-US"/>
            </a:pPr>
            <a:endParaRPr lang="ro-RO"/>
          </a:p>
        </c:txPr>
        <c:crossAx val="242182400"/>
        <c:crossesAt val="0"/>
        <c:auto val="1"/>
        <c:lblAlgn val="ctr"/>
        <c:lblOffset val="100"/>
        <c:noMultiLvlLbl val="0"/>
      </c:catAx>
      <c:valAx>
        <c:axId val="242182400"/>
        <c:scaling>
          <c:orientation val="minMax"/>
          <c:max val="0.2"/>
        </c:scaling>
        <c:delete val="0"/>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0.10508460274241553"/>
              <c:y val="0.20639896467235241"/>
            </c:manualLayout>
          </c:layout>
          <c:overlay val="0"/>
        </c:title>
        <c:numFmt formatCode="General" sourceLinked="1"/>
        <c:majorTickMark val="none"/>
        <c:minorTickMark val="none"/>
        <c:tickLblPos val="nextTo"/>
        <c:txPr>
          <a:bodyPr/>
          <a:lstStyle/>
          <a:p>
            <a:pPr>
              <a:defRPr lang="en-US"/>
            </a:pPr>
            <a:endParaRPr lang="ro-RO"/>
          </a:p>
        </c:txPr>
        <c:crossAx val="242180864"/>
        <c:crosses val="autoZero"/>
        <c:crossBetween val="between"/>
        <c:majorUnit val="0.05"/>
        <c:minorUnit val="4.0000000000000114E-3"/>
      </c:valAx>
      <c:serAx>
        <c:axId val="242026240"/>
        <c:scaling>
          <c:orientation val="minMax"/>
        </c:scaling>
        <c:delete val="1"/>
        <c:axPos val="b"/>
        <c:majorTickMark val="out"/>
        <c:minorTickMark val="none"/>
        <c:tickLblPos val="none"/>
        <c:crossAx val="242182400"/>
        <c:crossesAt val="0"/>
      </c:serAx>
    </c:plotArea>
    <c:legend>
      <c:legendPos val="r"/>
      <c:overlay val="0"/>
      <c:txPr>
        <a:bodyPr/>
        <a:lstStyle/>
        <a:p>
          <a:pPr>
            <a:defRPr lang="en-US"/>
          </a:pPr>
          <a:endParaRPr lang="ro-RO"/>
        </a:p>
      </c:txPr>
    </c:legend>
    <c:plotVisOnly val="1"/>
    <c:dispBlanksAs val="gap"/>
    <c:showDLblsOverMax val="0"/>
  </c:chart>
  <c:spPr>
    <a:noFill/>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particule primare în suspensie din sectorul de activitate energie</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20954332804207892"/>
          <c:y val="0.27331850334851743"/>
          <c:w val="0.63270037942881818"/>
          <c:h val="0.565436263703191"/>
        </c:manualLayout>
      </c:layout>
      <c:bar3DChart>
        <c:barDir val="col"/>
        <c:grouping val="standard"/>
        <c:varyColors val="0"/>
        <c:ser>
          <c:idx val="0"/>
          <c:order val="0"/>
          <c:tx>
            <c:strRef>
              <c:f>Sheet1!$B$1</c:f>
              <c:strCache>
                <c:ptCount val="1"/>
                <c:pt idx="0">
                  <c:v>PM2,5</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2.8000000000000046E-4</c:v>
                </c:pt>
                <c:pt idx="1">
                  <c:v>0</c:v>
                </c:pt>
                <c:pt idx="2">
                  <c:v>0</c:v>
                </c:pt>
                <c:pt idx="3">
                  <c:v>0</c:v>
                </c:pt>
                <c:pt idx="4">
                  <c:v>0</c:v>
                </c:pt>
              </c:numCache>
            </c:numRef>
          </c:val>
          <c:extLst>
            <c:ext xmlns:c16="http://schemas.microsoft.com/office/drawing/2014/chart" uri="{C3380CC4-5D6E-409C-BE32-E72D297353CC}">
              <c16:uniqueId val="{00000000-BC74-409A-A23E-17F2DA791834}"/>
            </c:ext>
          </c:extLst>
        </c:ser>
        <c:ser>
          <c:idx val="1"/>
          <c:order val="1"/>
          <c:tx>
            <c:strRef>
              <c:f>Sheet1!$C$1</c:f>
              <c:strCache>
                <c:ptCount val="1"/>
                <c:pt idx="0">
                  <c:v>PM10</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2.8000000000000046E-4</c:v>
                </c:pt>
                <c:pt idx="1">
                  <c:v>0</c:v>
                </c:pt>
                <c:pt idx="2">
                  <c:v>0</c:v>
                </c:pt>
                <c:pt idx="3">
                  <c:v>0</c:v>
                </c:pt>
                <c:pt idx="4">
                  <c:v>0</c:v>
                </c:pt>
              </c:numCache>
            </c:numRef>
          </c:val>
          <c:extLst>
            <c:ext xmlns:c16="http://schemas.microsoft.com/office/drawing/2014/chart" uri="{C3380CC4-5D6E-409C-BE32-E72D297353CC}">
              <c16:uniqueId val="{00000001-BC74-409A-A23E-17F2DA791834}"/>
            </c:ext>
          </c:extLst>
        </c:ser>
        <c:dLbls>
          <c:showLegendKey val="0"/>
          <c:showVal val="0"/>
          <c:showCatName val="0"/>
          <c:showSerName val="0"/>
          <c:showPercent val="0"/>
          <c:showBubbleSize val="0"/>
        </c:dLbls>
        <c:gapWidth val="150"/>
        <c:shape val="cone"/>
        <c:axId val="242053888"/>
        <c:axId val="242055424"/>
        <c:axId val="242209664"/>
      </c:bar3DChart>
      <c:catAx>
        <c:axId val="242053888"/>
        <c:scaling>
          <c:orientation val="minMax"/>
        </c:scaling>
        <c:delete val="0"/>
        <c:axPos val="b"/>
        <c:numFmt formatCode="General" sourceLinked="1"/>
        <c:majorTickMark val="none"/>
        <c:minorTickMark val="none"/>
        <c:tickLblPos val="nextTo"/>
        <c:txPr>
          <a:bodyPr/>
          <a:lstStyle/>
          <a:p>
            <a:pPr>
              <a:defRPr lang="en-US"/>
            </a:pPr>
            <a:endParaRPr lang="ro-RO"/>
          </a:p>
        </c:txPr>
        <c:crossAx val="242055424"/>
        <c:crossesAt val="0"/>
        <c:auto val="1"/>
        <c:lblAlgn val="ctr"/>
        <c:lblOffset val="100"/>
        <c:noMultiLvlLbl val="0"/>
      </c:catAx>
      <c:valAx>
        <c:axId val="242055424"/>
        <c:scaling>
          <c:orientation val="minMax"/>
          <c:max val="2.0000000000000011E-2"/>
        </c:scaling>
        <c:delete val="0"/>
        <c:axPos val="l"/>
        <c:majorGridlines>
          <c:spPr>
            <a:ln>
              <a:solidFill>
                <a:schemeClr val="bg1"/>
              </a:solidFill>
            </a:ln>
          </c:spPr>
        </c:majorGridlines>
        <c:minorGridlines/>
        <c:title>
          <c:tx>
            <c:rich>
              <a:bodyPr rot="0" vert="horz"/>
              <a:lstStyle/>
              <a:p>
                <a:pPr>
                  <a:defRPr lang="en-US"/>
                </a:pPr>
                <a:r>
                  <a:rPr lang="ro-RO"/>
                  <a:t>Gg</a:t>
                </a:r>
              </a:p>
            </c:rich>
          </c:tx>
          <c:layout>
            <c:manualLayout>
              <c:xMode val="edge"/>
              <c:yMode val="edge"/>
              <c:x val="0.15991326317855345"/>
              <c:y val="0.24702685017558401"/>
            </c:manualLayout>
          </c:layout>
          <c:overlay val="0"/>
        </c:title>
        <c:numFmt formatCode="General" sourceLinked="1"/>
        <c:majorTickMark val="none"/>
        <c:minorTickMark val="none"/>
        <c:tickLblPos val="nextTo"/>
        <c:txPr>
          <a:bodyPr/>
          <a:lstStyle/>
          <a:p>
            <a:pPr>
              <a:defRPr lang="en-US"/>
            </a:pPr>
            <a:endParaRPr lang="ro-RO"/>
          </a:p>
        </c:txPr>
        <c:crossAx val="242053888"/>
        <c:crosses val="autoZero"/>
        <c:crossBetween val="between"/>
        <c:majorUnit val="5.0000000000000114E-3"/>
        <c:minorUnit val="4.0000000000000114E-3"/>
      </c:valAx>
      <c:serAx>
        <c:axId val="242209664"/>
        <c:scaling>
          <c:orientation val="minMax"/>
        </c:scaling>
        <c:delete val="1"/>
        <c:axPos val="b"/>
        <c:majorTickMark val="out"/>
        <c:minorTickMark val="none"/>
        <c:tickLblPos val="none"/>
        <c:crossAx val="242055424"/>
        <c:crossesAt val="0"/>
      </c:serAx>
    </c:plotArea>
    <c:legend>
      <c:legendPos val="r"/>
      <c:overlay val="0"/>
      <c:txPr>
        <a:bodyPr/>
        <a:lstStyle/>
        <a:p>
          <a:pPr>
            <a:defRPr lang="en-US"/>
          </a:pPr>
          <a:endParaRPr lang="ro-RO"/>
        </a:p>
      </c:txPr>
    </c:legend>
    <c:plotVisOnly val="1"/>
    <c:dispBlanksAs val="gap"/>
    <c:showDLblsOverMax val="0"/>
  </c:chart>
  <c:spPr>
    <a:noFill/>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lang="en-US"/>
            </a:pPr>
            <a:r>
              <a:rPr lang="ro-RO" sz="1200" baseline="0">
                <a:latin typeface="Arial" pitchFamily="34" charset="0"/>
                <a:cs typeface="Arial" pitchFamily="34" charset="0"/>
              </a:rPr>
              <a:t>Tendința emisiilor de particule primare în suspensie din sectorul de activitate transport</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PM2,5</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4.7E-2</c:v>
                </c:pt>
                <c:pt idx="1">
                  <c:v>4.5999999999999999E-2</c:v>
                </c:pt>
                <c:pt idx="2">
                  <c:v>4.2999999999999997E-2</c:v>
                </c:pt>
                <c:pt idx="3">
                  <c:v>4.3999999999999997E-2</c:v>
                </c:pt>
                <c:pt idx="4">
                  <c:v>4.7E-2</c:v>
                </c:pt>
              </c:numCache>
            </c:numRef>
          </c:val>
          <c:extLst>
            <c:ext xmlns:c16="http://schemas.microsoft.com/office/drawing/2014/chart" uri="{C3380CC4-5D6E-409C-BE32-E72D297353CC}">
              <c16:uniqueId val="{00000000-B9FD-4013-985D-0FD9B6E2B877}"/>
            </c:ext>
          </c:extLst>
        </c:ser>
        <c:ser>
          <c:idx val="1"/>
          <c:order val="1"/>
          <c:tx>
            <c:strRef>
              <c:f>Sheet1!$C$1</c:f>
              <c:strCache>
                <c:ptCount val="1"/>
                <c:pt idx="0">
                  <c:v>PM10</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5.3999999999999999E-2</c:v>
                </c:pt>
                <c:pt idx="1">
                  <c:v>5.2999999999999999E-2</c:v>
                </c:pt>
                <c:pt idx="2">
                  <c:v>0.05</c:v>
                </c:pt>
                <c:pt idx="3">
                  <c:v>5.1999999999999998E-2</c:v>
                </c:pt>
                <c:pt idx="4">
                  <c:v>5.6000000000000001E-2</c:v>
                </c:pt>
              </c:numCache>
            </c:numRef>
          </c:val>
          <c:extLst>
            <c:ext xmlns:c16="http://schemas.microsoft.com/office/drawing/2014/chart" uri="{C3380CC4-5D6E-409C-BE32-E72D297353CC}">
              <c16:uniqueId val="{00000001-B9FD-4013-985D-0FD9B6E2B877}"/>
            </c:ext>
          </c:extLst>
        </c:ser>
        <c:dLbls>
          <c:showLegendKey val="0"/>
          <c:showVal val="0"/>
          <c:showCatName val="0"/>
          <c:showSerName val="0"/>
          <c:showPercent val="0"/>
          <c:showBubbleSize val="0"/>
        </c:dLbls>
        <c:gapWidth val="150"/>
        <c:shape val="cone"/>
        <c:axId val="242291456"/>
        <c:axId val="242292992"/>
        <c:axId val="242024896"/>
      </c:bar3DChart>
      <c:catAx>
        <c:axId val="242291456"/>
        <c:scaling>
          <c:orientation val="minMax"/>
        </c:scaling>
        <c:delete val="0"/>
        <c:axPos val="b"/>
        <c:numFmt formatCode="General" sourceLinked="1"/>
        <c:majorTickMark val="none"/>
        <c:minorTickMark val="none"/>
        <c:tickLblPos val="nextTo"/>
        <c:txPr>
          <a:bodyPr/>
          <a:lstStyle/>
          <a:p>
            <a:pPr>
              <a:defRPr lang="en-US"/>
            </a:pPr>
            <a:endParaRPr lang="ro-RO"/>
          </a:p>
        </c:txPr>
        <c:crossAx val="242292992"/>
        <c:crossesAt val="0"/>
        <c:auto val="1"/>
        <c:lblAlgn val="ctr"/>
        <c:lblOffset val="100"/>
        <c:noMultiLvlLbl val="0"/>
      </c:catAx>
      <c:valAx>
        <c:axId val="242292992"/>
        <c:scaling>
          <c:orientation val="minMax"/>
        </c:scaling>
        <c:delete val="0"/>
        <c:axPos val="l"/>
        <c:majorGridlines/>
        <c:minorGridlines>
          <c:spPr>
            <a:ln>
              <a:solidFill>
                <a:schemeClr val="bg1"/>
              </a:solidFill>
            </a:ln>
          </c:spPr>
        </c:minorGridlines>
        <c:title>
          <c:tx>
            <c:rich>
              <a:bodyPr rot="0" vert="horz"/>
              <a:lstStyle/>
              <a:p>
                <a:pPr>
                  <a:defRPr lang="en-US"/>
                </a:pPr>
                <a:r>
                  <a:rPr lang="ro-RO"/>
                  <a:t>Gg</a:t>
                </a:r>
              </a:p>
            </c:rich>
          </c:tx>
          <c:layout>
            <c:manualLayout>
              <c:xMode val="edge"/>
              <c:yMode val="edge"/>
              <c:x val="0.11256123825643438"/>
              <c:y val="0.23594651776561171"/>
            </c:manualLayout>
          </c:layout>
          <c:overlay val="0"/>
        </c:title>
        <c:numFmt formatCode="General" sourceLinked="1"/>
        <c:majorTickMark val="none"/>
        <c:minorTickMark val="none"/>
        <c:tickLblPos val="nextTo"/>
        <c:txPr>
          <a:bodyPr/>
          <a:lstStyle/>
          <a:p>
            <a:pPr>
              <a:defRPr lang="en-US"/>
            </a:pPr>
            <a:endParaRPr lang="ro-RO"/>
          </a:p>
        </c:txPr>
        <c:crossAx val="242291456"/>
        <c:crosses val="autoZero"/>
        <c:crossBetween val="between"/>
        <c:minorUnit val="4.0000000000000114E-3"/>
      </c:valAx>
      <c:serAx>
        <c:axId val="242024896"/>
        <c:scaling>
          <c:orientation val="minMax"/>
        </c:scaling>
        <c:delete val="1"/>
        <c:axPos val="b"/>
        <c:majorTickMark val="out"/>
        <c:minorTickMark val="none"/>
        <c:tickLblPos val="none"/>
        <c:crossAx val="242292992"/>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metale grele</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Pb</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2.5000000000000001E-2</c:v>
                </c:pt>
                <c:pt idx="1">
                  <c:v>0.03</c:v>
                </c:pt>
                <c:pt idx="2">
                  <c:v>7.9793889561888418E-2</c:v>
                </c:pt>
                <c:pt idx="3">
                  <c:v>0.03</c:v>
                </c:pt>
                <c:pt idx="4">
                  <c:v>3.0000000000000001E-3</c:v>
                </c:pt>
              </c:numCache>
            </c:numRef>
          </c:val>
          <c:extLst>
            <c:ext xmlns:c16="http://schemas.microsoft.com/office/drawing/2014/chart" uri="{C3380CC4-5D6E-409C-BE32-E72D297353CC}">
              <c16:uniqueId val="{00000000-2C96-4E8C-AEC5-F14B705200A4}"/>
            </c:ext>
          </c:extLst>
        </c:ser>
        <c:ser>
          <c:idx val="1"/>
          <c:order val="1"/>
          <c:tx>
            <c:strRef>
              <c:f>Sheet1!$C$1</c:f>
              <c:strCache>
                <c:ptCount val="1"/>
                <c:pt idx="0">
                  <c:v>Cd</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4.4999999999999999E-4</c:v>
                </c:pt>
                <c:pt idx="1">
                  <c:v>5.0000000000000001E-3</c:v>
                </c:pt>
                <c:pt idx="2">
                  <c:v>6.9966374312030967E-3</c:v>
                </c:pt>
                <c:pt idx="3">
                  <c:v>2E-3</c:v>
                </c:pt>
                <c:pt idx="4">
                  <c:v>2E-3</c:v>
                </c:pt>
              </c:numCache>
            </c:numRef>
          </c:val>
          <c:extLst>
            <c:ext xmlns:c16="http://schemas.microsoft.com/office/drawing/2014/chart" uri="{C3380CC4-5D6E-409C-BE32-E72D297353CC}">
              <c16:uniqueId val="{00000001-2C96-4E8C-AEC5-F14B705200A4}"/>
            </c:ext>
          </c:extLst>
        </c:ser>
        <c:ser>
          <c:idx val="2"/>
          <c:order val="2"/>
          <c:tx>
            <c:strRef>
              <c:f>Sheet1!$D$1</c:f>
              <c:strCache>
                <c:ptCount val="1"/>
                <c:pt idx="0">
                  <c:v>Hg</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1.6E-2</c:v>
                </c:pt>
                <c:pt idx="1">
                  <c:v>1.4999999999999999E-2</c:v>
                </c:pt>
                <c:pt idx="2">
                  <c:v>3.3525319140136297E-3</c:v>
                </c:pt>
                <c:pt idx="3">
                  <c:v>3.6999999999999999E-4</c:v>
                </c:pt>
                <c:pt idx="4">
                  <c:v>8.0000000000000007E-5</c:v>
                </c:pt>
              </c:numCache>
            </c:numRef>
          </c:val>
          <c:extLst>
            <c:ext xmlns:c16="http://schemas.microsoft.com/office/drawing/2014/chart" uri="{C3380CC4-5D6E-409C-BE32-E72D297353CC}">
              <c16:uniqueId val="{00000002-2C96-4E8C-AEC5-F14B705200A4}"/>
            </c:ext>
          </c:extLst>
        </c:ser>
        <c:dLbls>
          <c:showLegendKey val="0"/>
          <c:showVal val="0"/>
          <c:showCatName val="0"/>
          <c:showSerName val="0"/>
          <c:showPercent val="0"/>
          <c:showBubbleSize val="0"/>
        </c:dLbls>
        <c:gapWidth val="150"/>
        <c:shape val="cone"/>
        <c:axId val="242333184"/>
        <c:axId val="242334720"/>
        <c:axId val="242324352"/>
      </c:bar3DChart>
      <c:catAx>
        <c:axId val="242333184"/>
        <c:scaling>
          <c:orientation val="minMax"/>
        </c:scaling>
        <c:delete val="0"/>
        <c:axPos val="b"/>
        <c:numFmt formatCode="General" sourceLinked="1"/>
        <c:majorTickMark val="none"/>
        <c:minorTickMark val="none"/>
        <c:tickLblPos val="nextTo"/>
        <c:txPr>
          <a:bodyPr/>
          <a:lstStyle/>
          <a:p>
            <a:pPr>
              <a:defRPr lang="en-US"/>
            </a:pPr>
            <a:endParaRPr lang="ro-RO"/>
          </a:p>
        </c:txPr>
        <c:crossAx val="242334720"/>
        <c:crossesAt val="0"/>
        <c:auto val="1"/>
        <c:lblAlgn val="ctr"/>
        <c:lblOffset val="100"/>
        <c:noMultiLvlLbl val="0"/>
      </c:catAx>
      <c:valAx>
        <c:axId val="242334720"/>
        <c:scaling>
          <c:orientation val="minMax"/>
          <c:min val="0"/>
        </c:scaling>
        <c:delete val="0"/>
        <c:axPos val="l"/>
        <c:majorGridlines/>
        <c:minorGridlines>
          <c:spPr>
            <a:ln>
              <a:solidFill>
                <a:schemeClr val="bg1"/>
              </a:solidFill>
            </a:ln>
          </c:spPr>
        </c:minorGridlines>
        <c:title>
          <c:tx>
            <c:rich>
              <a:bodyPr rot="0" vert="horz"/>
              <a:lstStyle/>
              <a:p>
                <a:pPr>
                  <a:defRPr lang="en-US"/>
                </a:pPr>
                <a:r>
                  <a:rPr lang="ro-RO"/>
                  <a:t>Mg</a:t>
                </a:r>
              </a:p>
            </c:rich>
          </c:tx>
          <c:layout>
            <c:manualLayout>
              <c:xMode val="edge"/>
              <c:yMode val="edge"/>
              <c:x val="0.12253008560845782"/>
              <c:y val="0.14730385848583341"/>
            </c:manualLayout>
          </c:layout>
          <c:overlay val="0"/>
        </c:title>
        <c:numFmt formatCode="General" sourceLinked="1"/>
        <c:majorTickMark val="none"/>
        <c:minorTickMark val="none"/>
        <c:tickLblPos val="nextTo"/>
        <c:txPr>
          <a:bodyPr/>
          <a:lstStyle/>
          <a:p>
            <a:pPr>
              <a:defRPr lang="en-US"/>
            </a:pPr>
            <a:endParaRPr lang="ro-RO"/>
          </a:p>
        </c:txPr>
        <c:crossAx val="242333184"/>
        <c:crosses val="autoZero"/>
        <c:crossBetween val="between"/>
      </c:valAx>
      <c:serAx>
        <c:axId val="242324352"/>
        <c:scaling>
          <c:orientation val="minMax"/>
        </c:scaling>
        <c:delete val="1"/>
        <c:axPos val="b"/>
        <c:majorTickMark val="out"/>
        <c:minorTickMark val="none"/>
        <c:tickLblPos val="none"/>
        <c:crossAx val="242334720"/>
        <c:crossesAt val="0"/>
      </c:serAx>
    </c:plotArea>
    <c:legend>
      <c:legendPos val="r"/>
      <c:overlay val="0"/>
      <c:txPr>
        <a:bodyPr/>
        <a:lstStyle/>
        <a:p>
          <a:pPr>
            <a:defRPr lang="en-US"/>
          </a:pPr>
          <a:endParaRPr lang="ro-RO"/>
        </a:p>
      </c:txPr>
    </c:legend>
    <c:plotVisOnly val="1"/>
    <c:dispBlanksAs val="gap"/>
    <c:showDLblsOverMax val="0"/>
  </c:chart>
  <c:spPr>
    <a:noFill/>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metale grele din sectorul de activitate industrie </a:t>
            </a:r>
          </a:p>
        </c:rich>
      </c:tx>
      <c:layout>
        <c:manualLayout>
          <c:xMode val="edge"/>
          <c:yMode val="edge"/>
          <c:x val="0.12217811551335749"/>
          <c:y val="0"/>
        </c:manualLayout>
      </c:layout>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Pb</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1.5E-3</c:v>
                </c:pt>
                <c:pt idx="1">
                  <c:v>2.0000000000000002E-5</c:v>
                </c:pt>
                <c:pt idx="2">
                  <c:v>4.2122899712741003E-3</c:v>
                </c:pt>
                <c:pt idx="3">
                  <c:v>7.9999999999999996E-6</c:v>
                </c:pt>
                <c:pt idx="4">
                  <c:v>6.0000000000000002E-6</c:v>
                </c:pt>
              </c:numCache>
            </c:numRef>
          </c:val>
          <c:extLst>
            <c:ext xmlns:c16="http://schemas.microsoft.com/office/drawing/2014/chart" uri="{C3380CC4-5D6E-409C-BE32-E72D297353CC}">
              <c16:uniqueId val="{00000000-7950-49AD-B1DA-E00364E3720D}"/>
            </c:ext>
          </c:extLst>
        </c:ser>
        <c:ser>
          <c:idx val="1"/>
          <c:order val="1"/>
          <c:tx>
            <c:strRef>
              <c:f>Sheet1!$C$1</c:f>
              <c:strCache>
                <c:ptCount val="1"/>
                <c:pt idx="0">
                  <c:v>Cd</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2.0000000000000001E-4</c:v>
                </c:pt>
                <c:pt idx="1">
                  <c:v>8.4999999999999995E-4</c:v>
                </c:pt>
                <c:pt idx="2">
                  <c:v>3.2712940562901682E-4</c:v>
                </c:pt>
                <c:pt idx="3">
                  <c:v>3.7000000000000002E-6</c:v>
                </c:pt>
                <c:pt idx="4">
                  <c:v>3.0000000000000001E-6</c:v>
                </c:pt>
              </c:numCache>
            </c:numRef>
          </c:val>
          <c:extLst>
            <c:ext xmlns:c16="http://schemas.microsoft.com/office/drawing/2014/chart" uri="{C3380CC4-5D6E-409C-BE32-E72D297353CC}">
              <c16:uniqueId val="{00000001-7950-49AD-B1DA-E00364E3720D}"/>
            </c:ext>
          </c:extLst>
        </c:ser>
        <c:ser>
          <c:idx val="2"/>
          <c:order val="2"/>
          <c:tx>
            <c:strRef>
              <c:f>Sheet1!$D$1</c:f>
              <c:strCache>
                <c:ptCount val="1"/>
                <c:pt idx="0">
                  <c:v>Hg</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4.0000000000000002E-4</c:v>
                </c:pt>
                <c:pt idx="1">
                  <c:v>5.0000000000000002E-5</c:v>
                </c:pt>
                <c:pt idx="2">
                  <c:v>9.6959744606729009E-5</c:v>
                </c:pt>
                <c:pt idx="3">
                  <c:v>2.0000000000000002E-5</c:v>
                </c:pt>
                <c:pt idx="4">
                  <c:v>1.2999999999999999E-5</c:v>
                </c:pt>
              </c:numCache>
            </c:numRef>
          </c:val>
          <c:extLst>
            <c:ext xmlns:c16="http://schemas.microsoft.com/office/drawing/2014/chart" uri="{C3380CC4-5D6E-409C-BE32-E72D297353CC}">
              <c16:uniqueId val="{00000002-7950-49AD-B1DA-E00364E3720D}"/>
            </c:ext>
          </c:extLst>
        </c:ser>
        <c:dLbls>
          <c:showLegendKey val="0"/>
          <c:showVal val="0"/>
          <c:showCatName val="0"/>
          <c:showSerName val="0"/>
          <c:showPercent val="0"/>
          <c:showBubbleSize val="0"/>
        </c:dLbls>
        <c:gapWidth val="150"/>
        <c:shape val="cone"/>
        <c:axId val="242374912"/>
        <c:axId val="242429952"/>
        <c:axId val="242325248"/>
      </c:bar3DChart>
      <c:catAx>
        <c:axId val="242374912"/>
        <c:scaling>
          <c:orientation val="minMax"/>
        </c:scaling>
        <c:delete val="0"/>
        <c:axPos val="b"/>
        <c:numFmt formatCode="General" sourceLinked="1"/>
        <c:majorTickMark val="none"/>
        <c:minorTickMark val="none"/>
        <c:tickLblPos val="nextTo"/>
        <c:txPr>
          <a:bodyPr/>
          <a:lstStyle/>
          <a:p>
            <a:pPr>
              <a:defRPr lang="en-US"/>
            </a:pPr>
            <a:endParaRPr lang="ro-RO"/>
          </a:p>
        </c:txPr>
        <c:crossAx val="242429952"/>
        <c:crossesAt val="0"/>
        <c:auto val="1"/>
        <c:lblAlgn val="ctr"/>
        <c:lblOffset val="100"/>
        <c:noMultiLvlLbl val="0"/>
      </c:catAx>
      <c:valAx>
        <c:axId val="242429952"/>
        <c:scaling>
          <c:orientation val="minMax"/>
          <c:min val="0"/>
        </c:scaling>
        <c:delete val="0"/>
        <c:axPos val="l"/>
        <c:majorGridlines/>
        <c:minorGridlines>
          <c:spPr>
            <a:ln>
              <a:solidFill>
                <a:schemeClr val="bg1"/>
              </a:solidFill>
            </a:ln>
          </c:spPr>
        </c:minorGridlines>
        <c:title>
          <c:tx>
            <c:rich>
              <a:bodyPr rot="0" vert="horz"/>
              <a:lstStyle/>
              <a:p>
                <a:pPr>
                  <a:defRPr lang="en-US"/>
                </a:pPr>
                <a:r>
                  <a:rPr lang="ro-RO"/>
                  <a:t>Mg</a:t>
                </a:r>
              </a:p>
            </c:rich>
          </c:tx>
          <c:layout>
            <c:manualLayout>
              <c:xMode val="edge"/>
              <c:yMode val="edge"/>
              <c:x val="0.12253008560845782"/>
              <c:y val="0.19162518812572271"/>
            </c:manualLayout>
          </c:layout>
          <c:overlay val="0"/>
        </c:title>
        <c:numFmt formatCode="General" sourceLinked="1"/>
        <c:majorTickMark val="none"/>
        <c:minorTickMark val="none"/>
        <c:tickLblPos val="nextTo"/>
        <c:txPr>
          <a:bodyPr/>
          <a:lstStyle/>
          <a:p>
            <a:pPr>
              <a:defRPr lang="en-US"/>
            </a:pPr>
            <a:endParaRPr lang="ro-RO"/>
          </a:p>
        </c:txPr>
        <c:crossAx val="242374912"/>
        <c:crosses val="autoZero"/>
        <c:crossBetween val="between"/>
        <c:majorUnit val="2.0000000000000052E-3"/>
      </c:valAx>
      <c:serAx>
        <c:axId val="242325248"/>
        <c:scaling>
          <c:orientation val="minMax"/>
        </c:scaling>
        <c:delete val="1"/>
        <c:axPos val="b"/>
        <c:majorTickMark val="out"/>
        <c:minorTickMark val="none"/>
        <c:tickLblPos val="none"/>
        <c:crossAx val="242429952"/>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6.811692264702654E-2"/>
          <c:y val="3.5561570428696412E-2"/>
          <c:w val="0.63759689922481988"/>
          <c:h val="0.65934065934066965"/>
        </c:manualLayout>
      </c:layout>
      <c:bar3DChart>
        <c:barDir val="col"/>
        <c:grouping val="clustered"/>
        <c:varyColors val="0"/>
        <c:ser>
          <c:idx val="7"/>
          <c:order val="0"/>
          <c:tx>
            <c:strRef>
              <c:f>Sheet1!$A$2</c:f>
              <c:strCache>
                <c:ptCount val="1"/>
                <c:pt idx="0">
                  <c:v>Medii anuale 2018</c:v>
                </c:pt>
              </c:strCache>
            </c:strRef>
          </c:tx>
          <c:invertIfNegative val="0"/>
          <c:cat>
            <c:strRef>
              <c:f>Sheet1!$B$1:$F$1</c:f>
              <c:strCache>
                <c:ptCount val="5"/>
                <c:pt idx="0">
                  <c:v>BR1</c:v>
                </c:pt>
                <c:pt idx="1">
                  <c:v>BR2</c:v>
                </c:pt>
                <c:pt idx="2">
                  <c:v>BR3</c:v>
                </c:pt>
                <c:pt idx="3">
                  <c:v>BR4</c:v>
                </c:pt>
                <c:pt idx="4">
                  <c:v>BR5</c:v>
                </c:pt>
              </c:strCache>
            </c:strRef>
          </c:cat>
          <c:val>
            <c:numRef>
              <c:f>Sheet1!$B$2:$F$2</c:f>
              <c:numCache>
                <c:formatCode>0.00</c:formatCode>
                <c:ptCount val="5"/>
                <c:pt idx="0">
                  <c:v>0.14000000000000001</c:v>
                </c:pt>
                <c:pt idx="1">
                  <c:v>0.09</c:v>
                </c:pt>
                <c:pt idx="2">
                  <c:v>0.1</c:v>
                </c:pt>
                <c:pt idx="3">
                  <c:v>0.09</c:v>
                </c:pt>
                <c:pt idx="4">
                  <c:v>7.0000000000000007E-2</c:v>
                </c:pt>
              </c:numCache>
            </c:numRef>
          </c:val>
          <c:extLst>
            <c:ext xmlns:c16="http://schemas.microsoft.com/office/drawing/2014/chart" uri="{C3380CC4-5D6E-409C-BE32-E72D297353CC}">
              <c16:uniqueId val="{00000000-03D2-443A-9766-C49D4970DFED}"/>
            </c:ext>
          </c:extLst>
        </c:ser>
        <c:dLbls>
          <c:showLegendKey val="0"/>
          <c:showVal val="0"/>
          <c:showCatName val="0"/>
          <c:showSerName val="0"/>
          <c:showPercent val="0"/>
          <c:showBubbleSize val="0"/>
        </c:dLbls>
        <c:gapWidth val="260"/>
        <c:gapDepth val="0"/>
        <c:shape val="box"/>
        <c:axId val="233680256"/>
        <c:axId val="233907328"/>
        <c:axId val="0"/>
      </c:bar3DChart>
      <c:catAx>
        <c:axId val="2336802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33907328"/>
        <c:crosses val="autoZero"/>
        <c:auto val="1"/>
        <c:lblAlgn val="ctr"/>
        <c:lblOffset val="100"/>
        <c:tickLblSkip val="1"/>
        <c:tickMarkSkip val="1"/>
        <c:noMultiLvlLbl val="0"/>
      </c:catAx>
      <c:valAx>
        <c:axId val="233907328"/>
        <c:scaling>
          <c:orientation val="minMax"/>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t>miigrame/mc</a:t>
                </a:r>
              </a:p>
            </c:rich>
          </c:tx>
          <c:layout>
            <c:manualLayout>
              <c:xMode val="edge"/>
              <c:yMode val="edge"/>
              <c:x val="4.0992385457522033E-2"/>
              <c:y val="0.12232884951881016"/>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33680256"/>
        <c:crosses val="autoZero"/>
        <c:crossBetween val="between"/>
      </c:valAx>
      <c:spPr>
        <a:noFill/>
        <a:ln w="25400">
          <a:noFill/>
        </a:ln>
      </c:spPr>
    </c:plotArea>
    <c:legend>
      <c:legendPos val="r"/>
      <c:layout>
        <c:manualLayout>
          <c:xMode val="edge"/>
          <c:yMode val="edge"/>
          <c:x val="0.76058161931280355"/>
          <c:y val="0.29739009186352139"/>
          <c:w val="0.19241699350318894"/>
          <c:h val="0.1323753280839872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metale grele din sectorul de activitate transport</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Pb</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3.3000000000000002E-2</c:v>
                </c:pt>
                <c:pt idx="1">
                  <c:v>3.1E-2</c:v>
                </c:pt>
                <c:pt idx="2">
                  <c:v>2.5000000000000001E-2</c:v>
                </c:pt>
                <c:pt idx="3">
                  <c:v>2.7E-2</c:v>
                </c:pt>
                <c:pt idx="4">
                  <c:v>2.9000000000000001E-2</c:v>
                </c:pt>
              </c:numCache>
            </c:numRef>
          </c:val>
          <c:extLst>
            <c:ext xmlns:c16="http://schemas.microsoft.com/office/drawing/2014/chart" uri="{C3380CC4-5D6E-409C-BE32-E72D297353CC}">
              <c16:uniqueId val="{00000000-5FD5-416C-BC41-81618AC4C0B4}"/>
            </c:ext>
          </c:extLst>
        </c:ser>
        <c:ser>
          <c:idx val="1"/>
          <c:order val="1"/>
          <c:tx>
            <c:strRef>
              <c:f>Sheet1!$C$1</c:f>
              <c:strCache>
                <c:ptCount val="1"/>
                <c:pt idx="0">
                  <c:v>Cd</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1.6E-2</c:v>
                </c:pt>
                <c:pt idx="1">
                  <c:v>5.5000000000000003E-4</c:v>
                </c:pt>
                <c:pt idx="2">
                  <c:v>5.9999999999999995E-4</c:v>
                </c:pt>
                <c:pt idx="3">
                  <c:v>6.9999999999999999E-4</c:v>
                </c:pt>
                <c:pt idx="4">
                  <c:v>7.1000000000000002E-4</c:v>
                </c:pt>
              </c:numCache>
            </c:numRef>
          </c:val>
          <c:extLst>
            <c:ext xmlns:c16="http://schemas.microsoft.com/office/drawing/2014/chart" uri="{C3380CC4-5D6E-409C-BE32-E72D297353CC}">
              <c16:uniqueId val="{00000001-5FD5-416C-BC41-81618AC4C0B4}"/>
            </c:ext>
          </c:extLst>
        </c:ser>
        <c:ser>
          <c:idx val="2"/>
          <c:order val="2"/>
          <c:tx>
            <c:strRef>
              <c:f>Sheet1!$D$1</c:f>
              <c:strCache>
                <c:ptCount val="1"/>
                <c:pt idx="0">
                  <c:v>Hg</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5FD5-416C-BC41-81618AC4C0B4}"/>
            </c:ext>
          </c:extLst>
        </c:ser>
        <c:dLbls>
          <c:showLegendKey val="0"/>
          <c:showVal val="0"/>
          <c:showCatName val="0"/>
          <c:showSerName val="0"/>
          <c:showPercent val="0"/>
          <c:showBubbleSize val="0"/>
        </c:dLbls>
        <c:gapWidth val="150"/>
        <c:shape val="cone"/>
        <c:axId val="242457600"/>
        <c:axId val="242463488"/>
        <c:axId val="242426304"/>
      </c:bar3DChart>
      <c:catAx>
        <c:axId val="242457600"/>
        <c:scaling>
          <c:orientation val="minMax"/>
        </c:scaling>
        <c:delete val="0"/>
        <c:axPos val="b"/>
        <c:numFmt formatCode="General" sourceLinked="1"/>
        <c:majorTickMark val="none"/>
        <c:minorTickMark val="none"/>
        <c:tickLblPos val="nextTo"/>
        <c:txPr>
          <a:bodyPr/>
          <a:lstStyle/>
          <a:p>
            <a:pPr>
              <a:defRPr lang="en-US"/>
            </a:pPr>
            <a:endParaRPr lang="ro-RO"/>
          </a:p>
        </c:txPr>
        <c:crossAx val="242463488"/>
        <c:crossesAt val="0"/>
        <c:auto val="1"/>
        <c:lblAlgn val="ctr"/>
        <c:lblOffset val="100"/>
        <c:noMultiLvlLbl val="0"/>
      </c:catAx>
      <c:valAx>
        <c:axId val="242463488"/>
        <c:scaling>
          <c:orientation val="minMax"/>
          <c:min val="0"/>
        </c:scaling>
        <c:delete val="0"/>
        <c:axPos val="l"/>
        <c:majorGridlines/>
        <c:minorGridlines>
          <c:spPr>
            <a:ln>
              <a:solidFill>
                <a:schemeClr val="bg1"/>
              </a:solidFill>
            </a:ln>
          </c:spPr>
        </c:minorGridlines>
        <c:title>
          <c:tx>
            <c:rich>
              <a:bodyPr rot="0" vert="horz"/>
              <a:lstStyle/>
              <a:p>
                <a:pPr>
                  <a:defRPr lang="en-US"/>
                </a:pPr>
                <a:r>
                  <a:rPr lang="ro-RO"/>
                  <a:t>Mg</a:t>
                </a:r>
              </a:p>
            </c:rich>
          </c:tx>
          <c:layout>
            <c:manualLayout>
              <c:xMode val="edge"/>
              <c:yMode val="edge"/>
              <c:x val="0.10010017906640303"/>
              <c:y val="0.19531863226237994"/>
            </c:manualLayout>
          </c:layout>
          <c:overlay val="0"/>
        </c:title>
        <c:numFmt formatCode="General" sourceLinked="1"/>
        <c:majorTickMark val="none"/>
        <c:minorTickMark val="none"/>
        <c:tickLblPos val="nextTo"/>
        <c:txPr>
          <a:bodyPr/>
          <a:lstStyle/>
          <a:p>
            <a:pPr>
              <a:defRPr lang="en-US"/>
            </a:pPr>
            <a:endParaRPr lang="ro-RO"/>
          </a:p>
        </c:txPr>
        <c:crossAx val="242457600"/>
        <c:crosses val="autoZero"/>
        <c:crossBetween val="between"/>
      </c:valAx>
      <c:serAx>
        <c:axId val="242426304"/>
        <c:scaling>
          <c:orientation val="minMax"/>
        </c:scaling>
        <c:delete val="1"/>
        <c:axPos val="b"/>
        <c:majorTickMark val="out"/>
        <c:minorTickMark val="none"/>
        <c:tickLblPos val="none"/>
        <c:crossAx val="242463488"/>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compuși organici persistenți</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PAH</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412</c:v>
                </c:pt>
                <c:pt idx="1">
                  <c:v>344</c:v>
                </c:pt>
                <c:pt idx="2">
                  <c:v>1.56</c:v>
                </c:pt>
                <c:pt idx="3">
                  <c:v>1.2</c:v>
                </c:pt>
                <c:pt idx="4">
                  <c:v>0</c:v>
                </c:pt>
              </c:numCache>
            </c:numRef>
          </c:val>
          <c:extLst>
            <c:ext xmlns:c16="http://schemas.microsoft.com/office/drawing/2014/chart" uri="{C3380CC4-5D6E-409C-BE32-E72D297353CC}">
              <c16:uniqueId val="{00000000-346A-4D6C-A8FF-2F814EF81DC5}"/>
            </c:ext>
          </c:extLst>
        </c:ser>
        <c:ser>
          <c:idx val="1"/>
          <c:order val="1"/>
          <c:tx>
            <c:strRef>
              <c:f>Sheet1!$C$1</c:f>
              <c:strCache>
                <c:ptCount val="1"/>
                <c:pt idx="0">
                  <c:v>HCB</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2.0000000000000001E-4</c:v>
                </c:pt>
                <c:pt idx="1">
                  <c:v>2.0000000000000001E-4</c:v>
                </c:pt>
                <c:pt idx="2">
                  <c:v>2.3999999999999998E-3</c:v>
                </c:pt>
                <c:pt idx="3">
                  <c:v>1.7000000000000001E-4</c:v>
                </c:pt>
                <c:pt idx="4">
                  <c:v>5.0000000000000001E-4</c:v>
                </c:pt>
              </c:numCache>
            </c:numRef>
          </c:val>
          <c:extLst>
            <c:ext xmlns:c16="http://schemas.microsoft.com/office/drawing/2014/chart" uri="{C3380CC4-5D6E-409C-BE32-E72D297353CC}">
              <c16:uniqueId val="{00000001-346A-4D6C-A8FF-2F814EF81DC5}"/>
            </c:ext>
          </c:extLst>
        </c:ser>
        <c:dLbls>
          <c:showLegendKey val="0"/>
          <c:showVal val="0"/>
          <c:showCatName val="0"/>
          <c:showSerName val="0"/>
          <c:showPercent val="0"/>
          <c:showBubbleSize val="0"/>
        </c:dLbls>
        <c:gapWidth val="150"/>
        <c:shape val="cone"/>
        <c:axId val="242203648"/>
        <c:axId val="242402048"/>
        <c:axId val="242427648"/>
      </c:bar3DChart>
      <c:catAx>
        <c:axId val="242203648"/>
        <c:scaling>
          <c:orientation val="minMax"/>
        </c:scaling>
        <c:delete val="0"/>
        <c:axPos val="b"/>
        <c:numFmt formatCode="General" sourceLinked="1"/>
        <c:majorTickMark val="none"/>
        <c:minorTickMark val="none"/>
        <c:tickLblPos val="nextTo"/>
        <c:txPr>
          <a:bodyPr/>
          <a:lstStyle/>
          <a:p>
            <a:pPr>
              <a:defRPr lang="en-US"/>
            </a:pPr>
            <a:endParaRPr lang="ro-RO"/>
          </a:p>
        </c:txPr>
        <c:crossAx val="242402048"/>
        <c:crossesAt val="0"/>
        <c:auto val="1"/>
        <c:lblAlgn val="ctr"/>
        <c:lblOffset val="100"/>
        <c:noMultiLvlLbl val="0"/>
      </c:catAx>
      <c:valAx>
        <c:axId val="242402048"/>
        <c:scaling>
          <c:orientation val="minMax"/>
          <c:max val="700"/>
          <c:min val="0"/>
        </c:scaling>
        <c:delete val="0"/>
        <c:axPos val="l"/>
        <c:majorGridlines/>
        <c:minorGridlines>
          <c:spPr>
            <a:ln>
              <a:solidFill>
                <a:schemeClr val="bg1"/>
              </a:solidFill>
            </a:ln>
          </c:spPr>
        </c:minorGridlines>
        <c:title>
          <c:tx>
            <c:rich>
              <a:bodyPr rot="0" vert="horz"/>
              <a:lstStyle/>
              <a:p>
                <a:pPr>
                  <a:defRPr lang="en-US"/>
                </a:pPr>
                <a:r>
                  <a:rPr lang="ro-RO"/>
                  <a:t>kg</a:t>
                </a:r>
              </a:p>
            </c:rich>
          </c:tx>
          <c:layout>
            <c:manualLayout>
              <c:xMode val="edge"/>
              <c:yMode val="edge"/>
              <c:x val="0.10010017906640303"/>
              <c:y val="0.20270552053569491"/>
            </c:manualLayout>
          </c:layout>
          <c:overlay val="0"/>
        </c:title>
        <c:numFmt formatCode="General" sourceLinked="1"/>
        <c:majorTickMark val="none"/>
        <c:minorTickMark val="none"/>
        <c:tickLblPos val="nextTo"/>
        <c:txPr>
          <a:bodyPr/>
          <a:lstStyle/>
          <a:p>
            <a:pPr>
              <a:defRPr lang="en-US"/>
            </a:pPr>
            <a:endParaRPr lang="ro-RO"/>
          </a:p>
        </c:txPr>
        <c:crossAx val="242203648"/>
        <c:crosses val="autoZero"/>
        <c:crossBetween val="between"/>
        <c:majorUnit val="200"/>
      </c:valAx>
      <c:serAx>
        <c:axId val="242427648"/>
        <c:scaling>
          <c:orientation val="minMax"/>
        </c:scaling>
        <c:delete val="1"/>
        <c:axPos val="b"/>
        <c:majorTickMark val="out"/>
        <c:minorTickMark val="none"/>
        <c:tickLblPos val="none"/>
        <c:crossAx val="242402048"/>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compuși organici persistenți din sectorul de activitate energie</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PAH</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49CD-45B8-81EA-12B91E7B769D}"/>
            </c:ext>
          </c:extLst>
        </c:ser>
        <c:ser>
          <c:idx val="1"/>
          <c:order val="1"/>
          <c:tx>
            <c:strRef>
              <c:f>Sheet1!$C$1</c:f>
              <c:strCache>
                <c:ptCount val="1"/>
                <c:pt idx="0">
                  <c:v>HCB</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49CD-45B8-81EA-12B91E7B769D}"/>
            </c:ext>
          </c:extLst>
        </c:ser>
        <c:dLbls>
          <c:showLegendKey val="0"/>
          <c:showVal val="0"/>
          <c:showCatName val="0"/>
          <c:showSerName val="0"/>
          <c:showPercent val="0"/>
          <c:showBubbleSize val="0"/>
        </c:dLbls>
        <c:gapWidth val="150"/>
        <c:shape val="cone"/>
        <c:axId val="242494464"/>
        <c:axId val="242598656"/>
        <c:axId val="242380800"/>
      </c:bar3DChart>
      <c:catAx>
        <c:axId val="242494464"/>
        <c:scaling>
          <c:orientation val="minMax"/>
        </c:scaling>
        <c:delete val="0"/>
        <c:axPos val="b"/>
        <c:numFmt formatCode="General" sourceLinked="1"/>
        <c:majorTickMark val="none"/>
        <c:minorTickMark val="none"/>
        <c:tickLblPos val="nextTo"/>
        <c:txPr>
          <a:bodyPr/>
          <a:lstStyle/>
          <a:p>
            <a:pPr>
              <a:defRPr lang="en-US"/>
            </a:pPr>
            <a:endParaRPr lang="ro-RO"/>
          </a:p>
        </c:txPr>
        <c:crossAx val="242598656"/>
        <c:crossesAt val="0"/>
        <c:auto val="1"/>
        <c:lblAlgn val="ctr"/>
        <c:lblOffset val="100"/>
        <c:noMultiLvlLbl val="0"/>
      </c:catAx>
      <c:valAx>
        <c:axId val="242598656"/>
        <c:scaling>
          <c:orientation val="minMax"/>
          <c:max val="1"/>
        </c:scaling>
        <c:delete val="0"/>
        <c:axPos val="l"/>
        <c:majorGridlines/>
        <c:minorGridlines>
          <c:spPr>
            <a:ln>
              <a:solidFill>
                <a:sysClr val="window" lastClr="FFFFFF"/>
              </a:solidFill>
            </a:ln>
          </c:spPr>
        </c:minorGridlines>
        <c:title>
          <c:tx>
            <c:rich>
              <a:bodyPr rot="0" vert="horz"/>
              <a:lstStyle/>
              <a:p>
                <a:pPr>
                  <a:defRPr lang="en-US"/>
                </a:pPr>
                <a:r>
                  <a:rPr lang="ro-RO"/>
                  <a:t>kg</a:t>
                </a:r>
              </a:p>
            </c:rich>
          </c:tx>
          <c:layout>
            <c:manualLayout>
              <c:xMode val="edge"/>
              <c:yMode val="edge"/>
              <c:x val="0.12003787377045159"/>
              <c:y val="0.23594651776561171"/>
            </c:manualLayout>
          </c:layout>
          <c:overlay val="0"/>
        </c:title>
        <c:numFmt formatCode="General" sourceLinked="1"/>
        <c:majorTickMark val="none"/>
        <c:minorTickMark val="none"/>
        <c:tickLblPos val="nextTo"/>
        <c:txPr>
          <a:bodyPr/>
          <a:lstStyle/>
          <a:p>
            <a:pPr>
              <a:defRPr lang="en-US"/>
            </a:pPr>
            <a:endParaRPr lang="ro-RO"/>
          </a:p>
        </c:txPr>
        <c:crossAx val="242494464"/>
        <c:crosses val="autoZero"/>
        <c:crossBetween val="between"/>
      </c:valAx>
      <c:serAx>
        <c:axId val="242380800"/>
        <c:scaling>
          <c:orientation val="minMax"/>
        </c:scaling>
        <c:delete val="1"/>
        <c:axPos val="b"/>
        <c:majorTickMark val="out"/>
        <c:minorTickMark val="none"/>
        <c:tickLblPos val="none"/>
        <c:crossAx val="242598656"/>
        <c:crossesAt val="0"/>
      </c:serAx>
    </c:plotArea>
    <c:legend>
      <c:legendPos val="r"/>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lang="en-US" sz="1200" baseline="0">
                <a:latin typeface="Arial" pitchFamily="34" charset="0"/>
              </a:defRPr>
            </a:pPr>
            <a:r>
              <a:rPr lang="ro-RO" sz="1200" baseline="0">
                <a:latin typeface="Arial" pitchFamily="34" charset="0"/>
              </a:rPr>
              <a:t>Tendința emisiilor de compuși organici persistenți din sectorul de activitate</a:t>
            </a:r>
            <a:r>
              <a:rPr lang="en-US" sz="1200" baseline="0">
                <a:latin typeface="Arial" pitchFamily="34" charset="0"/>
              </a:rPr>
              <a:t> industrie</a:t>
            </a:r>
            <a:endParaRPr lang="ro-RO" sz="1200" baseline="0">
              <a:latin typeface="Arial"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PAH</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C6C1-47E2-9AC0-0A55B5544DD7}"/>
            </c:ext>
          </c:extLst>
        </c:ser>
        <c:ser>
          <c:idx val="1"/>
          <c:order val="1"/>
          <c:tx>
            <c:strRef>
              <c:f>Sheet1!$C$1</c:f>
              <c:strCache>
                <c:ptCount val="1"/>
                <c:pt idx="0">
                  <c:v>HCB</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0</c:v>
                </c:pt>
                <c:pt idx="1">
                  <c:v>0</c:v>
                </c:pt>
                <c:pt idx="2">
                  <c:v>0</c:v>
                </c:pt>
                <c:pt idx="3">
                  <c:v>1.3999999999999999E-6</c:v>
                </c:pt>
                <c:pt idx="4">
                  <c:v>9.9999999999999994E-12</c:v>
                </c:pt>
              </c:numCache>
            </c:numRef>
          </c:val>
          <c:extLst>
            <c:ext xmlns:c16="http://schemas.microsoft.com/office/drawing/2014/chart" uri="{C3380CC4-5D6E-409C-BE32-E72D297353CC}">
              <c16:uniqueId val="{00000001-C6C1-47E2-9AC0-0A55B5544DD7}"/>
            </c:ext>
          </c:extLst>
        </c:ser>
        <c:dLbls>
          <c:showLegendKey val="0"/>
          <c:showVal val="0"/>
          <c:showCatName val="0"/>
          <c:showSerName val="0"/>
          <c:showPercent val="0"/>
          <c:showBubbleSize val="0"/>
        </c:dLbls>
        <c:gapWidth val="150"/>
        <c:shape val="cone"/>
        <c:axId val="242691072"/>
        <c:axId val="242709248"/>
        <c:axId val="242382144"/>
      </c:bar3DChart>
      <c:catAx>
        <c:axId val="242691072"/>
        <c:scaling>
          <c:orientation val="minMax"/>
        </c:scaling>
        <c:delete val="0"/>
        <c:axPos val="b"/>
        <c:numFmt formatCode="General" sourceLinked="1"/>
        <c:majorTickMark val="none"/>
        <c:minorTickMark val="none"/>
        <c:tickLblPos val="nextTo"/>
        <c:txPr>
          <a:bodyPr/>
          <a:lstStyle/>
          <a:p>
            <a:pPr>
              <a:defRPr lang="en-US"/>
            </a:pPr>
            <a:endParaRPr lang="ro-RO"/>
          </a:p>
        </c:txPr>
        <c:crossAx val="242709248"/>
        <c:crossesAt val="0"/>
        <c:auto val="1"/>
        <c:lblAlgn val="ctr"/>
        <c:lblOffset val="100"/>
        <c:noMultiLvlLbl val="0"/>
      </c:catAx>
      <c:valAx>
        <c:axId val="242709248"/>
        <c:scaling>
          <c:orientation val="minMax"/>
        </c:scaling>
        <c:delete val="0"/>
        <c:axPos val="l"/>
        <c:majorGridlines/>
        <c:minorGridlines>
          <c:spPr>
            <a:ln>
              <a:solidFill>
                <a:sysClr val="window" lastClr="FFFFFF"/>
              </a:solidFill>
            </a:ln>
          </c:spPr>
        </c:minorGridlines>
        <c:title>
          <c:tx>
            <c:rich>
              <a:bodyPr rot="0" vert="horz"/>
              <a:lstStyle/>
              <a:p>
                <a:pPr>
                  <a:defRPr lang="en-US"/>
                </a:pPr>
                <a:r>
                  <a:rPr lang="ro-RO"/>
                  <a:t>kg</a:t>
                </a:r>
              </a:p>
            </c:rich>
          </c:tx>
          <c:layout>
            <c:manualLayout>
              <c:xMode val="edge"/>
              <c:yMode val="edge"/>
              <c:x val="0.12003787377045159"/>
              <c:y val="0.23594651776561171"/>
            </c:manualLayout>
          </c:layout>
          <c:overlay val="0"/>
        </c:title>
        <c:numFmt formatCode="General" sourceLinked="1"/>
        <c:majorTickMark val="none"/>
        <c:minorTickMark val="none"/>
        <c:tickLblPos val="nextTo"/>
        <c:txPr>
          <a:bodyPr/>
          <a:lstStyle/>
          <a:p>
            <a:pPr>
              <a:defRPr lang="en-US"/>
            </a:pPr>
            <a:endParaRPr lang="ro-RO"/>
          </a:p>
        </c:txPr>
        <c:crossAx val="242691072"/>
        <c:crosses val="autoZero"/>
        <c:crossBetween val="between"/>
      </c:valAx>
      <c:serAx>
        <c:axId val="242382144"/>
        <c:scaling>
          <c:orientation val="minMax"/>
        </c:scaling>
        <c:delete val="1"/>
        <c:axPos val="b"/>
        <c:majorTickMark val="out"/>
        <c:minorTickMark val="none"/>
        <c:tickLblPos val="none"/>
        <c:crossAx val="242709248"/>
        <c:crossesAt val="0"/>
      </c:serAx>
    </c:plotArea>
    <c:legend>
      <c:legendPos val="r"/>
      <c:layout>
        <c:manualLayout>
          <c:xMode val="edge"/>
          <c:yMode val="edge"/>
          <c:x val="0.89361788656036589"/>
          <c:y val="0.35784626138443043"/>
          <c:w val="9.0490178596567064E-2"/>
          <c:h val="0.26218625337786206"/>
        </c:manualLayout>
      </c:layout>
      <c:overlay val="0"/>
      <c:txPr>
        <a:bodyPr/>
        <a:lstStyle/>
        <a:p>
          <a:pPr>
            <a:defRPr lang="en-US"/>
          </a:pPr>
          <a:endParaRPr lang="ro-RO"/>
        </a:p>
      </c:txPr>
    </c:legend>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'2018_pe bazine'!$M$21:$M$26</c:f>
              <c:numCache>
                <c:formatCode>General</c:formatCode>
                <c:ptCount val="6"/>
                <c:pt idx="0">
                  <c:v>2013</c:v>
                </c:pt>
                <c:pt idx="1">
                  <c:v>2014</c:v>
                </c:pt>
                <c:pt idx="2">
                  <c:v>2015</c:v>
                </c:pt>
                <c:pt idx="3">
                  <c:v>2016</c:v>
                </c:pt>
                <c:pt idx="4">
                  <c:v>2017</c:v>
                </c:pt>
                <c:pt idx="5">
                  <c:v>2018</c:v>
                </c:pt>
              </c:numCache>
            </c:numRef>
          </c:cat>
          <c:val>
            <c:numRef>
              <c:f>'2018_pe bazine'!$N$6:$S$6</c:f>
              <c:numCache>
                <c:formatCode>General</c:formatCode>
                <c:ptCount val="6"/>
                <c:pt idx="0">
                  <c:v>35573</c:v>
                </c:pt>
                <c:pt idx="1">
                  <c:v>42575</c:v>
                </c:pt>
                <c:pt idx="2">
                  <c:v>35151</c:v>
                </c:pt>
                <c:pt idx="3">
                  <c:v>40732</c:v>
                </c:pt>
                <c:pt idx="4">
                  <c:v>29228</c:v>
                </c:pt>
                <c:pt idx="5">
                  <c:v>40722</c:v>
                </c:pt>
              </c:numCache>
            </c:numRef>
          </c:val>
          <c:extLst>
            <c:ext xmlns:c16="http://schemas.microsoft.com/office/drawing/2014/chart" uri="{C3380CC4-5D6E-409C-BE32-E72D297353CC}">
              <c16:uniqueId val="{00000000-0655-44D8-BEB7-B97110E12989}"/>
            </c:ext>
          </c:extLst>
        </c:ser>
        <c:dLbls>
          <c:showLegendKey val="0"/>
          <c:showVal val="0"/>
          <c:showCatName val="0"/>
          <c:showSerName val="0"/>
          <c:showPercent val="0"/>
          <c:showBubbleSize val="0"/>
        </c:dLbls>
        <c:gapWidth val="150"/>
        <c:axId val="391576176"/>
        <c:axId val="391579704"/>
      </c:barChart>
      <c:lineChart>
        <c:grouping val="standard"/>
        <c:varyColors val="0"/>
        <c:ser>
          <c:idx val="1"/>
          <c:order val="1"/>
          <c:spPr>
            <a:ln w="31750" cap="rnd">
              <a:solidFill>
                <a:srgbClr val="FF0000"/>
              </a:solidFill>
              <a:round/>
            </a:ln>
            <a:effectLst/>
          </c:spPr>
          <c:marker>
            <c:symbol val="none"/>
          </c:marker>
          <c:val>
            <c:numRef>
              <c:f>'2018_pe bazine'!$N$7:$S$7</c:f>
              <c:numCache>
                <c:formatCode>General</c:formatCode>
                <c:ptCount val="6"/>
                <c:pt idx="0">
                  <c:v>36651.800000000003</c:v>
                </c:pt>
                <c:pt idx="1">
                  <c:v>36651.800000000003</c:v>
                </c:pt>
                <c:pt idx="2">
                  <c:v>36651.800000000003</c:v>
                </c:pt>
                <c:pt idx="3">
                  <c:v>36651.800000000003</c:v>
                </c:pt>
                <c:pt idx="4">
                  <c:v>36651.800000000003</c:v>
                </c:pt>
                <c:pt idx="5">
                  <c:v>36651.800000000003</c:v>
                </c:pt>
              </c:numCache>
            </c:numRef>
          </c:val>
          <c:smooth val="0"/>
          <c:extLst>
            <c:ext xmlns:c16="http://schemas.microsoft.com/office/drawing/2014/chart" uri="{C3380CC4-5D6E-409C-BE32-E72D297353CC}">
              <c16:uniqueId val="{00000001-0655-44D8-BEB7-B97110E12989}"/>
            </c:ext>
          </c:extLst>
        </c:ser>
        <c:dLbls>
          <c:showLegendKey val="0"/>
          <c:showVal val="0"/>
          <c:showCatName val="0"/>
          <c:showSerName val="0"/>
          <c:showPercent val="0"/>
          <c:showBubbleSize val="0"/>
        </c:dLbls>
        <c:marker val="1"/>
        <c:smooth val="0"/>
        <c:axId val="391576176"/>
        <c:axId val="391579704"/>
      </c:lineChart>
      <c:catAx>
        <c:axId val="39157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o-RO"/>
          </a:p>
        </c:txPr>
        <c:crossAx val="391579704"/>
        <c:crosses val="autoZero"/>
        <c:auto val="1"/>
        <c:lblAlgn val="ctr"/>
        <c:lblOffset val="100"/>
        <c:noMultiLvlLbl val="0"/>
      </c:catAx>
      <c:valAx>
        <c:axId val="39157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o-RO"/>
          </a:p>
        </c:txPr>
        <c:crossAx val="39157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userShapes r:id="rId4"/>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b="0">
                <a:latin typeface="Arial" panose="020B0604020202020204" pitchFamily="34" charset="0"/>
                <a:cs typeface="Arial" panose="020B0604020202020204" pitchFamily="34" charset="0"/>
              </a:rPr>
              <a:t>Evoluția</a:t>
            </a:r>
            <a:r>
              <a:rPr lang="en-US" sz="1100" b="0" baseline="0">
                <a:latin typeface="Arial" panose="020B0604020202020204" pitchFamily="34" charset="0"/>
                <a:cs typeface="Arial" panose="020B0604020202020204" pitchFamily="34" charset="0"/>
              </a:rPr>
              <a:t> </a:t>
            </a:r>
            <a:r>
              <a:rPr lang="en-US" sz="1100" b="0">
                <a:latin typeface="Arial" panose="020B0604020202020204" pitchFamily="34" charset="0"/>
                <a:cs typeface="Arial" panose="020B0604020202020204" pitchFamily="34" charset="0"/>
              </a:rPr>
              <a:t>resursei de apă (teoretică și utilizabilă) in mii m</a:t>
            </a:r>
            <a:r>
              <a:rPr lang="en-US" sz="1100" b="0" baseline="30000">
                <a:latin typeface="Arial" panose="020B0604020202020204" pitchFamily="34" charset="0"/>
                <a:cs typeface="Arial" panose="020B0604020202020204" pitchFamily="34" charset="0"/>
              </a:rPr>
              <a:t>3</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'Tabel 1_Resursa teoretica'!$B$6</c:f>
              <c:strCache>
                <c:ptCount val="1"/>
                <c:pt idx="0">
                  <c:v>Anii</c:v>
                </c:pt>
              </c:strCache>
            </c:strRef>
          </c:tx>
          <c:invertIfNegative val="0"/>
          <c:val>
            <c:numRef>
              <c:f>'Tabel 1_Resursa teoretica'!$B$7:$B$12</c:f>
              <c:numCache>
                <c:formatCode>General</c:formatCode>
                <c:ptCount val="6"/>
                <c:pt idx="0">
                  <c:v>2013</c:v>
                </c:pt>
                <c:pt idx="1">
                  <c:v>2014</c:v>
                </c:pt>
                <c:pt idx="2">
                  <c:v>2015</c:v>
                </c:pt>
                <c:pt idx="3">
                  <c:v>2016</c:v>
                </c:pt>
                <c:pt idx="4">
                  <c:v>2017</c:v>
                </c:pt>
                <c:pt idx="5">
                  <c:v>2018</c:v>
                </c:pt>
              </c:numCache>
            </c:numRef>
          </c:val>
          <c:extLst>
            <c:ext xmlns:c16="http://schemas.microsoft.com/office/drawing/2014/chart" uri="{C3380CC4-5D6E-409C-BE32-E72D297353CC}">
              <c16:uniqueId val="{00000000-911B-4B48-83B7-88F15CBAFDCC}"/>
            </c:ext>
          </c:extLst>
        </c:ser>
        <c:ser>
          <c:idx val="1"/>
          <c:order val="1"/>
          <c:tx>
            <c:strRef>
              <c:f>'Tabel 1_Resursa teoretica'!$C$6</c:f>
              <c:strCache>
                <c:ptCount val="1"/>
                <c:pt idx="0">
                  <c:v>Resursa teoretică</c:v>
                </c:pt>
              </c:strCache>
            </c:strRef>
          </c:tx>
          <c:invertIfNegative val="0"/>
          <c:val>
            <c:numRef>
              <c:f>'Tabel 1_Resursa teoretica'!$C$7:$C$12</c:f>
              <c:numCache>
                <c:formatCode>General</c:formatCode>
                <c:ptCount val="6"/>
                <c:pt idx="0">
                  <c:v>134600000</c:v>
                </c:pt>
                <c:pt idx="1">
                  <c:v>134600000</c:v>
                </c:pt>
                <c:pt idx="2">
                  <c:v>134600000</c:v>
                </c:pt>
                <c:pt idx="3">
                  <c:v>134600000</c:v>
                </c:pt>
                <c:pt idx="4">
                  <c:v>134600000</c:v>
                </c:pt>
                <c:pt idx="5">
                  <c:v>134600000</c:v>
                </c:pt>
              </c:numCache>
            </c:numRef>
          </c:val>
          <c:extLst>
            <c:ext xmlns:c16="http://schemas.microsoft.com/office/drawing/2014/chart" uri="{C3380CC4-5D6E-409C-BE32-E72D297353CC}">
              <c16:uniqueId val="{00000001-911B-4B48-83B7-88F15CBAFDCC}"/>
            </c:ext>
          </c:extLst>
        </c:ser>
        <c:ser>
          <c:idx val="2"/>
          <c:order val="2"/>
          <c:tx>
            <c:strRef>
              <c:f>'Tabel 1_Resursa teoretica'!$D$6</c:f>
              <c:strCache>
                <c:ptCount val="1"/>
                <c:pt idx="0">
                  <c:v>Resursa utilizabilă</c:v>
                </c:pt>
              </c:strCache>
            </c:strRef>
          </c:tx>
          <c:invertIfNegative val="0"/>
          <c:val>
            <c:numRef>
              <c:f>'Tabel 1_Resursa teoretica'!$D$7:$D$12</c:f>
              <c:numCache>
                <c:formatCode>General</c:formatCode>
                <c:ptCount val="6"/>
                <c:pt idx="0">
                  <c:v>38346760</c:v>
                </c:pt>
                <c:pt idx="1">
                  <c:v>38346760</c:v>
                </c:pt>
                <c:pt idx="2">
                  <c:v>38346760</c:v>
                </c:pt>
                <c:pt idx="3">
                  <c:v>38346760</c:v>
                </c:pt>
                <c:pt idx="4">
                  <c:v>38346760</c:v>
                </c:pt>
                <c:pt idx="5">
                  <c:v>38346760</c:v>
                </c:pt>
              </c:numCache>
            </c:numRef>
          </c:val>
          <c:extLst>
            <c:ext xmlns:c16="http://schemas.microsoft.com/office/drawing/2014/chart" uri="{C3380CC4-5D6E-409C-BE32-E72D297353CC}">
              <c16:uniqueId val="{00000002-911B-4B48-83B7-88F15CBAFDCC}"/>
            </c:ext>
          </c:extLst>
        </c:ser>
        <c:dLbls>
          <c:showLegendKey val="0"/>
          <c:showVal val="0"/>
          <c:showCatName val="0"/>
          <c:showSerName val="0"/>
          <c:showPercent val="0"/>
          <c:showBubbleSize val="0"/>
        </c:dLbls>
        <c:gapWidth val="150"/>
        <c:shape val="box"/>
        <c:axId val="391577744"/>
        <c:axId val="391582448"/>
        <c:axId val="0"/>
      </c:bar3DChart>
      <c:catAx>
        <c:axId val="391577744"/>
        <c:scaling>
          <c:orientation val="minMax"/>
        </c:scaling>
        <c:delete val="0"/>
        <c:axPos val="b"/>
        <c:numFmt formatCode="0.0" sourceLinked="1"/>
        <c:majorTickMark val="none"/>
        <c:minorTickMark val="none"/>
        <c:tickLblPos val="nextTo"/>
        <c:crossAx val="391582448"/>
        <c:crosses val="autoZero"/>
        <c:auto val="1"/>
        <c:lblAlgn val="ctr"/>
        <c:lblOffset val="100"/>
        <c:noMultiLvlLbl val="0"/>
      </c:catAx>
      <c:valAx>
        <c:axId val="391582448"/>
        <c:scaling>
          <c:orientation val="minMax"/>
        </c:scaling>
        <c:delete val="0"/>
        <c:axPos val="l"/>
        <c:majorGridlines/>
        <c:title>
          <c:tx>
            <c:rich>
              <a:bodyPr/>
              <a:lstStyle/>
              <a:p>
                <a:pPr>
                  <a:defRPr b="0" i="1"/>
                </a:pPr>
                <a:r>
                  <a:rPr lang="en-US" b="0" i="1"/>
                  <a:t>Volum</a:t>
                </a:r>
                <a:r>
                  <a:rPr lang="en-US" b="0" i="1" baseline="0"/>
                  <a:t> mii m</a:t>
                </a:r>
                <a:r>
                  <a:rPr lang="en-US" b="0" i="1" baseline="30000"/>
                  <a:t>3</a:t>
                </a:r>
              </a:p>
            </c:rich>
          </c:tx>
          <c:layout>
            <c:manualLayout>
              <c:xMode val="edge"/>
              <c:yMode val="edge"/>
              <c:x val="7.4818341868091123E-2"/>
              <c:y val="0.36308532289078838"/>
            </c:manualLayout>
          </c:layout>
          <c:overlay val="0"/>
        </c:title>
        <c:numFmt formatCode="General" sourceLinked="1"/>
        <c:majorTickMark val="none"/>
        <c:minorTickMark val="none"/>
        <c:tickLblPos val="nextTo"/>
        <c:crossAx val="3915777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39733596074682"/>
          <c:y val="2.9771008596922825E-2"/>
          <c:w val="0.69916177179335759"/>
          <c:h val="0.73306080542960061"/>
        </c:manualLayout>
      </c:layout>
      <c:barChart>
        <c:barDir val="bar"/>
        <c:grouping val="stacked"/>
        <c:varyColors val="0"/>
        <c:ser>
          <c:idx val="0"/>
          <c:order val="0"/>
          <c:tx>
            <c:strRef>
              <c:f>'Km monit.'!$A$4</c:f>
              <c:strCache>
                <c:ptCount val="1"/>
                <c:pt idx="0">
                  <c:v>SE bună / bun (km)</c:v>
                </c:pt>
              </c:strCache>
            </c:strRef>
          </c:tx>
          <c:spPr>
            <a:solidFill>
              <a:srgbClr val="92D050"/>
            </a:solidFill>
            <a:ln>
              <a:noFill/>
            </a:ln>
            <a:effectLst/>
          </c:spPr>
          <c:invertIfNegative val="0"/>
          <c:cat>
            <c:strRef>
              <c:f>'Km monit.'!$B$2:$L$3</c:f>
              <c:strCache>
                <c:ptCount val="11"/>
                <c:pt idx="0">
                  <c:v>Somes-Tisa</c:v>
                </c:pt>
                <c:pt idx="1">
                  <c:v>Crișuri</c:v>
                </c:pt>
                <c:pt idx="2">
                  <c:v>Mureș</c:v>
                </c:pt>
                <c:pt idx="3">
                  <c:v>Banat</c:v>
                </c:pt>
                <c:pt idx="4">
                  <c:v>Jiu</c:v>
                </c:pt>
                <c:pt idx="5">
                  <c:v>Olt</c:v>
                </c:pt>
                <c:pt idx="6">
                  <c:v>Argeș - Vedea</c:v>
                </c:pt>
                <c:pt idx="7">
                  <c:v>Buzău - Ialomița</c:v>
                </c:pt>
                <c:pt idx="8">
                  <c:v>Prut - Bârlad</c:v>
                </c:pt>
                <c:pt idx="9">
                  <c:v>Siret</c:v>
                </c:pt>
                <c:pt idx="10">
                  <c:v>Dobrogea - Litoral</c:v>
                </c:pt>
              </c:strCache>
            </c:strRef>
          </c:cat>
          <c:val>
            <c:numRef>
              <c:f>'Km monit.'!$B$4:$L$4</c:f>
              <c:numCache>
                <c:formatCode>0.0</c:formatCode>
                <c:ptCount val="11"/>
                <c:pt idx="0">
                  <c:v>2724.8020000000001</c:v>
                </c:pt>
                <c:pt idx="1">
                  <c:v>1184.0700000000002</c:v>
                </c:pt>
                <c:pt idx="2">
                  <c:v>2714.7599999999998</c:v>
                </c:pt>
                <c:pt idx="3">
                  <c:v>2271.67</c:v>
                </c:pt>
                <c:pt idx="4">
                  <c:v>1687.3300000000002</c:v>
                </c:pt>
                <c:pt idx="5">
                  <c:v>2109.5</c:v>
                </c:pt>
                <c:pt idx="6">
                  <c:v>1168.7600000000002</c:v>
                </c:pt>
                <c:pt idx="7">
                  <c:v>682.8</c:v>
                </c:pt>
                <c:pt idx="8">
                  <c:v>208.26000000000002</c:v>
                </c:pt>
                <c:pt idx="9">
                  <c:v>4026.8470000000002</c:v>
                </c:pt>
                <c:pt idx="10">
                  <c:v>505.01</c:v>
                </c:pt>
              </c:numCache>
            </c:numRef>
          </c:val>
          <c:extLst>
            <c:ext xmlns:c16="http://schemas.microsoft.com/office/drawing/2014/chart" uri="{C3380CC4-5D6E-409C-BE32-E72D297353CC}">
              <c16:uniqueId val="{00000000-9456-4A20-867F-B5DF2AB88635}"/>
            </c:ext>
          </c:extLst>
        </c:ser>
        <c:ser>
          <c:idx val="1"/>
          <c:order val="1"/>
          <c:tx>
            <c:strRef>
              <c:f>'Km monit.'!$A$5</c:f>
              <c:strCache>
                <c:ptCount val="1"/>
                <c:pt idx="0">
                  <c:v>SE inferioară stării bune (km)</c:v>
                </c:pt>
              </c:strCache>
            </c:strRef>
          </c:tx>
          <c:spPr>
            <a:solidFill>
              <a:schemeClr val="bg1">
                <a:lumMod val="75000"/>
              </a:schemeClr>
            </a:solidFill>
            <a:ln>
              <a:noFill/>
            </a:ln>
            <a:effectLst/>
          </c:spPr>
          <c:invertIfNegative val="0"/>
          <c:cat>
            <c:strRef>
              <c:f>'Km monit.'!$B$2:$L$3</c:f>
              <c:strCache>
                <c:ptCount val="11"/>
                <c:pt idx="0">
                  <c:v>Somes-Tisa</c:v>
                </c:pt>
                <c:pt idx="1">
                  <c:v>Crișuri</c:v>
                </c:pt>
                <c:pt idx="2">
                  <c:v>Mureș</c:v>
                </c:pt>
                <c:pt idx="3">
                  <c:v>Banat</c:v>
                </c:pt>
                <c:pt idx="4">
                  <c:v>Jiu</c:v>
                </c:pt>
                <c:pt idx="5">
                  <c:v>Olt</c:v>
                </c:pt>
                <c:pt idx="6">
                  <c:v>Argeș - Vedea</c:v>
                </c:pt>
                <c:pt idx="7">
                  <c:v>Buzău - Ialomița</c:v>
                </c:pt>
                <c:pt idx="8">
                  <c:v>Prut - Bârlad</c:v>
                </c:pt>
                <c:pt idx="9">
                  <c:v>Siret</c:v>
                </c:pt>
                <c:pt idx="10">
                  <c:v>Dobrogea - Litoral</c:v>
                </c:pt>
              </c:strCache>
            </c:strRef>
          </c:cat>
          <c:val>
            <c:numRef>
              <c:f>'Km monit.'!$B$5:$L$5</c:f>
              <c:numCache>
                <c:formatCode>0.0</c:formatCode>
                <c:ptCount val="11"/>
                <c:pt idx="0">
                  <c:v>2290.6569999999997</c:v>
                </c:pt>
                <c:pt idx="1">
                  <c:v>497.75</c:v>
                </c:pt>
                <c:pt idx="2">
                  <c:v>1634.06</c:v>
                </c:pt>
                <c:pt idx="3">
                  <c:v>1109.3799999999999</c:v>
                </c:pt>
                <c:pt idx="4">
                  <c:v>1719.3</c:v>
                </c:pt>
                <c:pt idx="5">
                  <c:v>1506</c:v>
                </c:pt>
                <c:pt idx="6">
                  <c:v>2529.16</c:v>
                </c:pt>
                <c:pt idx="7">
                  <c:v>1654.6</c:v>
                </c:pt>
                <c:pt idx="8">
                  <c:v>3283.1100000000006</c:v>
                </c:pt>
                <c:pt idx="9">
                  <c:v>1603.0539999999999</c:v>
                </c:pt>
                <c:pt idx="10">
                  <c:v>494.5</c:v>
                </c:pt>
              </c:numCache>
            </c:numRef>
          </c:val>
          <c:extLst>
            <c:ext xmlns:c16="http://schemas.microsoft.com/office/drawing/2014/chart" uri="{C3380CC4-5D6E-409C-BE32-E72D297353CC}">
              <c16:uniqueId val="{00000001-9456-4A20-867F-B5DF2AB88635}"/>
            </c:ext>
          </c:extLst>
        </c:ser>
        <c:dLbls>
          <c:showLegendKey val="0"/>
          <c:showVal val="0"/>
          <c:showCatName val="0"/>
          <c:showSerName val="0"/>
          <c:showPercent val="0"/>
          <c:showBubbleSize val="0"/>
        </c:dLbls>
        <c:gapWidth val="150"/>
        <c:overlap val="100"/>
        <c:axId val="242817664"/>
        <c:axId val="242971392"/>
      </c:barChart>
      <c:catAx>
        <c:axId val="242817664"/>
        <c:scaling>
          <c:orientation val="minMax"/>
        </c:scaling>
        <c:delete val="0"/>
        <c:axPos val="l"/>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t>Bazine/spatii hidrografice</a:t>
                </a:r>
                <a:endParaRPr lang="ro-RO" sz="900"/>
              </a:p>
            </c:rich>
          </c:tx>
          <c:layout>
            <c:manualLayout>
              <c:xMode val="edge"/>
              <c:yMode val="edge"/>
              <c:x val="4.7730513442405934E-2"/>
              <c:y val="0.23836736429548491"/>
            </c:manualLayout>
          </c:layout>
          <c:overlay val="0"/>
          <c:spPr>
            <a:noFill/>
            <a:ln>
              <a:solidFill>
                <a:schemeClr val="tx1"/>
              </a:solid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2971392"/>
        <c:crosses val="autoZero"/>
        <c:auto val="1"/>
        <c:lblAlgn val="ctr"/>
        <c:lblOffset val="100"/>
        <c:noMultiLvlLbl val="0"/>
      </c:catAx>
      <c:valAx>
        <c:axId val="2429713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2817664"/>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o-RO"/>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05830106797605"/>
          <c:y val="3.6850921273031828E-2"/>
          <c:w val="0.70208146979468622"/>
          <c:h val="0.705226658225514"/>
        </c:manualLayout>
      </c:layout>
      <c:barChart>
        <c:barDir val="bar"/>
        <c:grouping val="percentStacked"/>
        <c:varyColors val="0"/>
        <c:ser>
          <c:idx val="0"/>
          <c:order val="0"/>
          <c:tx>
            <c:strRef>
              <c:f>'Km monit.'!$A$8</c:f>
              <c:strCache>
                <c:ptCount val="1"/>
                <c:pt idx="0">
                  <c:v>SE bună / bun (%)</c:v>
                </c:pt>
              </c:strCache>
            </c:strRef>
          </c:tx>
          <c:spPr>
            <a:solidFill>
              <a:srgbClr val="92D050"/>
            </a:solidFill>
            <a:ln>
              <a:noFill/>
            </a:ln>
            <a:effectLst/>
          </c:spPr>
          <c:invertIfNegative val="0"/>
          <c:cat>
            <c:strRef>
              <c:f>'Km monit.'!$B$7:$L$7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'Km monit.'!$B$8:$L$8</c:f>
              <c:numCache>
                <c:formatCode>0.00</c:formatCode>
                <c:ptCount val="11"/>
                <c:pt idx="0">
                  <c:v>54.328068477880095</c:v>
                </c:pt>
                <c:pt idx="1">
                  <c:v>70.404086049636703</c:v>
                </c:pt>
                <c:pt idx="2">
                  <c:v>62.425209597086095</c:v>
                </c:pt>
                <c:pt idx="3">
                  <c:v>67.188299492761118</c:v>
                </c:pt>
                <c:pt idx="4">
                  <c:v>49.530767943686101</c:v>
                </c:pt>
                <c:pt idx="5">
                  <c:v>58.346010233715951</c:v>
                </c:pt>
                <c:pt idx="6">
                  <c:v>31.60587573554875</c:v>
                </c:pt>
                <c:pt idx="7">
                  <c:v>29.211944896038332</c:v>
                </c:pt>
                <c:pt idx="8">
                  <c:v>5.9649936844276024</c:v>
                </c:pt>
                <c:pt idx="9">
                  <c:v>71.526071239973859</c:v>
                </c:pt>
                <c:pt idx="10">
                  <c:v>50.525757621234405</c:v>
                </c:pt>
              </c:numCache>
            </c:numRef>
          </c:val>
          <c:extLst>
            <c:ext xmlns:c16="http://schemas.microsoft.com/office/drawing/2014/chart" uri="{C3380CC4-5D6E-409C-BE32-E72D297353CC}">
              <c16:uniqueId val="{00000000-2515-41EB-9CDA-30E0D7E57FB0}"/>
            </c:ext>
          </c:extLst>
        </c:ser>
        <c:ser>
          <c:idx val="1"/>
          <c:order val="1"/>
          <c:tx>
            <c:strRef>
              <c:f>'Km monit.'!$A$9</c:f>
              <c:strCache>
                <c:ptCount val="1"/>
                <c:pt idx="0">
                  <c:v>SE inferioară stării bune (%)</c:v>
                </c:pt>
              </c:strCache>
            </c:strRef>
          </c:tx>
          <c:spPr>
            <a:solidFill>
              <a:schemeClr val="bg1">
                <a:lumMod val="75000"/>
              </a:schemeClr>
            </a:solidFill>
            <a:ln>
              <a:noFill/>
            </a:ln>
            <a:effectLst/>
          </c:spPr>
          <c:invertIfNegative val="0"/>
          <c:cat>
            <c:strRef>
              <c:f>'Km monit.'!$B$7:$L$7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'Km monit.'!$B$9:$L$9</c:f>
              <c:numCache>
                <c:formatCode>0.00</c:formatCode>
                <c:ptCount val="11"/>
                <c:pt idx="0">
                  <c:v>45.671931522119912</c:v>
                </c:pt>
                <c:pt idx="1">
                  <c:v>29.595913950363158</c:v>
                </c:pt>
                <c:pt idx="2">
                  <c:v>37.574790402913891</c:v>
                </c:pt>
                <c:pt idx="3">
                  <c:v>32.811700507238562</c:v>
                </c:pt>
                <c:pt idx="4">
                  <c:v>50.469232056313714</c:v>
                </c:pt>
                <c:pt idx="5">
                  <c:v>41.653989766283864</c:v>
                </c:pt>
                <c:pt idx="6">
                  <c:v>68.394124264451364</c:v>
                </c:pt>
                <c:pt idx="7">
                  <c:v>70.788055103961227</c:v>
                </c:pt>
                <c:pt idx="8">
                  <c:v>94.035006315572389</c:v>
                </c:pt>
                <c:pt idx="9">
                  <c:v>28.473928760026158</c:v>
                </c:pt>
                <c:pt idx="10">
                  <c:v>49.474242378765595</c:v>
                </c:pt>
              </c:numCache>
            </c:numRef>
          </c:val>
          <c:extLst>
            <c:ext xmlns:c16="http://schemas.microsoft.com/office/drawing/2014/chart" uri="{C3380CC4-5D6E-409C-BE32-E72D297353CC}">
              <c16:uniqueId val="{00000001-2515-41EB-9CDA-30E0D7E57FB0}"/>
            </c:ext>
          </c:extLst>
        </c:ser>
        <c:dLbls>
          <c:showLegendKey val="0"/>
          <c:showVal val="0"/>
          <c:showCatName val="0"/>
          <c:showSerName val="0"/>
          <c:showPercent val="0"/>
          <c:showBubbleSize val="0"/>
        </c:dLbls>
        <c:gapWidth val="150"/>
        <c:overlap val="100"/>
        <c:axId val="242997120"/>
        <c:axId val="243007488"/>
      </c:barChart>
      <c:catAx>
        <c:axId val="242997120"/>
        <c:scaling>
          <c:orientation val="minMax"/>
        </c:scaling>
        <c:delete val="0"/>
        <c:axPos val="l"/>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t>Bazine/Spatii hidrografice</a:t>
                </a:r>
                <a:endParaRPr lang="ro-RO" sz="900"/>
              </a:p>
            </c:rich>
          </c:tx>
          <c:layout>
            <c:manualLayout>
              <c:xMode val="edge"/>
              <c:yMode val="edge"/>
              <c:x val="7.5299297265261231E-2"/>
              <c:y val="0.24474970421443537"/>
            </c:manualLayout>
          </c:layout>
          <c:overlay val="0"/>
          <c:spPr>
            <a:noFill/>
            <a:ln>
              <a:solidFill>
                <a:schemeClr val="tx1"/>
              </a:solid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07488"/>
        <c:crosses val="autoZero"/>
        <c:auto val="1"/>
        <c:lblAlgn val="ctr"/>
        <c:lblOffset val="100"/>
        <c:noMultiLvlLbl val="0"/>
      </c:catAx>
      <c:valAx>
        <c:axId val="243007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2997120"/>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o-RO"/>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78271248332646"/>
          <c:y val="4.2438271604938647E-2"/>
          <c:w val="0.7552921773845187"/>
          <c:h val="0.64172468892777612"/>
        </c:manualLayout>
      </c:layout>
      <c:barChart>
        <c:barDir val="bar"/>
        <c:grouping val="stacked"/>
        <c:varyColors val="0"/>
        <c:ser>
          <c:idx val="0"/>
          <c:order val="0"/>
          <c:tx>
            <c:strRef>
              <c:f>'Subst. priorit. rauri'!$D$55</c:f>
              <c:strCache>
                <c:ptCount val="1"/>
                <c:pt idx="0">
                  <c:v>Metale prioritare (nr.)</c:v>
                </c:pt>
              </c:strCache>
            </c:strRef>
          </c:tx>
          <c:spPr>
            <a:solidFill>
              <a:schemeClr val="accent1"/>
            </a:solidFill>
            <a:ln>
              <a:noFill/>
            </a:ln>
            <a:effectLst/>
          </c:spPr>
          <c:invertIfNegative val="0"/>
          <c:cat>
            <c:strRef>
              <c:f>'Subst. priorit. rauri'!$A$56:$A$66</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 priorit. rauri'!$D$56:$D$66</c:f>
              <c:numCache>
                <c:formatCode>General</c:formatCode>
                <c:ptCount val="11"/>
                <c:pt idx="0">
                  <c:v>4</c:v>
                </c:pt>
                <c:pt idx="1">
                  <c:v>4</c:v>
                </c:pt>
                <c:pt idx="2">
                  <c:v>4</c:v>
                </c:pt>
                <c:pt idx="3">
                  <c:v>4</c:v>
                </c:pt>
                <c:pt idx="4">
                  <c:v>4</c:v>
                </c:pt>
                <c:pt idx="5">
                  <c:v>4</c:v>
                </c:pt>
                <c:pt idx="6">
                  <c:v>4</c:v>
                </c:pt>
                <c:pt idx="7">
                  <c:v>4</c:v>
                </c:pt>
                <c:pt idx="8">
                  <c:v>4</c:v>
                </c:pt>
                <c:pt idx="9">
                  <c:v>4</c:v>
                </c:pt>
                <c:pt idx="10">
                  <c:v>4</c:v>
                </c:pt>
              </c:numCache>
            </c:numRef>
          </c:val>
          <c:extLst>
            <c:ext xmlns:c16="http://schemas.microsoft.com/office/drawing/2014/chart" uri="{C3380CC4-5D6E-409C-BE32-E72D297353CC}">
              <c16:uniqueId val="{00000000-EC81-40ED-9C94-667273669BDA}"/>
            </c:ext>
          </c:extLst>
        </c:ser>
        <c:ser>
          <c:idx val="1"/>
          <c:order val="1"/>
          <c:tx>
            <c:strRef>
              <c:f>'Subst. priorit. rauri'!$E$55</c:f>
              <c:strCache>
                <c:ptCount val="1"/>
                <c:pt idx="0">
                  <c:v>Micropoluanţi organici (nr.)</c:v>
                </c:pt>
              </c:strCache>
            </c:strRef>
          </c:tx>
          <c:spPr>
            <a:solidFill>
              <a:schemeClr val="accent2"/>
            </a:solidFill>
            <a:ln>
              <a:noFill/>
            </a:ln>
            <a:effectLst/>
          </c:spPr>
          <c:invertIfNegative val="0"/>
          <c:cat>
            <c:strRef>
              <c:f>'Subst. priorit. rauri'!$A$56:$A$66</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 priorit. rauri'!$E$56:$E$66</c:f>
              <c:numCache>
                <c:formatCode>General</c:formatCode>
                <c:ptCount val="11"/>
                <c:pt idx="0">
                  <c:v>21</c:v>
                </c:pt>
                <c:pt idx="1">
                  <c:v>28</c:v>
                </c:pt>
                <c:pt idx="2">
                  <c:v>17</c:v>
                </c:pt>
                <c:pt idx="3">
                  <c:v>10</c:v>
                </c:pt>
                <c:pt idx="4">
                  <c:v>17</c:v>
                </c:pt>
                <c:pt idx="5">
                  <c:v>25</c:v>
                </c:pt>
                <c:pt idx="6">
                  <c:v>29</c:v>
                </c:pt>
                <c:pt idx="7">
                  <c:v>21</c:v>
                </c:pt>
                <c:pt idx="8">
                  <c:v>23</c:v>
                </c:pt>
                <c:pt idx="9">
                  <c:v>25</c:v>
                </c:pt>
                <c:pt idx="10">
                  <c:v>23</c:v>
                </c:pt>
              </c:numCache>
            </c:numRef>
          </c:val>
          <c:extLst>
            <c:ext xmlns:c16="http://schemas.microsoft.com/office/drawing/2014/chart" uri="{C3380CC4-5D6E-409C-BE32-E72D297353CC}">
              <c16:uniqueId val="{00000001-EC81-40ED-9C94-667273669BDA}"/>
            </c:ext>
          </c:extLst>
        </c:ser>
        <c:dLbls>
          <c:showLegendKey val="0"/>
          <c:showVal val="0"/>
          <c:showCatName val="0"/>
          <c:showSerName val="0"/>
          <c:showPercent val="0"/>
          <c:showBubbleSize val="0"/>
        </c:dLbls>
        <c:gapWidth val="150"/>
        <c:overlap val="100"/>
        <c:axId val="243037312"/>
        <c:axId val="243039232"/>
      </c:barChart>
      <c:catAx>
        <c:axId val="243037312"/>
        <c:scaling>
          <c:orientation val="minMax"/>
        </c:scaling>
        <c:delete val="0"/>
        <c:axPos val="l"/>
        <c:title>
          <c:tx>
            <c:rich>
              <a:bodyPr rot="-54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t>Bazine</a:t>
                </a:r>
                <a:r>
                  <a:rPr lang="ro-RO" sz="800"/>
                  <a:t>/spatii hidrografice</a:t>
                </a:r>
              </a:p>
            </c:rich>
          </c:tx>
          <c:layout>
            <c:manualLayout>
              <c:xMode val="edge"/>
              <c:yMode val="edge"/>
              <c:x val="5.2261611571681334E-2"/>
              <c:y val="0.2008648658501022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39232"/>
        <c:crosses val="autoZero"/>
        <c:auto val="1"/>
        <c:lblAlgn val="ctr"/>
        <c:lblOffset val="100"/>
        <c:noMultiLvlLbl val="0"/>
      </c:catAx>
      <c:valAx>
        <c:axId val="24303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37312"/>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ro-RO"/>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88116160763636"/>
          <c:y val="4.3521279631542682E-2"/>
          <c:w val="0.74315566323440774"/>
          <c:h val="0.55347914779290408"/>
        </c:manualLayout>
      </c:layout>
      <c:barChart>
        <c:barDir val="bar"/>
        <c:grouping val="stacked"/>
        <c:varyColors val="0"/>
        <c:ser>
          <c:idx val="0"/>
          <c:order val="0"/>
          <c:tx>
            <c:strRef>
              <c:f>'Subst. priorit. lacuri'!$C$38</c:f>
              <c:strCache>
                <c:ptCount val="1"/>
                <c:pt idx="0">
                  <c:v>Metale prioritare (nr.)</c:v>
                </c:pt>
              </c:strCache>
            </c:strRef>
          </c:tx>
          <c:spPr>
            <a:solidFill>
              <a:schemeClr val="accent1"/>
            </a:solidFill>
            <a:ln>
              <a:noFill/>
            </a:ln>
            <a:effectLst/>
          </c:spPr>
          <c:invertIfNegative val="0"/>
          <c:cat>
            <c:strRef>
              <c:f>'Subst. priorit. lacuri'!$A$39:$A$49</c:f>
              <c:strCache>
                <c:ptCount val="11"/>
                <c:pt idx="0">
                  <c:v>Someș-Tisa</c:v>
                </c:pt>
                <c:pt idx="1">
                  <c:v>Crișuri</c:v>
                </c:pt>
                <c:pt idx="2">
                  <c:v>Mureș</c:v>
                </c:pt>
                <c:pt idx="3">
                  <c:v>Banat</c:v>
                </c:pt>
                <c:pt idx="4">
                  <c:v>Jiu</c:v>
                </c:pt>
                <c:pt idx="5">
                  <c:v>Olt</c:v>
                </c:pt>
                <c:pt idx="6">
                  <c:v>Argeș - Vedea</c:v>
                </c:pt>
                <c:pt idx="7">
                  <c:v>Buzău - Ialomița</c:v>
                </c:pt>
                <c:pt idx="8">
                  <c:v>Siret</c:v>
                </c:pt>
                <c:pt idx="9">
                  <c:v>Prut - Bârlad</c:v>
                </c:pt>
                <c:pt idx="10">
                  <c:v>Dobrogea - Litoral</c:v>
                </c:pt>
              </c:strCache>
            </c:strRef>
          </c:cat>
          <c:val>
            <c:numRef>
              <c:f>'Subst. priorit. lacuri'!$C$39:$C$49</c:f>
              <c:numCache>
                <c:formatCode>General</c:formatCode>
                <c:ptCount val="11"/>
                <c:pt idx="0">
                  <c:v>4</c:v>
                </c:pt>
                <c:pt idx="1">
                  <c:v>0</c:v>
                </c:pt>
                <c:pt idx="2">
                  <c:v>0</c:v>
                </c:pt>
                <c:pt idx="3">
                  <c:v>4</c:v>
                </c:pt>
                <c:pt idx="4">
                  <c:v>4</c:v>
                </c:pt>
                <c:pt idx="5">
                  <c:v>4</c:v>
                </c:pt>
                <c:pt idx="6">
                  <c:v>0</c:v>
                </c:pt>
                <c:pt idx="7">
                  <c:v>1</c:v>
                </c:pt>
                <c:pt idx="8">
                  <c:v>4</c:v>
                </c:pt>
                <c:pt idx="9">
                  <c:v>4</c:v>
                </c:pt>
                <c:pt idx="10">
                  <c:v>3</c:v>
                </c:pt>
              </c:numCache>
            </c:numRef>
          </c:val>
          <c:extLst>
            <c:ext xmlns:c16="http://schemas.microsoft.com/office/drawing/2014/chart" uri="{C3380CC4-5D6E-409C-BE32-E72D297353CC}">
              <c16:uniqueId val="{00000000-0E24-4BB5-93DB-0D7D8A7E0DC6}"/>
            </c:ext>
          </c:extLst>
        </c:ser>
        <c:ser>
          <c:idx val="1"/>
          <c:order val="1"/>
          <c:tx>
            <c:strRef>
              <c:f>'Subst. priorit. lacuri'!$D$38</c:f>
              <c:strCache>
                <c:ptCount val="1"/>
                <c:pt idx="0">
                  <c:v>Micropoluanți organici (nr.)</c:v>
                </c:pt>
              </c:strCache>
            </c:strRef>
          </c:tx>
          <c:spPr>
            <a:solidFill>
              <a:schemeClr val="accent2"/>
            </a:solidFill>
            <a:ln>
              <a:noFill/>
            </a:ln>
            <a:effectLst/>
          </c:spPr>
          <c:invertIfNegative val="0"/>
          <c:cat>
            <c:strRef>
              <c:f>'Subst. priorit. lacuri'!$A$39:$A$49</c:f>
              <c:strCache>
                <c:ptCount val="11"/>
                <c:pt idx="0">
                  <c:v>Someș-Tisa</c:v>
                </c:pt>
                <c:pt idx="1">
                  <c:v>Crișuri</c:v>
                </c:pt>
                <c:pt idx="2">
                  <c:v>Mureș</c:v>
                </c:pt>
                <c:pt idx="3">
                  <c:v>Banat</c:v>
                </c:pt>
                <c:pt idx="4">
                  <c:v>Jiu</c:v>
                </c:pt>
                <c:pt idx="5">
                  <c:v>Olt</c:v>
                </c:pt>
                <c:pt idx="6">
                  <c:v>Argeș - Vedea</c:v>
                </c:pt>
                <c:pt idx="7">
                  <c:v>Buzău - Ialomița</c:v>
                </c:pt>
                <c:pt idx="8">
                  <c:v>Siret</c:v>
                </c:pt>
                <c:pt idx="9">
                  <c:v>Prut - Bârlad</c:v>
                </c:pt>
                <c:pt idx="10">
                  <c:v>Dobrogea - Litoral</c:v>
                </c:pt>
              </c:strCache>
            </c:strRef>
          </c:cat>
          <c:val>
            <c:numRef>
              <c:f>'Subst. priorit. lacuri'!$D$39:$D$49</c:f>
              <c:numCache>
                <c:formatCode>General</c:formatCode>
                <c:ptCount val="11"/>
                <c:pt idx="0">
                  <c:v>9</c:v>
                </c:pt>
                <c:pt idx="1">
                  <c:v>0</c:v>
                </c:pt>
                <c:pt idx="2">
                  <c:v>2</c:v>
                </c:pt>
                <c:pt idx="3">
                  <c:v>9</c:v>
                </c:pt>
                <c:pt idx="4">
                  <c:v>9</c:v>
                </c:pt>
                <c:pt idx="5">
                  <c:v>9</c:v>
                </c:pt>
                <c:pt idx="6">
                  <c:v>9</c:v>
                </c:pt>
                <c:pt idx="7">
                  <c:v>9</c:v>
                </c:pt>
                <c:pt idx="8">
                  <c:v>8</c:v>
                </c:pt>
                <c:pt idx="9">
                  <c:v>22</c:v>
                </c:pt>
                <c:pt idx="10">
                  <c:v>3</c:v>
                </c:pt>
              </c:numCache>
            </c:numRef>
          </c:val>
          <c:extLst>
            <c:ext xmlns:c16="http://schemas.microsoft.com/office/drawing/2014/chart" uri="{C3380CC4-5D6E-409C-BE32-E72D297353CC}">
              <c16:uniqueId val="{00000001-0E24-4BB5-93DB-0D7D8A7E0DC6}"/>
            </c:ext>
          </c:extLst>
        </c:ser>
        <c:dLbls>
          <c:showLegendKey val="0"/>
          <c:showVal val="0"/>
          <c:showCatName val="0"/>
          <c:showSerName val="0"/>
          <c:showPercent val="0"/>
          <c:showBubbleSize val="0"/>
        </c:dLbls>
        <c:gapWidth val="150"/>
        <c:overlap val="100"/>
        <c:axId val="243089792"/>
        <c:axId val="243091712"/>
      </c:barChart>
      <c:catAx>
        <c:axId val="243089792"/>
        <c:scaling>
          <c:orientation val="minMax"/>
        </c:scaling>
        <c:delete val="0"/>
        <c:axPos val="l"/>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Bazine/spatii hidrografice</a:t>
                </a:r>
                <a:endParaRPr lang="ro-RO"/>
              </a:p>
            </c:rich>
          </c:tx>
          <c:layout>
            <c:manualLayout>
              <c:xMode val="edge"/>
              <c:yMode val="edge"/>
              <c:x val="5.5961059838485004E-2"/>
              <c:y val="0.15049795571484029"/>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91712"/>
        <c:crosses val="autoZero"/>
        <c:auto val="1"/>
        <c:lblAlgn val="ctr"/>
        <c:lblOffset val="100"/>
        <c:noMultiLvlLbl val="0"/>
      </c:catAx>
      <c:valAx>
        <c:axId val="243091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089792"/>
        <c:crosses val="autoZero"/>
        <c:crossBetween val="between"/>
      </c:valAx>
      <c:dTable>
        <c:showHorzBorder val="1"/>
        <c:showVertBorder val="1"/>
        <c:showOutline val="1"/>
        <c:showKeys val="1"/>
        <c:spPr>
          <a:noFill/>
          <a:ln w="9525" cap="flat" cmpd="sng" algn="ctr">
            <a:solidFill>
              <a:sysClr val="windowText" lastClr="000000"/>
            </a:solidFill>
            <a:round/>
          </a:ln>
          <a:effectLst/>
        </c:spPr>
        <c:txPr>
          <a:bodyPr rot="0" spcFirstLastPara="1" vertOverflow="ellipsis" vert="horz" wrap="square" anchor="ctr" anchorCtr="1"/>
          <a:lstStyle/>
          <a:p>
            <a:pPr rtl="0">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solidFill>
          <a:schemeClr val="accent5">
            <a:lumMod val="40000"/>
            <a:lumOff val="60000"/>
          </a:schemeClr>
        </a:solidFill>
        <a:ln>
          <a:noFill/>
        </a:ln>
        <a:effectLst/>
      </c:spPr>
    </c:plotArea>
    <c:plotVisOnly val="1"/>
    <c:dispBlanksAs val="gap"/>
    <c:showDLblsOverMax val="0"/>
  </c:chart>
  <c:spPr>
    <a:solidFill>
      <a:schemeClr val="accent5">
        <a:lumMod val="20000"/>
        <a:lumOff val="80000"/>
      </a:schemeClr>
    </a:solidFill>
    <a:ln w="9525" cap="flat" cmpd="sng" algn="ctr">
      <a:solidFill>
        <a:sysClr val="windowText" lastClr="000000"/>
      </a:solidFill>
      <a:round/>
    </a:ln>
    <a:effectLst/>
  </c:spPr>
  <c:txPr>
    <a:bodyPr/>
    <a:lstStyle/>
    <a:p>
      <a:pPr algn="just">
        <a:defRPr sz="900">
          <a:solidFill>
            <a:sysClr val="windowText" lastClr="000000"/>
          </a:solidFill>
          <a:latin typeface="Arial" panose="020B0604020202020204" pitchFamily="34" charset="0"/>
          <a:cs typeface="Arial" panose="020B0604020202020204" pitchFamily="34" charset="0"/>
        </a:defRPr>
      </a:pPr>
      <a:endParaRPr lang="ro-R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noFill/>
        <a:ln w="3175">
          <a:solidFill>
            <a:srgbClr val="000000"/>
          </a:solidFill>
          <a:prstDash val="solid"/>
        </a:ln>
      </c:spPr>
    </c:floor>
    <c:sideWall>
      <c:thickness val="0"/>
      <c:spPr>
        <a:solidFill>
          <a:srgbClr val="1F497D">
            <a:lumMod val="40000"/>
            <a:lumOff val="60000"/>
          </a:srgbClr>
        </a:solidFill>
        <a:ln w="12700">
          <a:solidFill>
            <a:srgbClr val="000000"/>
          </a:solidFill>
          <a:prstDash val="solid"/>
        </a:ln>
      </c:spPr>
    </c:sideWall>
    <c:backWall>
      <c:thickness val="0"/>
      <c:spPr>
        <a:solidFill>
          <a:srgbClr val="1F497D">
            <a:lumMod val="40000"/>
            <a:lumOff val="60000"/>
          </a:srgbClr>
        </a:solidFill>
        <a:ln w="12700">
          <a:solidFill>
            <a:srgbClr val="000000"/>
          </a:solidFill>
          <a:prstDash val="solid"/>
        </a:ln>
      </c:spPr>
    </c:backWall>
    <c:plotArea>
      <c:layout>
        <c:manualLayout>
          <c:layoutTarget val="inner"/>
          <c:xMode val="edge"/>
          <c:yMode val="edge"/>
          <c:x val="0.11627906976744186"/>
          <c:y val="4.9450549450549483E-2"/>
          <c:w val="0.63759689922481988"/>
          <c:h val="0.65934065934066965"/>
        </c:manualLayout>
      </c:layout>
      <c:bar3DChart>
        <c:barDir val="col"/>
        <c:grouping val="clustered"/>
        <c:varyColors val="0"/>
        <c:ser>
          <c:idx val="7"/>
          <c:order val="0"/>
          <c:tx>
            <c:strRef>
              <c:f>Sheet1!$A$2</c:f>
              <c:strCache>
                <c:ptCount val="1"/>
                <c:pt idx="0">
                  <c:v>2018 Maxima zilnica a mediilor pe 8 ore</c:v>
                </c:pt>
              </c:strCache>
            </c:strRef>
          </c:tx>
          <c:invertIfNegative val="0"/>
          <c:cat>
            <c:strRef>
              <c:f>Sheet1!$B$1:$F$1</c:f>
              <c:strCache>
                <c:ptCount val="5"/>
                <c:pt idx="0">
                  <c:v>BR1</c:v>
                </c:pt>
                <c:pt idx="1">
                  <c:v>BR2</c:v>
                </c:pt>
                <c:pt idx="2">
                  <c:v>BR3</c:v>
                </c:pt>
                <c:pt idx="3">
                  <c:v>BR4</c:v>
                </c:pt>
                <c:pt idx="4">
                  <c:v>BR5</c:v>
                </c:pt>
              </c:strCache>
            </c:strRef>
          </c:cat>
          <c:val>
            <c:numRef>
              <c:f>Sheet1!$B$2:$F$2</c:f>
              <c:numCache>
                <c:formatCode>0.00</c:formatCode>
                <c:ptCount val="5"/>
                <c:pt idx="0">
                  <c:v>1.62</c:v>
                </c:pt>
                <c:pt idx="1">
                  <c:v>1.87</c:v>
                </c:pt>
                <c:pt idx="2">
                  <c:v>1.05</c:v>
                </c:pt>
                <c:pt idx="3">
                  <c:v>1.95</c:v>
                </c:pt>
                <c:pt idx="4">
                  <c:v>0.78</c:v>
                </c:pt>
              </c:numCache>
            </c:numRef>
          </c:val>
          <c:extLst>
            <c:ext xmlns:c16="http://schemas.microsoft.com/office/drawing/2014/chart" uri="{C3380CC4-5D6E-409C-BE32-E72D297353CC}">
              <c16:uniqueId val="{00000000-C087-4806-8FA0-4454880DA907}"/>
            </c:ext>
          </c:extLst>
        </c:ser>
        <c:dLbls>
          <c:showLegendKey val="0"/>
          <c:showVal val="0"/>
          <c:showCatName val="0"/>
          <c:showSerName val="0"/>
          <c:showPercent val="0"/>
          <c:showBubbleSize val="0"/>
        </c:dLbls>
        <c:gapWidth val="260"/>
        <c:gapDepth val="0"/>
        <c:shape val="box"/>
        <c:axId val="233680256"/>
        <c:axId val="233907328"/>
        <c:axId val="0"/>
      </c:bar3DChart>
      <c:catAx>
        <c:axId val="2336802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33907328"/>
        <c:crosses val="autoZero"/>
        <c:auto val="1"/>
        <c:lblAlgn val="ctr"/>
        <c:lblOffset val="100"/>
        <c:tickLblSkip val="1"/>
        <c:tickMarkSkip val="1"/>
        <c:noMultiLvlLbl val="0"/>
      </c:catAx>
      <c:valAx>
        <c:axId val="233907328"/>
        <c:scaling>
          <c:orientation val="minMax"/>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t>miigrame/mc</a:t>
                </a:r>
              </a:p>
            </c:rich>
          </c:tx>
          <c:layout>
            <c:manualLayout>
              <c:xMode val="edge"/>
              <c:yMode val="edge"/>
              <c:x val="4.0992385457522033E-2"/>
              <c:y val="0.12232884951881016"/>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33680256"/>
        <c:crosses val="autoZero"/>
        <c:crossBetween val="between"/>
      </c:valAx>
      <c:spPr>
        <a:noFill/>
        <a:ln w="25400">
          <a:noFill/>
        </a:ln>
      </c:spPr>
    </c:plotArea>
    <c:legend>
      <c:legendPos val="r"/>
      <c:layout>
        <c:manualLayout>
          <c:xMode val="edge"/>
          <c:yMode val="edge"/>
          <c:x val="0.76058161931280355"/>
          <c:y val="0.29739009186352139"/>
          <c:w val="0.21776553596199719"/>
          <c:h val="0.2643197725284339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24272606949781"/>
          <c:y val="2.4050437824506801E-2"/>
          <c:w val="0.60596881800031688"/>
          <c:h val="0.6716466180267846"/>
        </c:manualLayout>
      </c:layout>
      <c:barChart>
        <c:barDir val="col"/>
        <c:grouping val="clustered"/>
        <c:varyColors val="0"/>
        <c:ser>
          <c:idx val="0"/>
          <c:order val="0"/>
          <c:tx>
            <c:strRef>
              <c:f>Subterane_NO3!$A$10</c:f>
              <c:strCache>
                <c:ptCount val="1"/>
                <c:pt idx="0">
                  <c:v> Puncte de  monitorizare cu conc. &lt; 50 mg NO₃/l (%)</c:v>
                </c:pt>
              </c:strCache>
            </c:strRef>
          </c:tx>
          <c:spPr>
            <a:solidFill>
              <a:schemeClr val="accent1"/>
            </a:solidFill>
            <a:ln>
              <a:noFill/>
            </a:ln>
            <a:effectLst/>
          </c:spPr>
          <c:invertIfNegative val="0"/>
          <c:cat>
            <c:numRef>
              <c:f>Subterane_NO3!$B$9:$I$9</c:f>
              <c:numCache>
                <c:formatCode>General</c:formatCode>
                <c:ptCount val="8"/>
                <c:pt idx="0">
                  <c:v>2010</c:v>
                </c:pt>
                <c:pt idx="1">
                  <c:v>2011</c:v>
                </c:pt>
                <c:pt idx="2">
                  <c:v>2012</c:v>
                </c:pt>
                <c:pt idx="3">
                  <c:v>2013</c:v>
                </c:pt>
                <c:pt idx="4">
                  <c:v>2014</c:v>
                </c:pt>
                <c:pt idx="5">
                  <c:v>2015</c:v>
                </c:pt>
                <c:pt idx="6">
                  <c:v>2016</c:v>
                </c:pt>
                <c:pt idx="7">
                  <c:v>2017</c:v>
                </c:pt>
              </c:numCache>
            </c:numRef>
          </c:cat>
          <c:val>
            <c:numRef>
              <c:f>Subterane_NO3!$B$10:$I$10</c:f>
              <c:numCache>
                <c:formatCode>0.00</c:formatCode>
                <c:ptCount val="8"/>
                <c:pt idx="0">
                  <c:v>89.454322501532801</c:v>
                </c:pt>
                <c:pt idx="1">
                  <c:v>87.442922374429159</c:v>
                </c:pt>
                <c:pt idx="2">
                  <c:v>86.151491966335115</c:v>
                </c:pt>
                <c:pt idx="3">
                  <c:v>85.444531864673493</c:v>
                </c:pt>
                <c:pt idx="4">
                  <c:v>86.646433990895304</c:v>
                </c:pt>
                <c:pt idx="5">
                  <c:v>85.496183206106863</c:v>
                </c:pt>
                <c:pt idx="6">
                  <c:v>86.277084701248</c:v>
                </c:pt>
                <c:pt idx="7">
                  <c:v>86.197916666666657</c:v>
                </c:pt>
              </c:numCache>
            </c:numRef>
          </c:val>
          <c:extLst>
            <c:ext xmlns:c16="http://schemas.microsoft.com/office/drawing/2014/chart" uri="{C3380CC4-5D6E-409C-BE32-E72D297353CC}">
              <c16:uniqueId val="{00000000-FE18-4CEE-8D6B-FBE9675CF549}"/>
            </c:ext>
          </c:extLst>
        </c:ser>
        <c:ser>
          <c:idx val="1"/>
          <c:order val="1"/>
          <c:tx>
            <c:strRef>
              <c:f>Subterane_NO3!$A$11</c:f>
              <c:strCache>
                <c:ptCount val="1"/>
                <c:pt idx="0">
                  <c:v>Depășiri ale conc. 50 mg NO₃/L (%)</c:v>
                </c:pt>
              </c:strCache>
            </c:strRef>
          </c:tx>
          <c:spPr>
            <a:solidFill>
              <a:schemeClr val="bg1">
                <a:lumMod val="75000"/>
              </a:schemeClr>
            </a:solidFill>
            <a:ln>
              <a:noFill/>
            </a:ln>
            <a:effectLst/>
          </c:spPr>
          <c:invertIfNegative val="0"/>
          <c:cat>
            <c:numRef>
              <c:f>Subterane_NO3!$B$9:$I$9</c:f>
              <c:numCache>
                <c:formatCode>General</c:formatCode>
                <c:ptCount val="8"/>
                <c:pt idx="0">
                  <c:v>2010</c:v>
                </c:pt>
                <c:pt idx="1">
                  <c:v>2011</c:v>
                </c:pt>
                <c:pt idx="2">
                  <c:v>2012</c:v>
                </c:pt>
                <c:pt idx="3">
                  <c:v>2013</c:v>
                </c:pt>
                <c:pt idx="4">
                  <c:v>2014</c:v>
                </c:pt>
                <c:pt idx="5">
                  <c:v>2015</c:v>
                </c:pt>
                <c:pt idx="6">
                  <c:v>2016</c:v>
                </c:pt>
                <c:pt idx="7">
                  <c:v>2017</c:v>
                </c:pt>
              </c:numCache>
            </c:numRef>
          </c:cat>
          <c:val>
            <c:numRef>
              <c:f>Subterane_NO3!$B$11:$I$11</c:f>
              <c:numCache>
                <c:formatCode>0.00</c:formatCode>
                <c:ptCount val="8"/>
                <c:pt idx="0">
                  <c:v>10.545677498467199</c:v>
                </c:pt>
                <c:pt idx="1">
                  <c:v>12.557077625570768</c:v>
                </c:pt>
                <c:pt idx="2">
                  <c:v>13.84850803366488</c:v>
                </c:pt>
                <c:pt idx="3">
                  <c:v>14.555468135326526</c:v>
                </c:pt>
                <c:pt idx="4">
                  <c:v>13.353566009104799</c:v>
                </c:pt>
                <c:pt idx="5">
                  <c:v>14.503816793893128</c:v>
                </c:pt>
                <c:pt idx="6">
                  <c:v>13.722915298752461</c:v>
                </c:pt>
                <c:pt idx="7">
                  <c:v>13.802083333333389</c:v>
                </c:pt>
              </c:numCache>
            </c:numRef>
          </c:val>
          <c:extLst>
            <c:ext xmlns:c16="http://schemas.microsoft.com/office/drawing/2014/chart" uri="{C3380CC4-5D6E-409C-BE32-E72D297353CC}">
              <c16:uniqueId val="{00000001-FE18-4CEE-8D6B-FBE9675CF549}"/>
            </c:ext>
          </c:extLst>
        </c:ser>
        <c:dLbls>
          <c:showLegendKey val="0"/>
          <c:showVal val="0"/>
          <c:showCatName val="0"/>
          <c:showSerName val="0"/>
          <c:showPercent val="0"/>
          <c:showBubbleSize val="0"/>
        </c:dLbls>
        <c:gapWidth val="219"/>
        <c:overlap val="-27"/>
        <c:axId val="243117440"/>
        <c:axId val="243147904"/>
      </c:barChart>
      <c:catAx>
        <c:axId val="2431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147904"/>
        <c:crosses val="autoZero"/>
        <c:auto val="1"/>
        <c:lblAlgn val="ctr"/>
        <c:lblOffset val="100"/>
        <c:noMultiLvlLbl val="0"/>
      </c:catAx>
      <c:valAx>
        <c:axId val="24314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t>
                </a:r>
                <a:endParaRPr lang="ro-RO"/>
              </a:p>
            </c:rich>
          </c:tx>
          <c:layout>
            <c:manualLayout>
              <c:xMode val="edge"/>
              <c:yMode val="edge"/>
              <c:x val="0.2388888888888889"/>
              <c:y val="0.35468358121901711"/>
            </c:manualLayout>
          </c:layout>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43117440"/>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solidFill>
      <a:round/>
    </a:ln>
    <a:effectLst/>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ro-RO"/>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4.6300743657042884E-2"/>
          <c:y val="2.3148148148148147E-3"/>
          <c:w val="0.71765551181102361"/>
          <c:h val="0.99768518518518523"/>
        </c:manualLayout>
      </c:layout>
      <c:pie3DChart>
        <c:varyColors val="1"/>
        <c:ser>
          <c:idx val="0"/>
          <c:order val="0"/>
          <c:explosion val="25"/>
          <c:dLbls>
            <c:dLbl>
              <c:idx val="0"/>
              <c:layout>
                <c:manualLayout>
                  <c:x val="-0.19915310586176729"/>
                  <c:y val="1.6754520268299985E-2"/>
                </c:manualLayout>
              </c:layout>
              <c:tx>
                <c:rich>
                  <a:bodyPr/>
                  <a:lstStyle/>
                  <a:p>
                    <a:r>
                      <a:rPr lang="en-US"/>
                      <a:t>45,26%</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72-4AB6-BD0E-C3DB840786BA}"/>
                </c:ext>
              </c:extLst>
            </c:dLbl>
            <c:dLbl>
              <c:idx val="1"/>
              <c:layout>
                <c:manualLayout>
                  <c:x val="0.14075000000000001"/>
                  <c:y val="-0.14088910761154855"/>
                </c:manualLayout>
              </c:layout>
              <c:tx>
                <c:rich>
                  <a:bodyPr/>
                  <a:lstStyle/>
                  <a:p>
                    <a:r>
                      <a:rPr lang="en-US"/>
                      <a:t>38,83%</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2-4AB6-BD0E-C3DB840786BA}"/>
                </c:ext>
              </c:extLst>
            </c:dLbl>
            <c:dLbl>
              <c:idx val="2"/>
              <c:layout>
                <c:manualLayout>
                  <c:x val="3.7405511811024306E-2"/>
                  <c:y val="1.5975867599883373E-2"/>
                </c:manualLayout>
              </c:layout>
              <c:tx>
                <c:rich>
                  <a:bodyPr/>
                  <a:lstStyle/>
                  <a:p>
                    <a:r>
                      <a:rPr lang="en-US"/>
                      <a:t>7,66%</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72-4AB6-BD0E-C3DB840786BA}"/>
                </c:ext>
              </c:extLst>
            </c:dLbl>
            <c:dLbl>
              <c:idx val="3"/>
              <c:layout>
                <c:manualLayout>
                  <c:x val="6.9302930883641284E-2"/>
                  <c:y val="1.5680956547098283E-2"/>
                </c:manualLayout>
              </c:layout>
              <c:tx>
                <c:rich>
                  <a:bodyPr/>
                  <a:lstStyle/>
                  <a:p>
                    <a:r>
                      <a:rPr lang="en-US"/>
                      <a:t>8,24%</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72-4AB6-BD0E-C3DB840786BA}"/>
                </c:ext>
              </c:extLst>
            </c:dLbl>
            <c:spPr>
              <a:solidFill>
                <a:schemeClr val="bg1"/>
              </a:solidFill>
              <a:ln>
                <a:solidFill>
                  <a:schemeClr val="tx1"/>
                </a:solidFill>
              </a:ln>
            </c:spPr>
            <c:txPr>
              <a:bodyPr/>
              <a:lstStyle/>
              <a:p>
                <a:pPr>
                  <a:defRPr lang="en-GB" b="1">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Sheet1!$A$8:$A$11</c:f>
              <c:strCache>
                <c:ptCount val="4"/>
                <c:pt idx="0">
                  <c:v>aglomerări urbane</c:v>
                </c:pt>
                <c:pt idx="1">
                  <c:v>unități  industriale</c:v>
                </c:pt>
                <c:pt idx="2">
                  <c:v>unități agricole </c:v>
                </c:pt>
                <c:pt idx="3">
                  <c:v>alte presiuni </c:v>
                </c:pt>
              </c:strCache>
            </c:strRef>
          </c:cat>
          <c:val>
            <c:numRef>
              <c:f>Sheet1!$C$8:$C$11</c:f>
              <c:numCache>
                <c:formatCode>0.00</c:formatCode>
                <c:ptCount val="4"/>
                <c:pt idx="0">
                  <c:v>44.302901627741974</c:v>
                </c:pt>
                <c:pt idx="1">
                  <c:v>40.127388535031862</c:v>
                </c:pt>
                <c:pt idx="2">
                  <c:v>7.5017692852088755</c:v>
                </c:pt>
                <c:pt idx="3">
                  <c:v>8.0679405520170047</c:v>
                </c:pt>
              </c:numCache>
            </c:numRef>
          </c:val>
          <c:extLst>
            <c:ext xmlns:c16="http://schemas.microsoft.com/office/drawing/2014/chart" uri="{C3380CC4-5D6E-409C-BE32-E72D297353CC}">
              <c16:uniqueId val="{00000004-FE72-4AB6-BD0E-C3DB840786B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933465443768361"/>
          <c:y val="0.68001688231182167"/>
          <c:w val="0.28696522309711281"/>
          <c:h val="0.31598571011957455"/>
        </c:manualLayout>
      </c:layout>
      <c:overlay val="0"/>
      <c:txPr>
        <a:bodyPr/>
        <a:lstStyle/>
        <a:p>
          <a:pPr>
            <a:defRPr lang="en-GB" b="1">
              <a:latin typeface="Arial" panose="020B0604020202020204" pitchFamily="34" charset="0"/>
              <a:cs typeface="Arial" panose="020B0604020202020204" pitchFamily="34" charset="0"/>
            </a:defRPr>
          </a:pPr>
          <a:endParaRPr lang="ro-RO"/>
        </a:p>
      </c:txPr>
    </c:legend>
    <c:plotVisOnly val="1"/>
    <c:dispBlanksAs val="zero"/>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o-RO"/>
              <a:t>Număr persoane</a:t>
            </a:r>
          </a:p>
        </c:rich>
      </c:tx>
      <c:overlay val="0"/>
    </c:title>
    <c:autoTitleDeleted val="0"/>
    <c:plotArea>
      <c:layout/>
      <c:lineChart>
        <c:grouping val="standard"/>
        <c:varyColors val="0"/>
        <c:ser>
          <c:idx val="0"/>
          <c:order val="0"/>
          <c:tx>
            <c:strRef>
              <c:f>Sheet1!$B$1</c:f>
              <c:strCache>
                <c:ptCount val="1"/>
                <c:pt idx="0">
                  <c:v>numar persoane</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154610</c:v>
                </c:pt>
                <c:pt idx="1">
                  <c:v>157770</c:v>
                </c:pt>
                <c:pt idx="2">
                  <c:v>160634</c:v>
                </c:pt>
                <c:pt idx="3">
                  <c:v>167805</c:v>
                </c:pt>
                <c:pt idx="4">
                  <c:v>201629</c:v>
                </c:pt>
                <c:pt idx="5">
                  <c:v>210025</c:v>
                </c:pt>
              </c:numCache>
            </c:numRef>
          </c:val>
          <c:smooth val="0"/>
          <c:extLst>
            <c:ext xmlns:c16="http://schemas.microsoft.com/office/drawing/2014/chart" uri="{C3380CC4-5D6E-409C-BE32-E72D297353CC}">
              <c16:uniqueId val="{00000000-0B3D-4B3B-A436-4BB25C5129AA}"/>
            </c:ext>
          </c:extLst>
        </c:ser>
        <c:ser>
          <c:idx val="1"/>
          <c:order val="1"/>
          <c:tx>
            <c:strRef>
              <c:f>Sheet1!$C$1</c:f>
              <c:strCache>
                <c:ptCount val="1"/>
                <c:pt idx="0">
                  <c:v>Column1</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Sheet1!$C$2:$C$7</c:f>
            </c:numRef>
          </c:val>
          <c:smooth val="0"/>
          <c:extLst>
            <c:ext xmlns:c16="http://schemas.microsoft.com/office/drawing/2014/chart" uri="{C3380CC4-5D6E-409C-BE32-E72D297353CC}">
              <c16:uniqueId val="{00000001-0B3D-4B3B-A436-4BB25C5129AA}"/>
            </c:ext>
          </c:extLst>
        </c:ser>
        <c:ser>
          <c:idx val="2"/>
          <c:order val="2"/>
          <c:tx>
            <c:strRef>
              <c:f>Sheet1!$D$1</c:f>
              <c:strCache>
                <c:ptCount val="1"/>
                <c:pt idx="0">
                  <c:v>Column2</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Sheet1!$D$2:$D$7</c:f>
              <c:numCache>
                <c:formatCode>General</c:formatCode>
                <c:ptCount val="6"/>
              </c:numCache>
            </c:numRef>
          </c:val>
          <c:smooth val="0"/>
          <c:extLst>
            <c:ext xmlns:c16="http://schemas.microsoft.com/office/drawing/2014/chart" uri="{C3380CC4-5D6E-409C-BE32-E72D297353CC}">
              <c16:uniqueId val="{00000002-0B3D-4B3B-A436-4BB25C5129AA}"/>
            </c:ext>
          </c:extLst>
        </c:ser>
        <c:dLbls>
          <c:showLegendKey val="0"/>
          <c:showVal val="0"/>
          <c:showCatName val="0"/>
          <c:showSerName val="0"/>
          <c:showPercent val="0"/>
          <c:showBubbleSize val="0"/>
        </c:dLbls>
        <c:smooth val="0"/>
        <c:axId val="243262976"/>
        <c:axId val="243264512"/>
      </c:lineChart>
      <c:catAx>
        <c:axId val="243262976"/>
        <c:scaling>
          <c:orientation val="minMax"/>
        </c:scaling>
        <c:delete val="0"/>
        <c:axPos val="b"/>
        <c:numFmt formatCode="General" sourceLinked="1"/>
        <c:majorTickMark val="out"/>
        <c:minorTickMark val="none"/>
        <c:tickLblPos val="nextTo"/>
        <c:txPr>
          <a:bodyPr/>
          <a:lstStyle/>
          <a:p>
            <a:pPr>
              <a:defRPr lang="en-US"/>
            </a:pPr>
            <a:endParaRPr lang="ro-RO"/>
          </a:p>
        </c:txPr>
        <c:crossAx val="243264512"/>
        <c:crosses val="autoZero"/>
        <c:auto val="1"/>
        <c:lblAlgn val="ctr"/>
        <c:lblOffset val="100"/>
        <c:noMultiLvlLbl val="0"/>
      </c:catAx>
      <c:valAx>
        <c:axId val="243264512"/>
        <c:scaling>
          <c:orientation val="minMax"/>
        </c:scaling>
        <c:delete val="0"/>
        <c:axPos val="l"/>
        <c:majorGridlines/>
        <c:numFmt formatCode="General" sourceLinked="1"/>
        <c:majorTickMark val="out"/>
        <c:minorTickMark val="none"/>
        <c:tickLblPos val="nextTo"/>
        <c:txPr>
          <a:bodyPr/>
          <a:lstStyle/>
          <a:p>
            <a:pPr>
              <a:defRPr lang="en-US"/>
            </a:pPr>
            <a:endParaRPr lang="ro-RO"/>
          </a:p>
        </c:txPr>
        <c:crossAx val="243262976"/>
        <c:crosses val="autoZero"/>
        <c:crossBetween val="between"/>
      </c:valAx>
      <c:spPr>
        <a:solidFill>
          <a:schemeClr val="accent2">
            <a:lumMod val="40000"/>
            <a:lumOff val="60000"/>
          </a:schemeClr>
        </a:solidFill>
      </c:spPr>
    </c:plotArea>
    <c:legend>
      <c:legendPos val="r"/>
      <c:legendEntry>
        <c:idx val="1"/>
        <c:delete val="1"/>
      </c:legendEntry>
      <c:overlay val="0"/>
      <c:txPr>
        <a:bodyPr/>
        <a:lstStyle/>
        <a:p>
          <a:pPr>
            <a:defRPr lang="en-US"/>
          </a:pPr>
          <a:endParaRPr lang="ro-RO"/>
        </a:p>
      </c:txPr>
    </c:legend>
    <c:plotVisOnly val="1"/>
    <c:dispBlanksAs val="gap"/>
    <c:showDLblsOverMax val="0"/>
  </c:chart>
  <c:spPr>
    <a:solidFill>
      <a:schemeClr val="accent2">
        <a:lumMod val="20000"/>
        <a:lumOff val="80000"/>
      </a:schemeClr>
    </a:solidFill>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66230936819175E-2"/>
          <c:y val="7.3692797125022844E-2"/>
          <c:w val="0.89106753812636164"/>
          <c:h val="0.5263127903491017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612-4944-90E9-D9E74BF50D1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612-4944-90E9-D9E74BF50D1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612-4944-90E9-D9E74BF50D1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612-4944-90E9-D9E74BF50D1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612-4944-90E9-D9E74BF50D1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612-4944-90E9-D9E74BF50D1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612-4944-90E9-D9E74BF50D17}"/>
              </c:ext>
            </c:extLst>
          </c:dPt>
          <c:dLbls>
            <c:dLbl>
              <c:idx val="0"/>
              <c:layout>
                <c:manualLayout>
                  <c:x val="-0.16510558729178459"/>
                  <c:y val="4.710928035107078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fld id="{CE1CF346-78B1-41D3-8CE6-810257AA9469}" type="VALUE">
                      <a:rPr lang="en-US" sz="1100">
                        <a:solidFill>
                          <a:schemeClr val="bg1"/>
                        </a:solidFill>
                      </a:rPr>
                      <a:pPr>
                        <a:defRPr sz="1100" b="1">
                          <a:solidFill>
                            <a:schemeClr val="bg1"/>
                          </a:solidFill>
                          <a:latin typeface="Arial" panose="020B0604020202020204" pitchFamily="34" charset="0"/>
                          <a:cs typeface="Arial" panose="020B0604020202020204" pitchFamily="34" charset="0"/>
                        </a:defRPr>
                      </a:pPr>
                      <a:t>[VALOARE]</a:t>
                    </a:fld>
                    <a:r>
                      <a:rPr lang="en-US" sz="1100">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12-4944-90E9-D9E74BF50D17}"/>
                </c:ext>
              </c:extLst>
            </c:dLbl>
            <c:dLbl>
              <c:idx val="1"/>
              <c:layout>
                <c:manualLayout>
                  <c:x val="7.004546000377404E-2"/>
                  <c:y val="-0.24115671357188595"/>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sz="1100">
                        <a:solidFill>
                          <a:schemeClr val="bg1"/>
                        </a:solidFill>
                      </a:rPr>
                      <a:t>42%</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12-4944-90E9-D9E74BF50D17}"/>
                </c:ext>
              </c:extLst>
            </c:dLbl>
            <c:dLbl>
              <c:idx val="2"/>
              <c:layout>
                <c:manualLayout>
                  <c:x val="8.919081193282212E-3"/>
                  <c:y val="-4.7564703837264376E-2"/>
                </c:manualLayout>
              </c:layout>
              <c:tx>
                <c:rich>
                  <a:bodyPr/>
                  <a:lstStyle/>
                  <a:p>
                    <a:fld id="{B33D3E75-E3B9-4212-A8E3-72301223D661}" type="VALUE">
                      <a:rPr lang="en-US"/>
                      <a:pPr/>
                      <a:t>[VALOARE]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12-4944-90E9-D9E74BF50D17}"/>
                </c:ext>
              </c:extLst>
            </c:dLbl>
            <c:dLbl>
              <c:idx val="3"/>
              <c:layout>
                <c:manualLayout>
                  <c:x val="0.12228989758633112"/>
                  <c:y val="5.0302566158354337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a:solidFill>
                          <a:schemeClr val="bg1"/>
                        </a:solidFill>
                      </a:rPr>
                      <a:t>18%</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12-4944-90E9-D9E74BF50D17}"/>
                </c:ext>
              </c:extLst>
            </c:dLbl>
            <c:dLbl>
              <c:idx val="4"/>
              <c:tx>
                <c:rich>
                  <a:bodyPr/>
                  <a:lstStyle/>
                  <a:p>
                    <a:fld id="{71D69D0D-9393-43E5-99AD-56712A9B8221}" type="VALUE">
                      <a:rPr lang="en-US"/>
                      <a:pPr/>
                      <a:t>[VALOARE]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612-4944-90E9-D9E74BF50D17}"/>
                </c:ext>
              </c:extLst>
            </c:dLbl>
            <c:dLbl>
              <c:idx val="5"/>
              <c:layout>
                <c:manualLayout>
                  <c:x val="1.4870567649632031E-3"/>
                  <c:y val="-1.1455208856235178E-2"/>
                </c:manualLayout>
              </c:layout>
              <c:tx>
                <c:rich>
                  <a:bodyPr/>
                  <a:lstStyle/>
                  <a:p>
                    <a:fld id="{BE61C3CD-2EB0-4BC1-8555-8CD21505BBBF}" type="VALUE">
                      <a:rPr lang="en-US"/>
                      <a:pPr/>
                      <a:t>[VALOARE]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612-4944-90E9-D9E74BF50D17}"/>
                </c:ext>
              </c:extLst>
            </c:dLbl>
            <c:dLbl>
              <c:idx val="6"/>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fld id="{5BACA0B2-8842-483B-8FD6-C1C7F0062393}" type="VALUE">
                      <a:rPr lang="en-US"/>
                      <a:pPr>
                        <a:defRPr sz="1100" b="1">
                          <a:solidFill>
                            <a:schemeClr val="bg1"/>
                          </a:solidFill>
                          <a:latin typeface="Arial" panose="020B0604020202020204" pitchFamily="34" charset="0"/>
                          <a:cs typeface="Arial" panose="020B0604020202020204" pitchFamily="34" charset="0"/>
                        </a:defRPr>
                      </a:pPr>
                      <a:t>[VALOARE]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612-4944-90E9-D9E74BF50D1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Sheet1!$P$23:$P$29</c:f>
              <c:strCache>
                <c:ptCount val="7"/>
                <c:pt idx="0">
                  <c:v>Aglomerări – Alimentare cu apă potabilă</c:v>
                </c:pt>
                <c:pt idx="1">
                  <c:v>Aglomerări – Colectare și epurare ape uzate</c:v>
                </c:pt>
                <c:pt idx="2">
                  <c:v>Activități industriale</c:v>
                </c:pt>
                <c:pt idx="3">
                  <c:v>Activități agricole</c:v>
                </c:pt>
                <c:pt idx="4">
                  <c:v>Hidrologie</c:v>
                </c:pt>
                <c:pt idx="5">
                  <c:v>Morfologie</c:v>
                </c:pt>
                <c:pt idx="6">
                  <c:v>Altele</c:v>
                </c:pt>
              </c:strCache>
            </c:strRef>
          </c:cat>
          <c:val>
            <c:numRef>
              <c:f>Sheet1!$Q$23:$Q$29</c:f>
              <c:numCache>
                <c:formatCode>0.0</c:formatCode>
                <c:ptCount val="7"/>
                <c:pt idx="0">
                  <c:v>32.3723515109413</c:v>
                </c:pt>
                <c:pt idx="1">
                  <c:v>42.02848211184439</c:v>
                </c:pt>
                <c:pt idx="2">
                  <c:v>1.9103855505383813</c:v>
                </c:pt>
                <c:pt idx="3">
                  <c:v>17.957624175060786</c:v>
                </c:pt>
                <c:pt idx="4">
                  <c:v>0.17367141368530739</c:v>
                </c:pt>
                <c:pt idx="5">
                  <c:v>0.38207711010767625</c:v>
                </c:pt>
                <c:pt idx="6">
                  <c:v>5.1754081278221609</c:v>
                </c:pt>
              </c:numCache>
            </c:numRef>
          </c:val>
          <c:extLst>
            <c:ext xmlns:c16="http://schemas.microsoft.com/office/drawing/2014/chart" uri="{C3380CC4-5D6E-409C-BE32-E72D297353CC}">
              <c16:uniqueId val="{0000000E-6612-4944-90E9-D9E74BF50D1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9395313330931674"/>
          <c:y val="0.66583867099710692"/>
          <c:w val="0.67527438972089282"/>
          <c:h val="0.325713600266779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819" b="1" i="0" u="none" strike="noStrike" baseline="0">
                <a:solidFill>
                  <a:srgbClr val="000000"/>
                </a:solidFill>
                <a:latin typeface="Arial"/>
                <a:ea typeface="Arial"/>
                <a:cs typeface="Arial"/>
              </a:defRPr>
            </a:pPr>
            <a:r>
              <a:rPr lang="en-US"/>
              <a:t>Fig. </a:t>
            </a:r>
            <a:r>
              <a:rPr lang="ro-RO"/>
              <a:t>III</a:t>
            </a:r>
            <a:r>
              <a:rPr lang="en-US"/>
              <a:t>.1.1</a:t>
            </a:r>
            <a:r>
              <a:rPr lang="ro-RO"/>
              <a:t>-1.</a:t>
            </a:r>
            <a:endParaRPr lang="en-US"/>
          </a:p>
        </c:rich>
      </c:tx>
      <c:layout>
        <c:manualLayout>
          <c:xMode val="edge"/>
          <c:yMode val="edge"/>
          <c:x val="0.41871921017821895"/>
          <c:y val="0.87168185437496248"/>
        </c:manualLayout>
      </c:layout>
      <c:overlay val="0"/>
      <c:spPr>
        <a:noFill/>
        <a:ln w="1731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148245323630453"/>
          <c:y val="0.25593344858015354"/>
          <c:w val="0.57612542787866061"/>
          <c:h val="0.61378571335421084"/>
        </c:manualLayout>
      </c:layout>
      <c:pie3DChart>
        <c:varyColors val="1"/>
        <c:ser>
          <c:idx val="0"/>
          <c:order val="0"/>
          <c:tx>
            <c:strRef>
              <c:f>Sheet1!$A$2</c:f>
              <c:strCache>
                <c:ptCount val="1"/>
                <c:pt idx="0">
                  <c:v>387750</c:v>
                </c:pt>
              </c:strCache>
            </c:strRef>
          </c:tx>
          <c:spPr>
            <a:ln w="2165">
              <a:solidFill>
                <a:srgbClr val="000000"/>
              </a:solidFill>
              <a:prstDash val="solid"/>
            </a:ln>
          </c:spPr>
          <c:explosion val="15"/>
          <c:dPt>
            <c:idx val="0"/>
            <c:bubble3D val="0"/>
            <c:spPr>
              <a:solidFill>
                <a:srgbClr val="99CCFF"/>
              </a:solidFill>
              <a:ln w="17318">
                <a:noFill/>
              </a:ln>
            </c:spPr>
            <c:extLst>
              <c:ext xmlns:c16="http://schemas.microsoft.com/office/drawing/2014/chart" uri="{C3380CC4-5D6E-409C-BE32-E72D297353CC}">
                <c16:uniqueId val="{00000001-3E1E-4C7C-AB73-9954B197FB0B}"/>
              </c:ext>
            </c:extLst>
          </c:dPt>
          <c:dPt>
            <c:idx val="1"/>
            <c:bubble3D val="0"/>
            <c:explosion val="0"/>
            <c:spPr>
              <a:solidFill>
                <a:srgbClr val="99CC00"/>
              </a:solidFill>
              <a:ln w="17318">
                <a:noFill/>
              </a:ln>
            </c:spPr>
            <c:extLst>
              <c:ext xmlns:c16="http://schemas.microsoft.com/office/drawing/2014/chart" uri="{C3380CC4-5D6E-409C-BE32-E72D297353CC}">
                <c16:uniqueId val="{00000003-3E1E-4C7C-AB73-9954B197FB0B}"/>
              </c:ext>
            </c:extLst>
          </c:dPt>
          <c:dPt>
            <c:idx val="2"/>
            <c:bubble3D val="0"/>
            <c:spPr>
              <a:solidFill>
                <a:srgbClr val="FF9900"/>
              </a:solidFill>
              <a:ln w="17318">
                <a:noFill/>
              </a:ln>
            </c:spPr>
            <c:extLst>
              <c:ext xmlns:c16="http://schemas.microsoft.com/office/drawing/2014/chart" uri="{C3380CC4-5D6E-409C-BE32-E72D297353CC}">
                <c16:uniqueId val="{00000005-3E1E-4C7C-AB73-9954B197FB0B}"/>
              </c:ext>
            </c:extLst>
          </c:dPt>
          <c:dPt>
            <c:idx val="3"/>
            <c:bubble3D val="0"/>
            <c:explosion val="17"/>
            <c:spPr>
              <a:solidFill>
                <a:srgbClr val="FF0000"/>
              </a:solidFill>
              <a:ln w="17318">
                <a:noFill/>
              </a:ln>
            </c:spPr>
            <c:extLst>
              <c:ext xmlns:c16="http://schemas.microsoft.com/office/drawing/2014/chart" uri="{C3380CC4-5D6E-409C-BE32-E72D297353CC}">
                <c16:uniqueId val="{00000007-3E1E-4C7C-AB73-9954B197FB0B}"/>
              </c:ext>
            </c:extLst>
          </c:dPt>
          <c:dPt>
            <c:idx val="4"/>
            <c:bubble3D val="0"/>
            <c:spPr>
              <a:solidFill>
                <a:srgbClr val="808000"/>
              </a:solidFill>
              <a:ln w="17318">
                <a:noFill/>
              </a:ln>
            </c:spPr>
            <c:extLst>
              <c:ext xmlns:c16="http://schemas.microsoft.com/office/drawing/2014/chart" uri="{C3380CC4-5D6E-409C-BE32-E72D297353CC}">
                <c16:uniqueId val="{00000009-3E1E-4C7C-AB73-9954B197FB0B}"/>
              </c:ext>
            </c:extLst>
          </c:dPt>
          <c:dLbls>
            <c:dLbl>
              <c:idx val="0"/>
              <c:delete val="1"/>
              <c:extLst>
                <c:ext xmlns:c15="http://schemas.microsoft.com/office/drawing/2012/chart" uri="{CE6537A1-D6FC-4f65-9D91-7224C49458BB}"/>
                <c:ext xmlns:c16="http://schemas.microsoft.com/office/drawing/2014/chart" uri="{C3380CC4-5D6E-409C-BE32-E72D297353CC}">
                  <c16:uniqueId val="{00000001-3E1E-4C7C-AB73-9954B197FB0B}"/>
                </c:ext>
              </c:extLst>
            </c:dLbl>
            <c:dLbl>
              <c:idx val="1"/>
              <c:layout>
                <c:manualLayout>
                  <c:x val="0.15929336419155196"/>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90,63%</a:t>
                    </a:r>
                  </a:p>
                </c:rich>
              </c:tx>
              <c:spPr>
                <a:solidFill>
                  <a:srgbClr val="FFFFFF"/>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1E-4C7C-AB73-9954B197FB0B}"/>
                </c:ext>
              </c:extLst>
            </c:dLbl>
            <c:dLbl>
              <c:idx val="2"/>
              <c:layout>
                <c:manualLayout>
                  <c:x val="-0.14784960055584304"/>
                  <c:y val="-4.8417651501412279E-2"/>
                </c:manualLayout>
              </c:layout>
              <c:tx>
                <c:rich>
                  <a:bodyPr/>
                  <a:lstStyle/>
                  <a:p>
                    <a:pPr>
                      <a:defRPr lang="en-US" sz="596" b="1" i="0" u="none" strike="noStrike" baseline="0">
                        <a:solidFill>
                          <a:srgbClr val="000000"/>
                        </a:solidFill>
                        <a:latin typeface="Arial"/>
                        <a:ea typeface="Arial"/>
                        <a:cs typeface="Arial"/>
                      </a:defRPr>
                    </a:pPr>
                    <a:r>
                      <a:rPr lang="en-US" sz="813" b="1" i="0" strike="noStrike">
                        <a:solidFill>
                          <a:srgbClr val="000000"/>
                        </a:solidFill>
                        <a:latin typeface="Arial"/>
                        <a:cs typeface="Arial"/>
                      </a:rPr>
                      <a:t>păşuni</a:t>
                    </a:r>
                  </a:p>
                  <a:p>
                    <a:pPr>
                      <a:defRPr lang="en-US" sz="596" b="1" i="0" u="none" strike="noStrike" baseline="0">
                        <a:solidFill>
                          <a:srgbClr val="000000"/>
                        </a:solidFill>
                        <a:latin typeface="Arial"/>
                        <a:ea typeface="Arial"/>
                        <a:cs typeface="Arial"/>
                      </a:defRPr>
                    </a:pPr>
                    <a:r>
                      <a:rPr lang="en-US" sz="813" b="1" i="0" strike="noStrike">
                        <a:solidFill>
                          <a:srgbClr val="000000"/>
                        </a:solidFill>
                        <a:latin typeface="Arial"/>
                        <a:cs typeface="Arial"/>
                      </a:rPr>
                      <a:t>8,03%</a:t>
                    </a:r>
                  </a:p>
                </c:rich>
              </c:tx>
              <c:spPr>
                <a:solidFill>
                  <a:srgbClr val="FFFFFF"/>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1E-4C7C-AB73-9954B197FB0B}"/>
                </c:ext>
              </c:extLst>
            </c:dLbl>
            <c:dLbl>
              <c:idx val="3"/>
              <c:layout>
                <c:manualLayout>
                  <c:x val="-3.0233806981025648E-2"/>
                  <c:y val="-0.11099900123104096"/>
                </c:manualLayout>
              </c:layout>
              <c:tx>
                <c:rich>
                  <a:bodyPr/>
                  <a:lstStyle/>
                  <a:p>
                    <a:pPr>
                      <a:defRPr lang="en-US" sz="819" b="1" i="0" u="none" strike="noStrike" baseline="0">
                        <a:solidFill>
                          <a:srgbClr val="000000"/>
                        </a:solidFill>
                        <a:latin typeface="Arial"/>
                        <a:ea typeface="Arial"/>
                        <a:cs typeface="Arial"/>
                      </a:defRPr>
                    </a:pPr>
                    <a:r>
                      <a:rPr lang="en-US"/>
                      <a:t>vii
1,18%</a:t>
                    </a:r>
                  </a:p>
                </c:rich>
              </c:tx>
              <c:spPr>
                <a:solidFill>
                  <a:srgbClr val="FFFFFF"/>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1E-4C7C-AB73-9954B197FB0B}"/>
                </c:ext>
              </c:extLst>
            </c:dLbl>
            <c:dLbl>
              <c:idx val="4"/>
              <c:layout>
                <c:manualLayout>
                  <c:x val="0.23703168848107894"/>
                  <c:y val="-7.0654647872656781E-2"/>
                </c:manualLayout>
              </c:layout>
              <c:tx>
                <c:rich>
                  <a:bodyPr/>
                  <a:lstStyle/>
                  <a:p>
                    <a:pPr>
                      <a:defRPr lang="en-US" sz="819" b="1" i="0" u="none" strike="noStrike" baseline="0">
                        <a:solidFill>
                          <a:srgbClr val="000000"/>
                        </a:solidFill>
                        <a:latin typeface="Arial"/>
                        <a:ea typeface="Arial"/>
                        <a:cs typeface="Arial"/>
                      </a:defRPr>
                    </a:pPr>
                    <a:r>
                      <a:rPr lang="en-US"/>
                      <a:t>livezi
0,16%</a:t>
                    </a:r>
                  </a:p>
                </c:rich>
              </c:tx>
              <c:spPr>
                <a:solidFill>
                  <a:srgbClr val="FFFFFF"/>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1E-4C7C-AB73-9954B197FB0B}"/>
                </c:ext>
              </c:extLst>
            </c:dLbl>
            <c:dLbl>
              <c:idx val="5"/>
              <c:delete val="1"/>
              <c:extLst>
                <c:ext xmlns:c15="http://schemas.microsoft.com/office/drawing/2012/chart" uri="{CE6537A1-D6FC-4f65-9D91-7224C49458BB}"/>
                <c:ext xmlns:c16="http://schemas.microsoft.com/office/drawing/2014/chart" uri="{C3380CC4-5D6E-409C-BE32-E72D297353CC}">
                  <c16:uniqueId val="{0000000A-3E1E-4C7C-AB73-9954B197FB0B}"/>
                </c:ext>
              </c:extLst>
            </c:dLbl>
            <c:numFmt formatCode="0%" sourceLinked="0"/>
            <c:spPr>
              <a:solidFill>
                <a:srgbClr val="FFFFFF"/>
              </a:solidFill>
              <a:ln w="17318">
                <a:noFill/>
              </a:ln>
            </c:spPr>
            <c:txPr>
              <a:bodyPr/>
              <a:lstStyle/>
              <a:p>
                <a:pPr>
                  <a:defRPr lang="en-US" sz="753" b="1" i="0" u="none" strike="noStrike" baseline="0">
                    <a:solidFill>
                      <a:srgbClr val="000000"/>
                    </a:solidFill>
                    <a:latin typeface="Arial"/>
                    <a:ea typeface="Arial"/>
                    <a:cs typeface="Arial"/>
                  </a:defRPr>
                </a:pPr>
                <a:endParaRPr lang="ro-RO"/>
              </a:p>
            </c:txPr>
            <c:showLegendKey val="0"/>
            <c:showVal val="0"/>
            <c:showCatName val="1"/>
            <c:showSerName val="0"/>
            <c:showPercent val="1"/>
            <c:showBubbleSize val="0"/>
            <c:showLeaderLines val="1"/>
            <c:leaderLines>
              <c:spPr>
                <a:ln w="2165">
                  <a:solidFill>
                    <a:srgbClr val="000000"/>
                  </a:solidFill>
                  <a:prstDash val="solid"/>
                </a:ln>
              </c:spPr>
            </c:leaderLines>
            <c:extLst>
              <c:ext xmlns:c15="http://schemas.microsoft.com/office/drawing/2012/chart" uri="{CE6537A1-D6FC-4f65-9D91-7224C49458BB}"/>
            </c:extLst>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351420</c:v>
                </c:pt>
                <c:pt idx="2">
                  <c:v>31132</c:v>
                </c:pt>
                <c:pt idx="3">
                  <c:v>638</c:v>
                </c:pt>
                <c:pt idx="4">
                  <c:v>950</c:v>
                </c:pt>
              </c:numCache>
            </c:numRef>
          </c:val>
          <c:extLst>
            <c:ext xmlns:c16="http://schemas.microsoft.com/office/drawing/2014/chart" uri="{C3380CC4-5D6E-409C-BE32-E72D297353CC}">
              <c16:uniqueId val="{0000000B-3E1E-4C7C-AB73-9954B197FB0B}"/>
            </c:ext>
          </c:extLst>
        </c:ser>
        <c:dLbls>
          <c:showLegendKey val="0"/>
          <c:showVal val="0"/>
          <c:showCatName val="1"/>
          <c:showSerName val="0"/>
          <c:showPercent val="1"/>
          <c:showBubbleSize val="0"/>
          <c:showLeaderLines val="1"/>
        </c:dLbls>
      </c:pie3DChart>
      <c:spPr>
        <a:solidFill>
          <a:srgbClr val="FFFFFF"/>
        </a:solidFill>
        <a:ln w="17318">
          <a:noFill/>
        </a:ln>
      </c:spPr>
    </c:plotArea>
    <c:plotVisOnly val="1"/>
    <c:dispBlanksAs val="zero"/>
    <c:showDLblsOverMax val="0"/>
  </c:chart>
  <c:spPr>
    <a:solidFill>
      <a:srgbClr val="F79646">
        <a:lumMod val="20000"/>
        <a:lumOff val="80000"/>
      </a:srgbClr>
    </a:solidFill>
    <a:ln>
      <a:noFill/>
    </a:ln>
  </c:spPr>
  <c:txPr>
    <a:bodyPr/>
    <a:lstStyle/>
    <a:p>
      <a:pPr>
        <a:defRPr sz="598" b="1" i="0" u="none" strike="noStrike" baseline="0">
          <a:solidFill>
            <a:srgbClr val="000000"/>
          </a:solidFill>
          <a:latin typeface="Arial"/>
          <a:ea typeface="Arial"/>
          <a:cs typeface="Arial"/>
        </a:defRPr>
      </a:pPr>
      <a:endParaRPr lang="ro-RO"/>
    </a:p>
  </c:tx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819" b="1" i="0" u="none" strike="noStrike" baseline="0">
                <a:solidFill>
                  <a:srgbClr val="000000"/>
                </a:solidFill>
                <a:latin typeface="Arial"/>
                <a:ea typeface="Arial"/>
                <a:cs typeface="Arial"/>
              </a:defRPr>
            </a:pPr>
            <a:r>
              <a:rPr lang="en-US"/>
              <a:t>Fig. </a:t>
            </a:r>
            <a:r>
              <a:rPr lang="ro-RO"/>
              <a:t>III</a:t>
            </a:r>
            <a:r>
              <a:rPr lang="en-US"/>
              <a:t>.1.1</a:t>
            </a:r>
            <a:r>
              <a:rPr lang="ro-RO"/>
              <a:t>-2.</a:t>
            </a:r>
            <a:endParaRPr lang="en-US"/>
          </a:p>
        </c:rich>
      </c:tx>
      <c:layout>
        <c:manualLayout>
          <c:xMode val="edge"/>
          <c:yMode val="edge"/>
          <c:x val="0.41871921017821895"/>
          <c:y val="0.87168185437496248"/>
        </c:manualLayout>
      </c:layout>
      <c:overlay val="0"/>
      <c:spPr>
        <a:noFill/>
        <a:ln w="1731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148245323630453"/>
          <c:y val="0.25593344858015354"/>
          <c:w val="0.57612542787866061"/>
          <c:h val="0.61378571335421084"/>
        </c:manualLayout>
      </c:layout>
      <c:pie3DChart>
        <c:varyColors val="1"/>
        <c:ser>
          <c:idx val="0"/>
          <c:order val="0"/>
          <c:tx>
            <c:strRef>
              <c:f>Sheet1!$A$2</c:f>
              <c:strCache>
                <c:ptCount val="1"/>
                <c:pt idx="0">
                  <c:v>391578</c:v>
                </c:pt>
              </c:strCache>
            </c:strRef>
          </c:tx>
          <c:spPr>
            <a:ln w="2165">
              <a:solidFill>
                <a:srgbClr val="000000"/>
              </a:solidFill>
              <a:prstDash val="solid"/>
            </a:ln>
          </c:spPr>
          <c:explosion val="15"/>
          <c:dPt>
            <c:idx val="0"/>
            <c:bubble3D val="0"/>
            <c:spPr>
              <a:solidFill>
                <a:srgbClr val="99CCFF"/>
              </a:solidFill>
              <a:ln w="17318">
                <a:noFill/>
              </a:ln>
            </c:spPr>
            <c:extLst>
              <c:ext xmlns:c16="http://schemas.microsoft.com/office/drawing/2014/chart" uri="{C3380CC4-5D6E-409C-BE32-E72D297353CC}">
                <c16:uniqueId val="{00000001-03E8-43C8-9CFB-1688E68E24A0}"/>
              </c:ext>
            </c:extLst>
          </c:dPt>
          <c:dPt>
            <c:idx val="1"/>
            <c:bubble3D val="0"/>
            <c:explosion val="0"/>
            <c:spPr>
              <a:solidFill>
                <a:srgbClr val="99CC00"/>
              </a:solidFill>
              <a:ln w="17318">
                <a:noFill/>
              </a:ln>
            </c:spPr>
            <c:extLst>
              <c:ext xmlns:c16="http://schemas.microsoft.com/office/drawing/2014/chart" uri="{C3380CC4-5D6E-409C-BE32-E72D297353CC}">
                <c16:uniqueId val="{00000003-03E8-43C8-9CFB-1688E68E24A0}"/>
              </c:ext>
            </c:extLst>
          </c:dPt>
          <c:dPt>
            <c:idx val="2"/>
            <c:bubble3D val="0"/>
            <c:spPr>
              <a:solidFill>
                <a:srgbClr val="FF9900"/>
              </a:solidFill>
              <a:ln w="17318">
                <a:noFill/>
              </a:ln>
            </c:spPr>
            <c:extLst>
              <c:ext xmlns:c16="http://schemas.microsoft.com/office/drawing/2014/chart" uri="{C3380CC4-5D6E-409C-BE32-E72D297353CC}">
                <c16:uniqueId val="{00000005-03E8-43C8-9CFB-1688E68E24A0}"/>
              </c:ext>
            </c:extLst>
          </c:dPt>
          <c:dPt>
            <c:idx val="3"/>
            <c:bubble3D val="0"/>
            <c:explosion val="17"/>
            <c:spPr>
              <a:solidFill>
                <a:srgbClr val="FF0000"/>
              </a:solidFill>
              <a:ln w="17318">
                <a:noFill/>
              </a:ln>
            </c:spPr>
            <c:extLst>
              <c:ext xmlns:c16="http://schemas.microsoft.com/office/drawing/2014/chart" uri="{C3380CC4-5D6E-409C-BE32-E72D297353CC}">
                <c16:uniqueId val="{00000007-03E8-43C8-9CFB-1688E68E24A0}"/>
              </c:ext>
            </c:extLst>
          </c:dPt>
          <c:dPt>
            <c:idx val="4"/>
            <c:bubble3D val="0"/>
            <c:spPr>
              <a:solidFill>
                <a:srgbClr val="808000"/>
              </a:solidFill>
              <a:ln w="17318">
                <a:noFill/>
              </a:ln>
            </c:spPr>
            <c:extLst>
              <c:ext xmlns:c16="http://schemas.microsoft.com/office/drawing/2014/chart" uri="{C3380CC4-5D6E-409C-BE32-E72D297353CC}">
                <c16:uniqueId val="{00000009-03E8-43C8-9CFB-1688E68E24A0}"/>
              </c:ext>
            </c:extLst>
          </c:dPt>
          <c:dLbls>
            <c:dLbl>
              <c:idx val="0"/>
              <c:delete val="1"/>
              <c:extLst>
                <c:ext xmlns:c15="http://schemas.microsoft.com/office/drawing/2012/chart" uri="{CE6537A1-D6FC-4f65-9D91-7224C49458BB}"/>
                <c:ext xmlns:c16="http://schemas.microsoft.com/office/drawing/2014/chart" uri="{C3380CC4-5D6E-409C-BE32-E72D297353CC}">
                  <c16:uniqueId val="{00000001-03E8-43C8-9CFB-1688E68E24A0}"/>
                </c:ext>
              </c:extLst>
            </c:dLbl>
            <c:dLbl>
              <c:idx val="1"/>
              <c:layout>
                <c:manualLayout>
                  <c:x val="0.15929336419155196"/>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89,68%</a:t>
                    </a:r>
                  </a:p>
                </c:rich>
              </c:tx>
              <c:spPr>
                <a:solidFill>
                  <a:srgbClr val="FFFFFF"/>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E8-43C8-9CFB-1688E68E24A0}"/>
                </c:ext>
              </c:extLst>
            </c:dLbl>
            <c:dLbl>
              <c:idx val="2"/>
              <c:layout>
                <c:manualLayout>
                  <c:x val="-0.14784960055584304"/>
                  <c:y val="-4.8417651501412279E-2"/>
                </c:manualLayout>
              </c:layout>
              <c:tx>
                <c:rich>
                  <a:bodyPr/>
                  <a:lstStyle/>
                  <a:p>
                    <a:pPr>
                      <a:defRPr lang="en-US" sz="596" b="1" i="0" u="none" strike="noStrike" baseline="0">
                        <a:solidFill>
                          <a:srgbClr val="000000"/>
                        </a:solidFill>
                        <a:latin typeface="Arial"/>
                        <a:ea typeface="Arial"/>
                        <a:cs typeface="Arial"/>
                      </a:defRPr>
                    </a:pPr>
                    <a:r>
                      <a:rPr lang="en-US" sz="813" b="1" i="0" strike="noStrike">
                        <a:solidFill>
                          <a:srgbClr val="000000"/>
                        </a:solidFill>
                        <a:latin typeface="Arial"/>
                        <a:cs typeface="Arial"/>
                      </a:rPr>
                      <a:t>păşuni</a:t>
                    </a:r>
                  </a:p>
                  <a:p>
                    <a:pPr>
                      <a:defRPr lang="en-US" sz="596" b="1" i="0" u="none" strike="noStrike" baseline="0">
                        <a:solidFill>
                          <a:srgbClr val="000000"/>
                        </a:solidFill>
                        <a:latin typeface="Arial"/>
                        <a:ea typeface="Arial"/>
                        <a:cs typeface="Arial"/>
                      </a:defRPr>
                    </a:pPr>
                    <a:r>
                      <a:rPr lang="en-US" sz="813" b="1" i="0" strike="noStrike">
                        <a:solidFill>
                          <a:srgbClr val="000000"/>
                        </a:solidFill>
                        <a:latin typeface="Arial"/>
                        <a:cs typeface="Arial"/>
                      </a:rPr>
                      <a:t>8,36%</a:t>
                    </a:r>
                  </a:p>
                </c:rich>
              </c:tx>
              <c:spPr>
                <a:solidFill>
                  <a:srgbClr val="FFFFFF"/>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E8-43C8-9CFB-1688E68E24A0}"/>
                </c:ext>
              </c:extLst>
            </c:dLbl>
            <c:dLbl>
              <c:idx val="3"/>
              <c:layout>
                <c:manualLayout>
                  <c:x val="-3.0233806981025648E-2"/>
                  <c:y val="-0.11099900123104096"/>
                </c:manualLayout>
              </c:layout>
              <c:tx>
                <c:rich>
                  <a:bodyPr/>
                  <a:lstStyle/>
                  <a:p>
                    <a:pPr>
                      <a:defRPr lang="en-US" sz="819" b="1" i="0" u="none" strike="noStrike" baseline="0">
                        <a:solidFill>
                          <a:srgbClr val="000000"/>
                        </a:solidFill>
                        <a:latin typeface="Arial"/>
                        <a:ea typeface="Arial"/>
                        <a:cs typeface="Arial"/>
                      </a:defRPr>
                    </a:pPr>
                    <a:r>
                      <a:rPr lang="en-US"/>
                      <a:t>vii
1,72%</a:t>
                    </a:r>
                  </a:p>
                </c:rich>
              </c:tx>
              <c:spPr>
                <a:solidFill>
                  <a:srgbClr val="FFFFFF"/>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E8-43C8-9CFB-1688E68E24A0}"/>
                </c:ext>
              </c:extLst>
            </c:dLbl>
            <c:dLbl>
              <c:idx val="4"/>
              <c:layout>
                <c:manualLayout>
                  <c:x val="0.23703168848107894"/>
                  <c:y val="-7.0654647872656781E-2"/>
                </c:manualLayout>
              </c:layout>
              <c:tx>
                <c:rich>
                  <a:bodyPr/>
                  <a:lstStyle/>
                  <a:p>
                    <a:pPr>
                      <a:defRPr lang="en-US" sz="819" b="1" i="0" u="none" strike="noStrike" baseline="0">
                        <a:solidFill>
                          <a:srgbClr val="000000"/>
                        </a:solidFill>
                        <a:latin typeface="Arial"/>
                        <a:ea typeface="Arial"/>
                        <a:cs typeface="Arial"/>
                      </a:defRPr>
                    </a:pPr>
                    <a:r>
                      <a:rPr lang="en-US"/>
                      <a:t>livezi
0,24%</a:t>
                    </a:r>
                  </a:p>
                </c:rich>
              </c:tx>
              <c:spPr>
                <a:solidFill>
                  <a:srgbClr val="FFFFFF"/>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E8-43C8-9CFB-1688E68E24A0}"/>
                </c:ext>
              </c:extLst>
            </c:dLbl>
            <c:dLbl>
              <c:idx val="5"/>
              <c:delete val="1"/>
              <c:extLst>
                <c:ext xmlns:c15="http://schemas.microsoft.com/office/drawing/2012/chart" uri="{CE6537A1-D6FC-4f65-9D91-7224C49458BB}"/>
                <c:ext xmlns:c16="http://schemas.microsoft.com/office/drawing/2014/chart" uri="{C3380CC4-5D6E-409C-BE32-E72D297353CC}">
                  <c16:uniqueId val="{0000000A-03E8-43C8-9CFB-1688E68E24A0}"/>
                </c:ext>
              </c:extLst>
            </c:dLbl>
            <c:numFmt formatCode="0%" sourceLinked="0"/>
            <c:spPr>
              <a:solidFill>
                <a:srgbClr val="FFFFFF"/>
              </a:solidFill>
              <a:ln w="17318">
                <a:noFill/>
              </a:ln>
            </c:spPr>
            <c:txPr>
              <a:bodyPr/>
              <a:lstStyle/>
              <a:p>
                <a:pPr>
                  <a:defRPr lang="en-US" sz="753" b="1" i="0" u="none" strike="noStrike" baseline="0">
                    <a:solidFill>
                      <a:srgbClr val="000000"/>
                    </a:solidFill>
                    <a:latin typeface="Arial"/>
                    <a:ea typeface="Arial"/>
                    <a:cs typeface="Arial"/>
                  </a:defRPr>
                </a:pPr>
                <a:endParaRPr lang="ro-RO"/>
              </a:p>
            </c:txPr>
            <c:showLegendKey val="0"/>
            <c:showVal val="0"/>
            <c:showCatName val="1"/>
            <c:showSerName val="0"/>
            <c:showPercent val="1"/>
            <c:showBubbleSize val="0"/>
            <c:showLeaderLines val="1"/>
            <c:leaderLines>
              <c:spPr>
                <a:ln w="2165">
                  <a:solidFill>
                    <a:srgbClr val="000000"/>
                  </a:solidFill>
                  <a:prstDash val="solid"/>
                </a:ln>
              </c:spPr>
            </c:leaderLines>
            <c:extLst>
              <c:ext xmlns:c15="http://schemas.microsoft.com/office/drawing/2012/chart" uri="{CE6537A1-D6FC-4f65-9D91-7224C49458BB}"/>
            </c:extLst>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351166</c:v>
                </c:pt>
                <c:pt idx="2">
                  <c:v>32720</c:v>
                </c:pt>
                <c:pt idx="3">
                  <c:v>6741</c:v>
                </c:pt>
                <c:pt idx="4">
                  <c:v>950</c:v>
                </c:pt>
              </c:numCache>
            </c:numRef>
          </c:val>
          <c:extLst>
            <c:ext xmlns:c16="http://schemas.microsoft.com/office/drawing/2014/chart" uri="{C3380CC4-5D6E-409C-BE32-E72D297353CC}">
              <c16:uniqueId val="{0000000B-03E8-43C8-9CFB-1688E68E24A0}"/>
            </c:ext>
          </c:extLst>
        </c:ser>
        <c:dLbls>
          <c:showLegendKey val="0"/>
          <c:showVal val="0"/>
          <c:showCatName val="1"/>
          <c:showSerName val="0"/>
          <c:showPercent val="1"/>
          <c:showBubbleSize val="0"/>
          <c:showLeaderLines val="1"/>
        </c:dLbls>
      </c:pie3DChart>
      <c:spPr>
        <a:solidFill>
          <a:srgbClr val="FFFFFF"/>
        </a:solidFill>
        <a:ln w="17318">
          <a:noFill/>
        </a:ln>
      </c:spPr>
    </c:plotArea>
    <c:plotVisOnly val="1"/>
    <c:dispBlanksAs val="zero"/>
    <c:showDLblsOverMax val="0"/>
  </c:chart>
  <c:spPr>
    <a:solidFill>
      <a:srgbClr val="F79646">
        <a:lumMod val="20000"/>
        <a:lumOff val="80000"/>
      </a:srgbClr>
    </a:solidFill>
    <a:ln>
      <a:noFill/>
    </a:ln>
  </c:spPr>
  <c:txPr>
    <a:bodyPr/>
    <a:lstStyle/>
    <a:p>
      <a:pPr>
        <a:defRPr sz="598" b="1" i="0" u="none" strike="noStrike" baseline="0">
          <a:solidFill>
            <a:srgbClr val="000000"/>
          </a:solidFill>
          <a:latin typeface="Arial"/>
          <a:ea typeface="Arial"/>
          <a:cs typeface="Arial"/>
        </a:defRPr>
      </a:pPr>
      <a:endParaRPr lang="ro-RO"/>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40561215267791"/>
          <c:y val="4.5657562582717845E-2"/>
          <c:w val="0.68100249271851165"/>
          <c:h val="0.77708264515716019"/>
        </c:manualLayout>
      </c:layout>
      <c:barChart>
        <c:barDir val="col"/>
        <c:grouping val="clustered"/>
        <c:varyColors val="0"/>
        <c:ser>
          <c:idx val="0"/>
          <c:order val="0"/>
          <c:tx>
            <c:strRef>
              <c:f>Sheet1!$B$1</c:f>
              <c:strCache>
                <c:ptCount val="1"/>
                <c:pt idx="0">
                  <c:v>N</c:v>
                </c:pt>
              </c:strCache>
            </c:strRef>
          </c:tx>
          <c:invertIfNegative val="0"/>
          <c:cat>
            <c:numRef>
              <c:f>Sheet1!$A$3:$A$6</c:f>
              <c:numCache>
                <c:formatCode>General</c:formatCode>
                <c:ptCount val="4"/>
                <c:pt idx="0">
                  <c:v>2015</c:v>
                </c:pt>
                <c:pt idx="1">
                  <c:v>2016</c:v>
                </c:pt>
                <c:pt idx="2">
                  <c:v>2017</c:v>
                </c:pt>
                <c:pt idx="3">
                  <c:v>2018</c:v>
                </c:pt>
              </c:numCache>
            </c:numRef>
          </c:cat>
          <c:val>
            <c:numRef>
              <c:f>Sheet1!$B$3:$B$6</c:f>
              <c:numCache>
                <c:formatCode>#,##0</c:formatCode>
                <c:ptCount val="4"/>
                <c:pt idx="0">
                  <c:v>12005</c:v>
                </c:pt>
                <c:pt idx="1">
                  <c:v>14005</c:v>
                </c:pt>
                <c:pt idx="2">
                  <c:v>14982</c:v>
                </c:pt>
                <c:pt idx="3">
                  <c:v>14982</c:v>
                </c:pt>
              </c:numCache>
            </c:numRef>
          </c:val>
          <c:extLst>
            <c:ext xmlns:c16="http://schemas.microsoft.com/office/drawing/2014/chart" uri="{C3380CC4-5D6E-409C-BE32-E72D297353CC}">
              <c16:uniqueId val="{00000000-6288-4C0C-813A-AAE5C6EF2784}"/>
            </c:ext>
          </c:extLst>
        </c:ser>
        <c:ser>
          <c:idx val="1"/>
          <c:order val="1"/>
          <c:tx>
            <c:strRef>
              <c:f>Sheet1!$C$1</c:f>
              <c:strCache>
                <c:ptCount val="1"/>
                <c:pt idx="0">
                  <c:v>P2O5</c:v>
                </c:pt>
              </c:strCache>
            </c:strRef>
          </c:tx>
          <c:invertIfNegative val="0"/>
          <c:cat>
            <c:numRef>
              <c:f>Sheet1!$A$3:$A$6</c:f>
              <c:numCache>
                <c:formatCode>General</c:formatCode>
                <c:ptCount val="4"/>
                <c:pt idx="0">
                  <c:v>2015</c:v>
                </c:pt>
                <c:pt idx="1">
                  <c:v>2016</c:v>
                </c:pt>
                <c:pt idx="2">
                  <c:v>2017</c:v>
                </c:pt>
                <c:pt idx="3">
                  <c:v>2018</c:v>
                </c:pt>
              </c:numCache>
            </c:numRef>
          </c:cat>
          <c:val>
            <c:numRef>
              <c:f>Sheet1!$C$3:$C$6</c:f>
              <c:numCache>
                <c:formatCode>#,##0</c:formatCode>
                <c:ptCount val="4"/>
                <c:pt idx="0">
                  <c:v>9150</c:v>
                </c:pt>
                <c:pt idx="1">
                  <c:v>11437</c:v>
                </c:pt>
                <c:pt idx="2">
                  <c:v>11594</c:v>
                </c:pt>
                <c:pt idx="3">
                  <c:v>11504</c:v>
                </c:pt>
              </c:numCache>
            </c:numRef>
          </c:val>
          <c:extLst>
            <c:ext xmlns:c16="http://schemas.microsoft.com/office/drawing/2014/chart" uri="{C3380CC4-5D6E-409C-BE32-E72D297353CC}">
              <c16:uniqueId val="{00000001-6288-4C0C-813A-AAE5C6EF2784}"/>
            </c:ext>
          </c:extLst>
        </c:ser>
        <c:ser>
          <c:idx val="2"/>
          <c:order val="2"/>
          <c:tx>
            <c:strRef>
              <c:f>Sheet1!$D$1</c:f>
              <c:strCache>
                <c:ptCount val="1"/>
                <c:pt idx="0">
                  <c:v>K2O5</c:v>
                </c:pt>
              </c:strCache>
            </c:strRef>
          </c:tx>
          <c:invertIfNegative val="0"/>
          <c:cat>
            <c:numRef>
              <c:f>Sheet1!$A$3:$A$6</c:f>
              <c:numCache>
                <c:formatCode>General</c:formatCode>
                <c:ptCount val="4"/>
                <c:pt idx="0">
                  <c:v>2015</c:v>
                </c:pt>
                <c:pt idx="1">
                  <c:v>2016</c:v>
                </c:pt>
                <c:pt idx="2">
                  <c:v>2017</c:v>
                </c:pt>
                <c:pt idx="3">
                  <c:v>2018</c:v>
                </c:pt>
              </c:numCache>
            </c:numRef>
          </c:cat>
          <c:val>
            <c:numRef>
              <c:f>Sheet1!$D$3:$D$6</c:f>
              <c:numCache>
                <c:formatCode>#,##0</c:formatCode>
                <c:ptCount val="4"/>
                <c:pt idx="0">
                  <c:v>7131</c:v>
                </c:pt>
                <c:pt idx="1">
                  <c:v>8257</c:v>
                </c:pt>
                <c:pt idx="2">
                  <c:v>1542</c:v>
                </c:pt>
                <c:pt idx="3">
                  <c:v>1613</c:v>
                </c:pt>
              </c:numCache>
            </c:numRef>
          </c:val>
          <c:extLst>
            <c:ext xmlns:c16="http://schemas.microsoft.com/office/drawing/2014/chart" uri="{C3380CC4-5D6E-409C-BE32-E72D297353CC}">
              <c16:uniqueId val="{00000002-6288-4C0C-813A-AAE5C6EF2784}"/>
            </c:ext>
          </c:extLst>
        </c:ser>
        <c:dLbls>
          <c:showLegendKey val="0"/>
          <c:showVal val="0"/>
          <c:showCatName val="0"/>
          <c:showSerName val="0"/>
          <c:showPercent val="0"/>
          <c:showBubbleSize val="0"/>
        </c:dLbls>
        <c:gapWidth val="150"/>
        <c:axId val="242845568"/>
        <c:axId val="242847104"/>
      </c:barChart>
      <c:catAx>
        <c:axId val="242845568"/>
        <c:scaling>
          <c:orientation val="minMax"/>
        </c:scaling>
        <c:delete val="0"/>
        <c:axPos val="b"/>
        <c:numFmt formatCode="General" sourceLinked="1"/>
        <c:majorTickMark val="out"/>
        <c:minorTickMark val="none"/>
        <c:tickLblPos val="nextTo"/>
        <c:txPr>
          <a:bodyPr/>
          <a:lstStyle/>
          <a:p>
            <a:pPr>
              <a:defRPr lang="en-US"/>
            </a:pPr>
            <a:endParaRPr lang="ro-RO"/>
          </a:p>
        </c:txPr>
        <c:crossAx val="242847104"/>
        <c:crosses val="autoZero"/>
        <c:auto val="1"/>
        <c:lblAlgn val="ctr"/>
        <c:lblOffset val="100"/>
        <c:noMultiLvlLbl val="0"/>
      </c:catAx>
      <c:valAx>
        <c:axId val="242847104"/>
        <c:scaling>
          <c:orientation val="minMax"/>
        </c:scaling>
        <c:delete val="0"/>
        <c:axPos val="l"/>
        <c:majorGridlines/>
        <c:numFmt formatCode="#,##0" sourceLinked="1"/>
        <c:majorTickMark val="out"/>
        <c:minorTickMark val="none"/>
        <c:tickLblPos val="nextTo"/>
        <c:txPr>
          <a:bodyPr/>
          <a:lstStyle/>
          <a:p>
            <a:pPr>
              <a:defRPr lang="en-US"/>
            </a:pPr>
            <a:endParaRPr lang="ro-RO"/>
          </a:p>
        </c:txPr>
        <c:crossAx val="242845568"/>
        <c:crosses val="autoZero"/>
        <c:crossBetween val="between"/>
      </c:valAx>
    </c:plotArea>
    <c:legend>
      <c:legendPos val="r"/>
      <c:overlay val="0"/>
      <c:txPr>
        <a:bodyPr/>
        <a:lstStyle/>
        <a:p>
          <a:pPr>
            <a:defRPr lang="en-US"/>
          </a:pPr>
          <a:endParaRPr lang="ro-RO"/>
        </a:p>
      </c:txPr>
    </c:legend>
    <c:plotVisOnly val="1"/>
    <c:dispBlanksAs val="gap"/>
    <c:showDLblsOverMax val="0"/>
  </c:chart>
  <c:spPr>
    <a:solidFill>
      <a:srgbClr val="FEF6F0"/>
    </a:solidFill>
    <a:ln>
      <a:solidFill>
        <a:srgbClr val="FEF6F0"/>
      </a:solidFill>
    </a:ln>
    <a:effectLst>
      <a:outerShdw blurRad="50800" dist="50800" dir="5400000" algn="ctr" rotWithShape="0">
        <a:srgbClr val="FEF6F0"/>
      </a:outerShdw>
    </a:effectLst>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56410967961447"/>
          <c:y val="4.5657469569404356E-2"/>
          <c:w val="0.68100249271851165"/>
          <c:h val="0.62748922774238014"/>
        </c:manualLayout>
      </c:layout>
      <c:lineChart>
        <c:grouping val="standard"/>
        <c:varyColors val="0"/>
        <c:ser>
          <c:idx val="0"/>
          <c:order val="0"/>
          <c:tx>
            <c:strRef>
              <c:f>Sheet1!$B$1</c:f>
              <c:strCache>
                <c:ptCount val="1"/>
                <c:pt idx="0">
                  <c:v>N</c:v>
                </c:pt>
              </c:strCache>
            </c:strRef>
          </c:tx>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8085</c:v>
                </c:pt>
                <c:pt idx="1">
                  <c:v>12005</c:v>
                </c:pt>
                <c:pt idx="2">
                  <c:v>14005</c:v>
                </c:pt>
                <c:pt idx="3">
                  <c:v>14982</c:v>
                </c:pt>
                <c:pt idx="4">
                  <c:v>14685</c:v>
                </c:pt>
              </c:numCache>
            </c:numRef>
          </c:val>
          <c:smooth val="0"/>
          <c:extLst>
            <c:ext xmlns:c16="http://schemas.microsoft.com/office/drawing/2014/chart" uri="{C3380CC4-5D6E-409C-BE32-E72D297353CC}">
              <c16:uniqueId val="{00000000-FA5B-49D8-B60D-DAA91C109747}"/>
            </c:ext>
          </c:extLst>
        </c:ser>
        <c:ser>
          <c:idx val="1"/>
          <c:order val="1"/>
          <c:tx>
            <c:strRef>
              <c:f>Sheet1!$C$1</c:f>
              <c:strCache>
                <c:ptCount val="1"/>
                <c:pt idx="0">
                  <c:v>P2O5</c:v>
                </c:pt>
              </c:strCache>
            </c:strRef>
          </c:tx>
          <c:cat>
            <c:numRef>
              <c:f>Sheet1!$A$2:$A$6</c:f>
              <c:numCache>
                <c:formatCode>General</c:formatCode>
                <c:ptCount val="5"/>
                <c:pt idx="0">
                  <c:v>2014</c:v>
                </c:pt>
                <c:pt idx="1">
                  <c:v>2015</c:v>
                </c:pt>
                <c:pt idx="2">
                  <c:v>2016</c:v>
                </c:pt>
                <c:pt idx="3">
                  <c:v>2017</c:v>
                </c:pt>
                <c:pt idx="4">
                  <c:v>2018</c:v>
                </c:pt>
              </c:numCache>
            </c:numRef>
          </c:cat>
          <c:val>
            <c:numRef>
              <c:f>Sheet1!$C$2:$C$6</c:f>
              <c:numCache>
                <c:formatCode>#,##0</c:formatCode>
                <c:ptCount val="5"/>
                <c:pt idx="0">
                  <c:v>6290</c:v>
                </c:pt>
                <c:pt idx="1">
                  <c:v>9150</c:v>
                </c:pt>
                <c:pt idx="2">
                  <c:v>11437</c:v>
                </c:pt>
                <c:pt idx="3">
                  <c:v>11594</c:v>
                </c:pt>
                <c:pt idx="4">
                  <c:v>11504</c:v>
                </c:pt>
              </c:numCache>
            </c:numRef>
          </c:val>
          <c:smooth val="0"/>
          <c:extLst>
            <c:ext xmlns:c16="http://schemas.microsoft.com/office/drawing/2014/chart" uri="{C3380CC4-5D6E-409C-BE32-E72D297353CC}">
              <c16:uniqueId val="{00000001-FA5B-49D8-B60D-DAA91C109747}"/>
            </c:ext>
          </c:extLst>
        </c:ser>
        <c:ser>
          <c:idx val="2"/>
          <c:order val="2"/>
          <c:tx>
            <c:strRef>
              <c:f>Sheet1!$D$1</c:f>
              <c:strCache>
                <c:ptCount val="1"/>
                <c:pt idx="0">
                  <c:v>K2O5</c:v>
                </c:pt>
              </c:strCache>
            </c:strRef>
          </c:tx>
          <c:cat>
            <c:numRef>
              <c:f>Sheet1!$A$2:$A$6</c:f>
              <c:numCache>
                <c:formatCode>General</c:formatCode>
                <c:ptCount val="5"/>
                <c:pt idx="0">
                  <c:v>2014</c:v>
                </c:pt>
                <c:pt idx="1">
                  <c:v>2015</c:v>
                </c:pt>
                <c:pt idx="2">
                  <c:v>2016</c:v>
                </c:pt>
                <c:pt idx="3">
                  <c:v>2017</c:v>
                </c:pt>
                <c:pt idx="4">
                  <c:v>2018</c:v>
                </c:pt>
              </c:numCache>
            </c:numRef>
          </c:cat>
          <c:val>
            <c:numRef>
              <c:f>Sheet1!$D$2:$D$6</c:f>
              <c:numCache>
                <c:formatCode>#,##0</c:formatCode>
                <c:ptCount val="5"/>
                <c:pt idx="0">
                  <c:v>429</c:v>
                </c:pt>
                <c:pt idx="1">
                  <c:v>7131</c:v>
                </c:pt>
                <c:pt idx="2">
                  <c:v>8257</c:v>
                </c:pt>
                <c:pt idx="3">
                  <c:v>1542</c:v>
                </c:pt>
                <c:pt idx="4">
                  <c:v>1613</c:v>
                </c:pt>
              </c:numCache>
            </c:numRef>
          </c:val>
          <c:smooth val="0"/>
          <c:extLst>
            <c:ext xmlns:c16="http://schemas.microsoft.com/office/drawing/2014/chart" uri="{C3380CC4-5D6E-409C-BE32-E72D297353CC}">
              <c16:uniqueId val="{00000002-FA5B-49D8-B60D-DAA91C109747}"/>
            </c:ext>
          </c:extLst>
        </c:ser>
        <c:dLbls>
          <c:showLegendKey val="0"/>
          <c:showVal val="0"/>
          <c:showCatName val="0"/>
          <c:showSerName val="0"/>
          <c:showPercent val="0"/>
          <c:showBubbleSize val="0"/>
        </c:dLbls>
        <c:marker val="1"/>
        <c:smooth val="0"/>
        <c:axId val="243503488"/>
        <c:axId val="243505024"/>
      </c:lineChart>
      <c:catAx>
        <c:axId val="243503488"/>
        <c:scaling>
          <c:orientation val="minMax"/>
        </c:scaling>
        <c:delete val="0"/>
        <c:axPos val="b"/>
        <c:numFmt formatCode="General" sourceLinked="1"/>
        <c:majorTickMark val="out"/>
        <c:minorTickMark val="none"/>
        <c:tickLblPos val="nextTo"/>
        <c:txPr>
          <a:bodyPr/>
          <a:lstStyle/>
          <a:p>
            <a:pPr>
              <a:defRPr lang="en-US"/>
            </a:pPr>
            <a:endParaRPr lang="ro-RO"/>
          </a:p>
        </c:txPr>
        <c:crossAx val="243505024"/>
        <c:crosses val="autoZero"/>
        <c:auto val="1"/>
        <c:lblAlgn val="ctr"/>
        <c:lblOffset val="100"/>
        <c:noMultiLvlLbl val="0"/>
      </c:catAx>
      <c:valAx>
        <c:axId val="243505024"/>
        <c:scaling>
          <c:orientation val="minMax"/>
        </c:scaling>
        <c:delete val="0"/>
        <c:axPos val="l"/>
        <c:majorGridlines/>
        <c:numFmt formatCode="#,##0" sourceLinked="1"/>
        <c:majorTickMark val="out"/>
        <c:minorTickMark val="none"/>
        <c:tickLblPos val="nextTo"/>
        <c:txPr>
          <a:bodyPr/>
          <a:lstStyle/>
          <a:p>
            <a:pPr>
              <a:defRPr lang="en-US"/>
            </a:pPr>
            <a:endParaRPr lang="ro-RO"/>
          </a:p>
        </c:txPr>
        <c:crossAx val="243503488"/>
        <c:crosses val="autoZero"/>
        <c:crossBetween val="between"/>
      </c:valAx>
    </c:plotArea>
    <c:legend>
      <c:legendPos val="r"/>
      <c:overlay val="0"/>
      <c:txPr>
        <a:bodyPr/>
        <a:lstStyle/>
        <a:p>
          <a:pPr>
            <a:defRPr lang="en-US"/>
          </a:pPr>
          <a:endParaRPr lang="ro-RO"/>
        </a:p>
      </c:txPr>
    </c:legend>
    <c:plotVisOnly val="1"/>
    <c:dispBlanksAs val="gap"/>
    <c:showDLblsOverMax val="0"/>
  </c:chart>
  <c:spPr>
    <a:solidFill>
      <a:srgbClr val="FEF6F0"/>
    </a:solidFill>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ro-RO" sz="1400"/>
              <a:t>Consum total de p</a:t>
            </a:r>
            <a:r>
              <a:rPr lang="en-US" sz="1400"/>
              <a:t>esticide</a:t>
            </a:r>
          </a:p>
        </c:rich>
      </c:tx>
      <c:overlay val="0"/>
    </c:title>
    <c:autoTitleDeleted val="0"/>
    <c:plotArea>
      <c:layout>
        <c:manualLayout>
          <c:layoutTarget val="inner"/>
          <c:xMode val="edge"/>
          <c:yMode val="edge"/>
          <c:x val="0.21719652548267071"/>
          <c:y val="0.19015657525567697"/>
          <c:w val="0.66091453257609356"/>
          <c:h val="0.45744090684316635"/>
        </c:manualLayout>
      </c:layout>
      <c:lineChart>
        <c:grouping val="stacked"/>
        <c:varyColors val="0"/>
        <c:ser>
          <c:idx val="0"/>
          <c:order val="0"/>
          <c:tx>
            <c:strRef>
              <c:f>Sheet1!$B$1</c:f>
              <c:strCache>
                <c:ptCount val="1"/>
                <c:pt idx="0">
                  <c:v>Pesticide</c:v>
                </c:pt>
              </c:strCache>
            </c:strRef>
          </c:tx>
          <c:cat>
            <c:numRef>
              <c:f>Sheet1!$A$3:$A$7</c:f>
              <c:numCache>
                <c:formatCode>General</c:formatCode>
                <c:ptCount val="5"/>
                <c:pt idx="0">
                  <c:v>2014</c:v>
                </c:pt>
                <c:pt idx="1">
                  <c:v>2015</c:v>
                </c:pt>
                <c:pt idx="2">
                  <c:v>2016</c:v>
                </c:pt>
                <c:pt idx="3">
                  <c:v>2017</c:v>
                </c:pt>
                <c:pt idx="4">
                  <c:v>2018</c:v>
                </c:pt>
              </c:numCache>
            </c:numRef>
          </c:cat>
          <c:val>
            <c:numRef>
              <c:f>Sheet1!$B$3:$B$7</c:f>
              <c:numCache>
                <c:formatCode>General</c:formatCode>
                <c:ptCount val="5"/>
                <c:pt idx="0">
                  <c:v>78.941000000000003</c:v>
                </c:pt>
                <c:pt idx="1">
                  <c:v>78.956000000000003</c:v>
                </c:pt>
                <c:pt idx="2">
                  <c:v>1193.8699999999999</c:v>
                </c:pt>
                <c:pt idx="3">
                  <c:v>1221.8699999999999</c:v>
                </c:pt>
                <c:pt idx="4" formatCode="#,##0.00">
                  <c:v>1226.2439999999999</c:v>
                </c:pt>
              </c:numCache>
            </c:numRef>
          </c:val>
          <c:smooth val="0"/>
          <c:extLst>
            <c:ext xmlns:c16="http://schemas.microsoft.com/office/drawing/2014/chart" uri="{C3380CC4-5D6E-409C-BE32-E72D297353CC}">
              <c16:uniqueId val="{00000000-ED8F-482C-9B3F-8AAC822497AD}"/>
            </c:ext>
          </c:extLst>
        </c:ser>
        <c:dLbls>
          <c:showLegendKey val="0"/>
          <c:showVal val="0"/>
          <c:showCatName val="0"/>
          <c:showSerName val="0"/>
          <c:showPercent val="0"/>
          <c:showBubbleSize val="0"/>
        </c:dLbls>
        <c:marker val="1"/>
        <c:smooth val="0"/>
        <c:axId val="243209344"/>
        <c:axId val="243210880"/>
      </c:lineChart>
      <c:catAx>
        <c:axId val="243209344"/>
        <c:scaling>
          <c:orientation val="minMax"/>
        </c:scaling>
        <c:delete val="0"/>
        <c:axPos val="b"/>
        <c:numFmt formatCode="General" sourceLinked="1"/>
        <c:majorTickMark val="out"/>
        <c:minorTickMark val="none"/>
        <c:tickLblPos val="nextTo"/>
        <c:txPr>
          <a:bodyPr/>
          <a:lstStyle/>
          <a:p>
            <a:pPr>
              <a:defRPr lang="en-US"/>
            </a:pPr>
            <a:endParaRPr lang="ro-RO"/>
          </a:p>
        </c:txPr>
        <c:crossAx val="243210880"/>
        <c:crosses val="autoZero"/>
        <c:auto val="1"/>
        <c:lblAlgn val="ctr"/>
        <c:lblOffset val="100"/>
        <c:noMultiLvlLbl val="0"/>
      </c:catAx>
      <c:valAx>
        <c:axId val="243210880"/>
        <c:scaling>
          <c:orientation val="minMax"/>
        </c:scaling>
        <c:delete val="0"/>
        <c:axPos val="l"/>
        <c:majorGridlines/>
        <c:numFmt formatCode="General" sourceLinked="1"/>
        <c:majorTickMark val="out"/>
        <c:minorTickMark val="none"/>
        <c:tickLblPos val="nextTo"/>
        <c:txPr>
          <a:bodyPr/>
          <a:lstStyle/>
          <a:p>
            <a:pPr>
              <a:defRPr lang="en-US"/>
            </a:pPr>
            <a:endParaRPr lang="ro-RO"/>
          </a:p>
        </c:txPr>
        <c:crossAx val="243209344"/>
        <c:crosses val="autoZero"/>
        <c:crossBetween val="between"/>
      </c:valAx>
    </c:plotArea>
    <c:legend>
      <c:legendPos val="r"/>
      <c:layout>
        <c:manualLayout>
          <c:xMode val="edge"/>
          <c:yMode val="edge"/>
          <c:x val="0.8080351537978655"/>
          <c:y val="0.81938156872021295"/>
          <c:w val="0.16685499058380421"/>
          <c:h val="0.11877118808424809"/>
        </c:manualLayout>
      </c:layout>
      <c:overlay val="0"/>
      <c:txPr>
        <a:bodyPr/>
        <a:lstStyle/>
        <a:p>
          <a:pPr>
            <a:defRPr lang="en-US"/>
          </a:pPr>
          <a:endParaRPr lang="ro-RO"/>
        </a:p>
      </c:txPr>
    </c:legend>
    <c:plotVisOnly val="1"/>
    <c:dispBlanksAs val="zero"/>
    <c:showDLblsOverMax val="0"/>
  </c:chart>
  <c:spPr>
    <a:solidFill>
      <a:srgbClr val="FFFFCC"/>
    </a:solidFill>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72266660925937"/>
          <c:y val="4.5657562582717845E-2"/>
          <c:w val="0.68100249271851165"/>
          <c:h val="0.62748922774238014"/>
        </c:manualLayout>
      </c:layout>
      <c:lineChart>
        <c:grouping val="standard"/>
        <c:varyColors val="0"/>
        <c:ser>
          <c:idx val="0"/>
          <c:order val="0"/>
          <c:tx>
            <c:strRef>
              <c:f>Sheet1!$B$1</c:f>
              <c:strCache>
                <c:ptCount val="1"/>
                <c:pt idx="0">
                  <c:v>Erbicide</c:v>
                </c:pt>
              </c:strCache>
            </c:strRef>
          </c:tx>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36</c:v>
                </c:pt>
                <c:pt idx="1">
                  <c:v>36</c:v>
                </c:pt>
                <c:pt idx="2" formatCode="#,##0">
                  <c:v>636</c:v>
                </c:pt>
                <c:pt idx="3">
                  <c:v>628</c:v>
                </c:pt>
                <c:pt idx="4">
                  <c:v>670</c:v>
                </c:pt>
              </c:numCache>
            </c:numRef>
          </c:val>
          <c:smooth val="0"/>
          <c:extLst>
            <c:ext xmlns:c16="http://schemas.microsoft.com/office/drawing/2014/chart" uri="{C3380CC4-5D6E-409C-BE32-E72D297353CC}">
              <c16:uniqueId val="{00000000-9D73-4883-8D2F-02FFB9737186}"/>
            </c:ext>
          </c:extLst>
        </c:ser>
        <c:ser>
          <c:idx val="1"/>
          <c:order val="1"/>
          <c:tx>
            <c:strRef>
              <c:f>Sheet1!$C$1</c:f>
              <c:strCache>
                <c:ptCount val="1"/>
                <c:pt idx="0">
                  <c:v>Fungicide</c:v>
                </c:pt>
              </c:strCache>
            </c:strRef>
          </c:tx>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33</c:v>
                </c:pt>
                <c:pt idx="1">
                  <c:v>33</c:v>
                </c:pt>
                <c:pt idx="2">
                  <c:v>430</c:v>
                </c:pt>
                <c:pt idx="3">
                  <c:v>423</c:v>
                </c:pt>
                <c:pt idx="4">
                  <c:v>420</c:v>
                </c:pt>
              </c:numCache>
            </c:numRef>
          </c:val>
          <c:smooth val="0"/>
          <c:extLst>
            <c:ext xmlns:c16="http://schemas.microsoft.com/office/drawing/2014/chart" uri="{C3380CC4-5D6E-409C-BE32-E72D297353CC}">
              <c16:uniqueId val="{00000001-9D73-4883-8D2F-02FFB9737186}"/>
            </c:ext>
          </c:extLst>
        </c:ser>
        <c:ser>
          <c:idx val="2"/>
          <c:order val="2"/>
          <c:tx>
            <c:strRef>
              <c:f>Sheet1!$D$1</c:f>
              <c:strCache>
                <c:ptCount val="1"/>
                <c:pt idx="0">
                  <c:v>Insecticide</c:v>
                </c:pt>
              </c:strCache>
            </c:strRef>
          </c:tx>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9</c:v>
                </c:pt>
                <c:pt idx="1">
                  <c:v>9</c:v>
                </c:pt>
                <c:pt idx="2">
                  <c:v>111</c:v>
                </c:pt>
                <c:pt idx="3">
                  <c:v>149</c:v>
                </c:pt>
                <c:pt idx="4">
                  <c:v>165</c:v>
                </c:pt>
              </c:numCache>
            </c:numRef>
          </c:val>
          <c:smooth val="0"/>
          <c:extLst>
            <c:ext xmlns:c16="http://schemas.microsoft.com/office/drawing/2014/chart" uri="{C3380CC4-5D6E-409C-BE32-E72D297353CC}">
              <c16:uniqueId val="{00000002-9D73-4883-8D2F-02FFB9737186}"/>
            </c:ext>
          </c:extLst>
        </c:ser>
        <c:dLbls>
          <c:showLegendKey val="0"/>
          <c:showVal val="0"/>
          <c:showCatName val="0"/>
          <c:showSerName val="0"/>
          <c:showPercent val="0"/>
          <c:showBubbleSize val="0"/>
        </c:dLbls>
        <c:marker val="1"/>
        <c:smooth val="0"/>
        <c:axId val="243474432"/>
        <c:axId val="243475968"/>
      </c:lineChart>
      <c:catAx>
        <c:axId val="243474432"/>
        <c:scaling>
          <c:orientation val="minMax"/>
        </c:scaling>
        <c:delete val="0"/>
        <c:axPos val="b"/>
        <c:numFmt formatCode="General" sourceLinked="1"/>
        <c:majorTickMark val="out"/>
        <c:minorTickMark val="none"/>
        <c:tickLblPos val="nextTo"/>
        <c:txPr>
          <a:bodyPr/>
          <a:lstStyle/>
          <a:p>
            <a:pPr>
              <a:defRPr lang="en-US"/>
            </a:pPr>
            <a:endParaRPr lang="ro-RO"/>
          </a:p>
        </c:txPr>
        <c:crossAx val="243475968"/>
        <c:crosses val="autoZero"/>
        <c:auto val="1"/>
        <c:lblAlgn val="ctr"/>
        <c:lblOffset val="100"/>
        <c:noMultiLvlLbl val="0"/>
      </c:catAx>
      <c:valAx>
        <c:axId val="243475968"/>
        <c:scaling>
          <c:orientation val="minMax"/>
        </c:scaling>
        <c:delete val="0"/>
        <c:axPos val="l"/>
        <c:majorGridlines/>
        <c:numFmt formatCode="General" sourceLinked="1"/>
        <c:majorTickMark val="out"/>
        <c:minorTickMark val="none"/>
        <c:tickLblPos val="nextTo"/>
        <c:txPr>
          <a:bodyPr/>
          <a:lstStyle/>
          <a:p>
            <a:pPr>
              <a:defRPr lang="en-US"/>
            </a:pPr>
            <a:endParaRPr lang="ro-RO"/>
          </a:p>
        </c:txPr>
        <c:crossAx val="243474432"/>
        <c:crosses val="autoZero"/>
        <c:crossBetween val="between"/>
      </c:valAx>
    </c:plotArea>
    <c:legend>
      <c:legendPos val="r"/>
      <c:overlay val="0"/>
      <c:txPr>
        <a:bodyPr/>
        <a:lstStyle/>
        <a:p>
          <a:pPr>
            <a:defRPr lang="en-US"/>
          </a:pPr>
          <a:endParaRPr lang="ro-RO"/>
        </a:p>
      </c:txPr>
    </c:legend>
    <c:plotVisOnly val="1"/>
    <c:dispBlanksAs val="gap"/>
    <c:showDLblsOverMax val="0"/>
  </c:chart>
  <c:spPr>
    <a:solidFill>
      <a:srgbClr val="FFFFCC"/>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7125"/>
          <c:h val="0.72282608695652173"/>
        </c:manualLayout>
      </c:layout>
      <c:bar3DChart>
        <c:barDir val="col"/>
        <c:grouping val="clustered"/>
        <c:varyColors val="0"/>
        <c:ser>
          <c:idx val="7"/>
          <c:order val="0"/>
          <c:tx>
            <c:strRef>
              <c:f>Sheet1!$A$2</c:f>
              <c:strCache>
                <c:ptCount val="1"/>
                <c:pt idx="0">
                  <c:v>Medii anuale 2018 Valori orientative</c:v>
                </c:pt>
              </c:strCache>
            </c:strRef>
          </c:tx>
          <c:invertIfNegative val="0"/>
          <c:cat>
            <c:strRef>
              <c:f>Sheet1!$B$1:$E$1</c:f>
              <c:strCache>
                <c:ptCount val="4"/>
                <c:pt idx="0">
                  <c:v>BR1</c:v>
                </c:pt>
                <c:pt idx="1">
                  <c:v>BR2</c:v>
                </c:pt>
                <c:pt idx="2">
                  <c:v>BR3</c:v>
                </c:pt>
                <c:pt idx="3">
                  <c:v>BR5</c:v>
                </c:pt>
              </c:strCache>
            </c:strRef>
          </c:cat>
          <c:val>
            <c:numRef>
              <c:f>Sheet1!$B$2:$E$2</c:f>
              <c:numCache>
                <c:formatCode>General</c:formatCode>
                <c:ptCount val="4"/>
                <c:pt idx="0">
                  <c:v>2.38</c:v>
                </c:pt>
                <c:pt idx="1">
                  <c:v>1.33</c:v>
                </c:pt>
                <c:pt idx="2">
                  <c:v>2.23</c:v>
                </c:pt>
                <c:pt idx="3">
                  <c:v>1.35</c:v>
                </c:pt>
              </c:numCache>
            </c:numRef>
          </c:val>
          <c:extLst>
            <c:ext xmlns:c16="http://schemas.microsoft.com/office/drawing/2014/chart" uri="{C3380CC4-5D6E-409C-BE32-E72D297353CC}">
              <c16:uniqueId val="{00000000-DFEE-408B-9335-34B41319BE74}"/>
            </c:ext>
          </c:extLst>
        </c:ser>
        <c:dLbls>
          <c:showLegendKey val="0"/>
          <c:showVal val="0"/>
          <c:showCatName val="0"/>
          <c:showSerName val="0"/>
          <c:showPercent val="0"/>
          <c:showBubbleSize val="0"/>
        </c:dLbls>
        <c:gapWidth val="340"/>
        <c:gapDepth val="0"/>
        <c:shape val="box"/>
        <c:axId val="256924288"/>
        <c:axId val="258494848"/>
        <c:axId val="0"/>
      </c:bar3DChart>
      <c:catAx>
        <c:axId val="2569242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58494848"/>
        <c:crosses val="autoZero"/>
        <c:auto val="1"/>
        <c:lblAlgn val="ctr"/>
        <c:lblOffset val="100"/>
        <c:tickLblSkip val="1"/>
        <c:tickMarkSkip val="1"/>
        <c:noMultiLvlLbl val="0"/>
      </c:catAx>
      <c:valAx>
        <c:axId val="258494848"/>
        <c:scaling>
          <c:orientation val="minMax"/>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4.7892720306515472E-2"/>
              <c:y val="0.1358695652173914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56924288"/>
        <c:crosses val="autoZero"/>
        <c:crossBetween val="between"/>
      </c:valAx>
      <c:spPr>
        <a:noFill/>
        <a:ln w="25399">
          <a:noFill/>
        </a:ln>
      </c:spPr>
    </c:plotArea>
    <c:legend>
      <c:legendPos val="r"/>
      <c:layout>
        <c:manualLayout>
          <c:xMode val="edge"/>
          <c:yMode val="edge"/>
          <c:x val="0.75862068965520146"/>
          <c:y val="0.30513245122710181"/>
          <c:w val="0.21167406705740729"/>
          <c:h val="0.19258922531590766"/>
        </c:manualLayout>
      </c:layout>
      <c:overlay val="0"/>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18820702498014"/>
          <c:y val="6.1271521118965687E-2"/>
          <c:w val="0.81366613353019179"/>
          <c:h val="0.59590935831296188"/>
        </c:manualLayout>
      </c:layout>
      <c:lineChart>
        <c:grouping val="standard"/>
        <c:varyColors val="0"/>
        <c:ser>
          <c:idx val="1"/>
          <c:order val="0"/>
          <c:tx>
            <c:strRef>
              <c:f>Sheet1!$A$3</c:f>
              <c:strCache>
                <c:ptCount val="1"/>
                <c:pt idx="0">
                  <c:v>Suprafata irigata-ha</c:v>
                </c:pt>
              </c:strCache>
            </c:strRef>
          </c:tx>
          <c:spPr>
            <a:ln w="19538">
              <a:solidFill>
                <a:srgbClr val="008000"/>
              </a:solidFill>
              <a:prstDash val="solid"/>
            </a:ln>
          </c:spPr>
          <c:marker>
            <c:symbol val="diamond"/>
            <c:size val="2"/>
            <c:spPr>
              <a:solidFill>
                <a:srgbClr val="008000"/>
              </a:solidFill>
              <a:ln>
                <a:solidFill>
                  <a:srgbClr val="008000"/>
                </a:solidFill>
                <a:prstDash val="solid"/>
              </a:ln>
            </c:spPr>
          </c:marker>
          <c:cat>
            <c:strRef>
              <c:f>Sheet1!$B$1:$F$2</c:f>
              <c:strCache>
                <c:ptCount val="5"/>
                <c:pt idx="0">
                  <c:v>2014</c:v>
                </c:pt>
                <c:pt idx="1">
                  <c:v>2015</c:v>
                </c:pt>
                <c:pt idx="2">
                  <c:v>2016</c:v>
                </c:pt>
                <c:pt idx="3">
                  <c:v>2017</c:v>
                </c:pt>
                <c:pt idx="4">
                  <c:v>2018</c:v>
                </c:pt>
              </c:strCache>
            </c:strRef>
          </c:cat>
          <c:val>
            <c:numRef>
              <c:f>Sheet1!$B$3:$F$3</c:f>
              <c:numCache>
                <c:formatCode>General</c:formatCode>
                <c:ptCount val="5"/>
                <c:pt idx="0">
                  <c:v>168237</c:v>
                </c:pt>
                <c:pt idx="1">
                  <c:v>236010</c:v>
                </c:pt>
                <c:pt idx="2">
                  <c:v>161310</c:v>
                </c:pt>
                <c:pt idx="3">
                  <c:v>202576</c:v>
                </c:pt>
                <c:pt idx="4">
                  <c:v>314472</c:v>
                </c:pt>
              </c:numCache>
            </c:numRef>
          </c:val>
          <c:smooth val="0"/>
          <c:extLst>
            <c:ext xmlns:c16="http://schemas.microsoft.com/office/drawing/2014/chart" uri="{C3380CC4-5D6E-409C-BE32-E72D297353CC}">
              <c16:uniqueId val="{00000000-4E57-4159-856A-279E9C3627A9}"/>
            </c:ext>
          </c:extLst>
        </c:ser>
        <c:ser>
          <c:idx val="2"/>
          <c:order val="1"/>
          <c:tx>
            <c:strRef>
              <c:f>Sheet1!$A$4</c:f>
              <c:strCache>
                <c:ptCount val="1"/>
                <c:pt idx="0">
                  <c:v>Volume de apa consumate- mii mc</c:v>
                </c:pt>
              </c:strCache>
            </c:strRef>
          </c:tx>
          <c:spPr>
            <a:ln w="19538">
              <a:solidFill>
                <a:srgbClr val="3366FF"/>
              </a:solidFill>
              <a:prstDash val="solid"/>
            </a:ln>
          </c:spPr>
          <c:marker>
            <c:symbol val="diamond"/>
            <c:size val="2"/>
            <c:spPr>
              <a:solidFill>
                <a:srgbClr val="3366FF"/>
              </a:solidFill>
              <a:ln>
                <a:solidFill>
                  <a:srgbClr val="3366FF"/>
                </a:solidFill>
                <a:prstDash val="solid"/>
              </a:ln>
            </c:spPr>
          </c:marker>
          <c:cat>
            <c:strRef>
              <c:f>Sheet1!$B$1:$F$2</c:f>
              <c:strCache>
                <c:ptCount val="5"/>
                <c:pt idx="0">
                  <c:v>2014</c:v>
                </c:pt>
                <c:pt idx="1">
                  <c:v>2015</c:v>
                </c:pt>
                <c:pt idx="2">
                  <c:v>2016</c:v>
                </c:pt>
                <c:pt idx="3">
                  <c:v>2017</c:v>
                </c:pt>
                <c:pt idx="4">
                  <c:v>2018</c:v>
                </c:pt>
              </c:strCache>
            </c:strRef>
          </c:cat>
          <c:val>
            <c:numRef>
              <c:f>Sheet1!$B$4:$F$4</c:f>
              <c:numCache>
                <c:formatCode>General</c:formatCode>
                <c:ptCount val="5"/>
                <c:pt idx="0">
                  <c:v>155441</c:v>
                </c:pt>
                <c:pt idx="1">
                  <c:v>201791</c:v>
                </c:pt>
                <c:pt idx="2">
                  <c:v>142799</c:v>
                </c:pt>
                <c:pt idx="3">
                  <c:v>138563</c:v>
                </c:pt>
                <c:pt idx="4">
                  <c:v>159220</c:v>
                </c:pt>
              </c:numCache>
            </c:numRef>
          </c:val>
          <c:smooth val="0"/>
          <c:extLst>
            <c:ext xmlns:c16="http://schemas.microsoft.com/office/drawing/2014/chart" uri="{C3380CC4-5D6E-409C-BE32-E72D297353CC}">
              <c16:uniqueId val="{00000001-4E57-4159-856A-279E9C3627A9}"/>
            </c:ext>
          </c:extLst>
        </c:ser>
        <c:dLbls>
          <c:showLegendKey val="0"/>
          <c:showVal val="0"/>
          <c:showCatName val="0"/>
          <c:showSerName val="0"/>
          <c:showPercent val="0"/>
          <c:showBubbleSize val="0"/>
        </c:dLbls>
        <c:marker val="1"/>
        <c:smooth val="0"/>
        <c:axId val="243704960"/>
        <c:axId val="243706880"/>
      </c:lineChart>
      <c:catAx>
        <c:axId val="243704960"/>
        <c:scaling>
          <c:orientation val="minMax"/>
        </c:scaling>
        <c:delete val="0"/>
        <c:axPos val="b"/>
        <c:numFmt formatCode="General" sourceLinked="1"/>
        <c:majorTickMark val="out"/>
        <c:minorTickMark val="none"/>
        <c:tickLblPos val="nextTo"/>
        <c:spPr>
          <a:ln w="19538">
            <a:solidFill>
              <a:srgbClr val="000000"/>
            </a:solidFill>
            <a:prstDash val="solid"/>
          </a:ln>
        </c:spPr>
        <c:txPr>
          <a:bodyPr rot="0" vert="horz"/>
          <a:lstStyle/>
          <a:p>
            <a:pPr>
              <a:defRPr lang="en-US"/>
            </a:pPr>
            <a:endParaRPr lang="ro-RO"/>
          </a:p>
        </c:txPr>
        <c:crossAx val="243706880"/>
        <c:crosses val="autoZero"/>
        <c:auto val="1"/>
        <c:lblAlgn val="ctr"/>
        <c:lblOffset val="100"/>
        <c:tickLblSkip val="1"/>
        <c:tickMarkSkip val="1"/>
        <c:noMultiLvlLbl val="0"/>
      </c:catAx>
      <c:valAx>
        <c:axId val="243706880"/>
        <c:scaling>
          <c:orientation val="minMax"/>
        </c:scaling>
        <c:delete val="0"/>
        <c:axPos val="l"/>
        <c:majorGridlines>
          <c:spPr>
            <a:ln w="2443">
              <a:solidFill>
                <a:srgbClr val="000000"/>
              </a:solidFill>
              <a:prstDash val="solid"/>
            </a:ln>
          </c:spPr>
        </c:majorGridlines>
        <c:numFmt formatCode="General" sourceLinked="0"/>
        <c:majorTickMark val="out"/>
        <c:minorTickMark val="none"/>
        <c:tickLblPos val="nextTo"/>
        <c:spPr>
          <a:ln w="19538">
            <a:solidFill>
              <a:srgbClr val="000000"/>
            </a:solidFill>
            <a:prstDash val="solid"/>
          </a:ln>
        </c:spPr>
        <c:txPr>
          <a:bodyPr rot="0" vert="horz"/>
          <a:lstStyle/>
          <a:p>
            <a:pPr>
              <a:defRPr lang="en-US" sz="850" baseline="0"/>
            </a:pPr>
            <a:endParaRPr lang="ro-RO"/>
          </a:p>
        </c:txPr>
        <c:crossAx val="243704960"/>
        <c:crosses val="autoZero"/>
        <c:crossBetween val="between"/>
      </c:valAx>
      <c:spPr>
        <a:solidFill>
          <a:srgbClr val="DEF2F2"/>
        </a:solidFill>
        <a:ln w="25390">
          <a:noFill/>
        </a:ln>
      </c:spPr>
    </c:plotArea>
    <c:legend>
      <c:legendPos val="b"/>
      <c:layout>
        <c:manualLayout>
          <c:xMode val="edge"/>
          <c:yMode val="edge"/>
          <c:x val="0.16334996443201621"/>
          <c:y val="0.82196524704484963"/>
          <c:w val="0.81441479628130586"/>
          <c:h val="6.8073353575901052E-2"/>
        </c:manualLayout>
      </c:layout>
      <c:overlay val="0"/>
      <c:spPr>
        <a:noFill/>
        <a:ln w="19538">
          <a:noFill/>
        </a:ln>
      </c:spPr>
      <c:txPr>
        <a:bodyPr/>
        <a:lstStyle/>
        <a:p>
          <a:pPr>
            <a:defRPr lang="en-US"/>
          </a:pPr>
          <a:endParaRPr lang="ro-RO"/>
        </a:p>
      </c:txPr>
    </c:legend>
    <c:plotVisOnly val="1"/>
    <c:dispBlanksAs val="gap"/>
    <c:showDLblsOverMax val="0"/>
  </c:chart>
  <c:spPr>
    <a:noFill/>
    <a:ln w="6350">
      <a:solidFill>
        <a:sysClr val="windowText" lastClr="000000"/>
      </a:solidFill>
    </a:ln>
  </c:spPr>
  <c:txPr>
    <a:bodyPr/>
    <a:lstStyle/>
    <a:p>
      <a:pPr>
        <a:defRPr sz="870" b="1" i="0" u="none" strike="noStrike" baseline="0">
          <a:solidFill>
            <a:srgbClr val="000000"/>
          </a:solidFill>
          <a:latin typeface="Arial"/>
          <a:ea typeface="Arial"/>
          <a:cs typeface="Arial"/>
        </a:defRPr>
      </a:pPr>
      <a:endParaRPr lang="ro-RO"/>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200">
                <a:latin typeface="Arial" pitchFamily="34" charset="0"/>
                <a:cs typeface="Arial" pitchFamily="34" charset="0"/>
              </a:defRPr>
            </a:pPr>
            <a:r>
              <a:rPr lang="ro-RO" sz="1200">
                <a:latin typeface="Arial" pitchFamily="34" charset="0"/>
                <a:cs typeface="Arial" pitchFamily="34" charset="0"/>
              </a:rPr>
              <a:t>Acoperirea/utilizarea terenurilor în anul 201</a:t>
            </a:r>
            <a:r>
              <a:rPr lang="en-US" sz="1200">
                <a:latin typeface="Arial" pitchFamily="34" charset="0"/>
                <a:cs typeface="Arial" pitchFamily="34" charset="0"/>
              </a:rPr>
              <a:t>5</a:t>
            </a:r>
            <a:r>
              <a:rPr lang="ro-RO" sz="1200">
                <a:latin typeface="Arial" pitchFamily="34" charset="0"/>
                <a:cs typeface="Arial" pitchFamily="34" charset="0"/>
              </a:rPr>
              <a:t> </a:t>
            </a:r>
          </a:p>
        </c:rich>
      </c:tx>
      <c:layout>
        <c:manualLayout>
          <c:xMode val="edge"/>
          <c:yMode val="edge"/>
          <c:x val="6.5940397943651599E-2"/>
          <c:y val="3.843394725761550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514155141780562"/>
          <c:y val="0.33485080192468486"/>
          <c:w val="0.50946490064134631"/>
          <c:h val="0.51405390843675658"/>
        </c:manualLayout>
      </c:layout>
      <c:pie3DChart>
        <c:varyColors val="1"/>
        <c:ser>
          <c:idx val="0"/>
          <c:order val="0"/>
          <c:tx>
            <c:strRef>
              <c:f>Sheet1!$B$1</c:f>
              <c:strCache>
                <c:ptCount val="1"/>
                <c:pt idx="0">
                  <c:v>Column1</c:v>
                </c:pt>
              </c:strCache>
            </c:strRef>
          </c:tx>
          <c:dPt>
            <c:idx val="0"/>
            <c:bubble3D val="0"/>
            <c:spPr>
              <a:solidFill>
                <a:srgbClr val="C00000"/>
              </a:solidFill>
            </c:spPr>
            <c:extLst>
              <c:ext xmlns:c16="http://schemas.microsoft.com/office/drawing/2014/chart" uri="{C3380CC4-5D6E-409C-BE32-E72D297353CC}">
                <c16:uniqueId val="{00000001-0324-471D-B6F6-377A3F7316F2}"/>
              </c:ext>
            </c:extLst>
          </c:dPt>
          <c:dPt>
            <c:idx val="1"/>
            <c:bubble3D val="0"/>
            <c:spPr>
              <a:solidFill>
                <a:srgbClr val="00B050"/>
              </a:solidFill>
            </c:spPr>
            <c:extLst>
              <c:ext xmlns:c16="http://schemas.microsoft.com/office/drawing/2014/chart" uri="{C3380CC4-5D6E-409C-BE32-E72D297353CC}">
                <c16:uniqueId val="{00000003-0324-471D-B6F6-377A3F7316F2}"/>
              </c:ext>
            </c:extLst>
          </c:dPt>
          <c:dPt>
            <c:idx val="2"/>
            <c:bubble3D val="0"/>
            <c:spPr>
              <a:solidFill>
                <a:schemeClr val="tx2">
                  <a:lumMod val="60000"/>
                  <a:lumOff val="40000"/>
                </a:schemeClr>
              </a:solidFill>
            </c:spPr>
            <c:extLst>
              <c:ext xmlns:c16="http://schemas.microsoft.com/office/drawing/2014/chart" uri="{C3380CC4-5D6E-409C-BE32-E72D297353CC}">
                <c16:uniqueId val="{00000005-0324-471D-B6F6-377A3F7316F2}"/>
              </c:ext>
            </c:extLst>
          </c:dPt>
          <c:dPt>
            <c:idx val="3"/>
            <c:bubble3D val="0"/>
            <c:spPr>
              <a:solidFill>
                <a:srgbClr val="FFC000"/>
              </a:solidFill>
            </c:spPr>
            <c:extLst>
              <c:ext xmlns:c16="http://schemas.microsoft.com/office/drawing/2014/chart" uri="{C3380CC4-5D6E-409C-BE32-E72D297353CC}">
                <c16:uniqueId val="{00000007-0324-471D-B6F6-377A3F7316F2}"/>
              </c:ext>
            </c:extLst>
          </c:dPt>
          <c:dPt>
            <c:idx val="4"/>
            <c:bubble3D val="0"/>
            <c:spPr>
              <a:solidFill>
                <a:schemeClr val="accent2">
                  <a:lumMod val="60000"/>
                  <a:lumOff val="40000"/>
                </a:schemeClr>
              </a:solidFill>
            </c:spPr>
            <c:extLst>
              <c:ext xmlns:c16="http://schemas.microsoft.com/office/drawing/2014/chart" uri="{C3380CC4-5D6E-409C-BE32-E72D297353CC}">
                <c16:uniqueId val="{00000009-0324-471D-B6F6-377A3F7316F2}"/>
              </c:ext>
            </c:extLst>
          </c:dPt>
          <c:dPt>
            <c:idx val="5"/>
            <c:bubble3D val="0"/>
            <c:spPr>
              <a:solidFill>
                <a:srgbClr val="FF0000"/>
              </a:solidFill>
            </c:spPr>
            <c:extLst>
              <c:ext xmlns:c16="http://schemas.microsoft.com/office/drawing/2014/chart" uri="{C3380CC4-5D6E-409C-BE32-E72D297353CC}">
                <c16:uniqueId val="{0000000B-0324-471D-B6F6-377A3F7316F2}"/>
              </c:ext>
            </c:extLst>
          </c:dPt>
          <c:cat>
            <c:strRef>
              <c:f>Sheet1!$A$2:$A$7</c:f>
              <c:strCache>
                <c:ptCount val="6"/>
                <c:pt idx="0">
                  <c:v>terenuri agricole</c:v>
                </c:pt>
                <c:pt idx="1">
                  <c:v>păduri</c:v>
                </c:pt>
                <c:pt idx="2">
                  <c:v>ape</c:v>
                </c:pt>
                <c:pt idx="3">
                  <c:v>drumuri și căi ferate</c:v>
                </c:pt>
                <c:pt idx="4">
                  <c:v>curți și construcții</c:v>
                </c:pt>
                <c:pt idx="5">
                  <c:v>neproductive</c:v>
                </c:pt>
              </c:strCache>
            </c:strRef>
          </c:cat>
          <c:val>
            <c:numRef>
              <c:f>Sheet1!$B$2:$B$7</c:f>
              <c:numCache>
                <c:formatCode>General</c:formatCode>
                <c:ptCount val="6"/>
                <c:pt idx="0">
                  <c:v>387363</c:v>
                </c:pt>
                <c:pt idx="1">
                  <c:v>28383</c:v>
                </c:pt>
                <c:pt idx="2">
                  <c:v>30331</c:v>
                </c:pt>
                <c:pt idx="3">
                  <c:v>8586</c:v>
                </c:pt>
                <c:pt idx="4">
                  <c:v>13294</c:v>
                </c:pt>
                <c:pt idx="5">
                  <c:v>7928</c:v>
                </c:pt>
              </c:numCache>
            </c:numRef>
          </c:val>
          <c:extLst>
            <c:ext xmlns:c16="http://schemas.microsoft.com/office/drawing/2014/chart" uri="{C3380CC4-5D6E-409C-BE32-E72D297353CC}">
              <c16:uniqueId val="{0000000C-0324-471D-B6F6-377A3F7316F2}"/>
            </c:ext>
          </c:extLst>
        </c:ser>
        <c:dLbls>
          <c:showLegendKey val="0"/>
          <c:showVal val="0"/>
          <c:showCatName val="0"/>
          <c:showSerName val="0"/>
          <c:showPercent val="0"/>
          <c:showBubbleSize val="0"/>
          <c:showLeaderLines val="1"/>
        </c:dLbls>
      </c:pie3DChart>
    </c:plotArea>
    <c:legend>
      <c:legendPos val="r"/>
      <c:layout>
        <c:manualLayout>
          <c:xMode val="edge"/>
          <c:yMode val="edge"/>
          <c:x val="0.77267634834510901"/>
          <c:y val="3.5360687012980264E-2"/>
          <c:w val="0.22325857474838987"/>
          <c:h val="0.96463947938570282"/>
        </c:manualLayout>
      </c:layout>
      <c:overlay val="0"/>
      <c:txPr>
        <a:bodyPr/>
        <a:lstStyle/>
        <a:p>
          <a:pPr>
            <a:defRPr lang="en-US"/>
          </a:pPr>
          <a:endParaRPr lang="ro-RO"/>
        </a:p>
      </c:txPr>
    </c:legend>
    <c:plotVisOnly val="1"/>
    <c:dispBlanksAs val="zero"/>
    <c:showDLblsOverMax val="0"/>
  </c:chart>
  <c:spPr>
    <a:solidFill>
      <a:srgbClr val="FBF3F3"/>
    </a:solidFill>
  </c:sp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891" b="1" i="0" u="none" strike="noStrike" baseline="0">
                <a:solidFill>
                  <a:srgbClr val="000000"/>
                </a:solidFill>
                <a:latin typeface="Arial"/>
                <a:ea typeface="Arial"/>
                <a:cs typeface="Arial"/>
              </a:defRPr>
            </a:pPr>
            <a:r>
              <a:rPr lang="en-US"/>
              <a:t>
</a:t>
            </a:r>
          </a:p>
        </c:rich>
      </c:tx>
      <c:layout>
        <c:manualLayout>
          <c:xMode val="edge"/>
          <c:yMode val="edge"/>
          <c:x val="0.50553509831603749"/>
          <c:y val="0"/>
        </c:manualLayout>
      </c:layout>
      <c:overlay val="0"/>
      <c:spPr>
        <a:noFill/>
        <a:ln w="1885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4805858313955823"/>
          <c:y val="0.27411167512690382"/>
          <c:w val="0.47254394273052375"/>
          <c:h val="0.51588924216900633"/>
        </c:manualLayout>
      </c:layout>
      <c:pie3DChart>
        <c:varyColors val="1"/>
        <c:ser>
          <c:idx val="0"/>
          <c:order val="0"/>
          <c:tx>
            <c:strRef>
              <c:f>Sheet1!$A$2</c:f>
              <c:strCache>
                <c:ptCount val="1"/>
                <c:pt idx="0">
                  <c:v>476576</c:v>
                </c:pt>
              </c:strCache>
            </c:strRef>
          </c:tx>
          <c:spPr>
            <a:ln w="2355">
              <a:solidFill>
                <a:srgbClr val="000000"/>
              </a:solidFill>
              <a:prstDash val="solid"/>
            </a:ln>
          </c:spPr>
          <c:explosion val="8"/>
          <c:dPt>
            <c:idx val="0"/>
            <c:bubble3D val="0"/>
            <c:spPr>
              <a:solidFill>
                <a:srgbClr val="99CCFF"/>
              </a:solidFill>
              <a:ln w="18842">
                <a:noFill/>
              </a:ln>
            </c:spPr>
            <c:extLst>
              <c:ext xmlns:c16="http://schemas.microsoft.com/office/drawing/2014/chart" uri="{C3380CC4-5D6E-409C-BE32-E72D297353CC}">
                <c16:uniqueId val="{00000001-25AE-4BF3-9C3C-F3DC1BD18BAF}"/>
              </c:ext>
            </c:extLst>
          </c:dPt>
          <c:dPt>
            <c:idx val="1"/>
            <c:bubble3D val="0"/>
            <c:spPr/>
            <c:extLst>
              <c:ext xmlns:c16="http://schemas.microsoft.com/office/drawing/2014/chart" uri="{C3380CC4-5D6E-409C-BE32-E72D297353CC}">
                <c16:uniqueId val="{00000003-25AE-4BF3-9C3C-F3DC1BD18BAF}"/>
              </c:ext>
            </c:extLst>
          </c:dPt>
          <c:dPt>
            <c:idx val="2"/>
            <c:bubble3D val="0"/>
            <c:spPr>
              <a:solidFill>
                <a:srgbClr val="339966"/>
              </a:solidFill>
              <a:ln w="18842">
                <a:noFill/>
              </a:ln>
            </c:spPr>
            <c:extLst>
              <c:ext xmlns:c16="http://schemas.microsoft.com/office/drawing/2014/chart" uri="{C3380CC4-5D6E-409C-BE32-E72D297353CC}">
                <c16:uniqueId val="{00000005-25AE-4BF3-9C3C-F3DC1BD18BAF}"/>
              </c:ext>
            </c:extLst>
          </c:dPt>
          <c:dPt>
            <c:idx val="3"/>
            <c:bubble3D val="0"/>
            <c:spPr>
              <a:solidFill>
                <a:srgbClr val="FF0000"/>
              </a:solidFill>
              <a:ln w="18842">
                <a:noFill/>
              </a:ln>
            </c:spPr>
            <c:extLst>
              <c:ext xmlns:c16="http://schemas.microsoft.com/office/drawing/2014/chart" uri="{C3380CC4-5D6E-409C-BE32-E72D297353CC}">
                <c16:uniqueId val="{00000007-25AE-4BF3-9C3C-F3DC1BD18BAF}"/>
              </c:ext>
            </c:extLst>
          </c:dPt>
          <c:dLbls>
            <c:dLbl>
              <c:idx val="0"/>
              <c:delete val="1"/>
              <c:extLst>
                <c:ext xmlns:c15="http://schemas.microsoft.com/office/drawing/2012/chart" uri="{CE6537A1-D6FC-4f65-9D91-7224C49458BB}"/>
                <c:ext xmlns:c16="http://schemas.microsoft.com/office/drawing/2014/chart" uri="{C3380CC4-5D6E-409C-BE32-E72D297353CC}">
                  <c16:uniqueId val="{00000001-25AE-4BF3-9C3C-F3DC1BD18BAF}"/>
                </c:ext>
              </c:extLst>
            </c:dLbl>
            <c:dLbl>
              <c:idx val="1"/>
              <c:layout>
                <c:manualLayout>
                  <c:x val="0.15788709068193676"/>
                  <c:y val="8.3433124158972707E-2"/>
                </c:manualLayout>
              </c:layout>
              <c:tx>
                <c:rich>
                  <a:bodyPr/>
                  <a:lstStyle/>
                  <a:p>
                    <a:pPr>
                      <a:defRPr lang="en-US" sz="591" b="1" i="0" u="none" strike="noStrike" baseline="0">
                        <a:solidFill>
                          <a:srgbClr val="000000"/>
                        </a:solidFill>
                        <a:latin typeface="Arial"/>
                        <a:ea typeface="Arial"/>
                        <a:cs typeface="Arial"/>
                      </a:defRPr>
                    </a:pPr>
                    <a:r>
                      <a:rPr lang="en-US" sz="814" b="0" i="0" strike="noStrike">
                        <a:solidFill>
                          <a:srgbClr val="000000"/>
                        </a:solidFill>
                        <a:latin typeface="Arial"/>
                        <a:cs typeface="Arial"/>
                      </a:rPr>
                      <a:t>terenuri agricole</a:t>
                    </a:r>
                    <a:endParaRPr lang="en-US" sz="1050" b="0" i="0" strike="noStrike">
                      <a:solidFill>
                        <a:srgbClr val="000000"/>
                      </a:solidFill>
                      <a:latin typeface="Arial"/>
                      <a:cs typeface="Arial"/>
                    </a:endParaRPr>
                  </a:p>
                  <a:p>
                    <a:pPr>
                      <a:defRPr lang="en-US" sz="591" b="1" i="0" u="none" strike="noStrike" baseline="0">
                        <a:solidFill>
                          <a:srgbClr val="000000"/>
                        </a:solidFill>
                        <a:latin typeface="Arial"/>
                        <a:ea typeface="Arial"/>
                        <a:cs typeface="Arial"/>
                      </a:defRPr>
                    </a:pPr>
                    <a:r>
                      <a:rPr lang="en-US" sz="779" b="0" i="0" strike="noStrike">
                        <a:solidFill>
                          <a:srgbClr val="000000"/>
                        </a:solidFill>
                        <a:latin typeface="Arial"/>
                        <a:cs typeface="Arial"/>
                      </a:rPr>
                      <a:t>82,16%</a:t>
                    </a:r>
                  </a:p>
                  <a:p>
                    <a:pPr>
                      <a:defRPr lang="en-US" sz="591" b="1" i="0" u="none" strike="noStrike" baseline="0">
                        <a:solidFill>
                          <a:srgbClr val="000000"/>
                        </a:solidFill>
                        <a:latin typeface="Arial"/>
                        <a:ea typeface="Arial"/>
                        <a:cs typeface="Arial"/>
                      </a:defRPr>
                    </a:pPr>
                    <a:endParaRPr lang="en-US" sz="780" b="0" i="0" strike="noStrike">
                      <a:solidFill>
                        <a:srgbClr val="000000"/>
                      </a:solidFill>
                      <a:latin typeface="Arial"/>
                      <a:cs typeface="Arial"/>
                    </a:endParaRPr>
                  </a:p>
                </c:rich>
              </c:tx>
              <c:spPr>
                <a:solidFill>
                  <a:srgbClr val="FBF3F3"/>
                </a:solidFill>
                <a:ln w="1884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AE-4BF3-9C3C-F3DC1BD18BAF}"/>
                </c:ext>
              </c:extLst>
            </c:dLbl>
            <c:dLbl>
              <c:idx val="2"/>
              <c:layout>
                <c:manualLayout>
                  <c:x val="-0.10856727779876224"/>
                  <c:y val="-0.20347302558744676"/>
                </c:manualLayout>
              </c:layout>
              <c:tx>
                <c:rich>
                  <a:bodyPr/>
                  <a:lstStyle/>
                  <a:p>
                    <a:pPr>
                      <a:defRPr lang="en-US" sz="593" b="1" i="0" u="none" strike="noStrike" baseline="0">
                        <a:solidFill>
                          <a:srgbClr val="000000"/>
                        </a:solidFill>
                        <a:latin typeface="Arial"/>
                        <a:ea typeface="Arial"/>
                        <a:cs typeface="Arial"/>
                      </a:defRPr>
                    </a:pPr>
                    <a:r>
                      <a:rPr lang="en-US" sz="814" b="0" i="0" strike="noStrike">
                        <a:solidFill>
                          <a:srgbClr val="000000"/>
                        </a:solidFill>
                        <a:latin typeface="Arial"/>
                        <a:cs typeface="Arial"/>
                      </a:rPr>
                      <a:t>păduri</a:t>
                    </a:r>
                    <a:endParaRPr lang="en-US" sz="1050" b="0" i="0" strike="noStrike">
                      <a:solidFill>
                        <a:srgbClr val="000000"/>
                      </a:solidFill>
                      <a:latin typeface="Arial"/>
                      <a:cs typeface="Arial"/>
                    </a:endParaRPr>
                  </a:p>
                  <a:p>
                    <a:pPr>
                      <a:defRPr lang="en-US" sz="593" b="1" i="0" u="none" strike="noStrike" baseline="0">
                        <a:solidFill>
                          <a:srgbClr val="000000"/>
                        </a:solidFill>
                        <a:latin typeface="Arial"/>
                        <a:ea typeface="Arial"/>
                        <a:cs typeface="Arial"/>
                      </a:defRPr>
                    </a:pPr>
                    <a:r>
                      <a:rPr lang="en-US" sz="779" b="0" i="0" strike="noStrike">
                        <a:solidFill>
                          <a:srgbClr val="000000"/>
                        </a:solidFill>
                        <a:latin typeface="Arial"/>
                        <a:cs typeface="Arial"/>
                      </a:rPr>
                      <a:t>6,3%</a:t>
                    </a:r>
                  </a:p>
                </c:rich>
              </c:tx>
              <c:spPr>
                <a:solidFill>
                  <a:srgbClr val="FBF3F3"/>
                </a:solidFill>
                <a:ln w="1884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AE-4BF3-9C3C-F3DC1BD18BAF}"/>
                </c:ext>
              </c:extLst>
            </c:dLbl>
            <c:dLbl>
              <c:idx val="3"/>
              <c:layout>
                <c:manualLayout>
                  <c:x val="0.13025218569188651"/>
                  <c:y val="-5.9214977281919032E-2"/>
                </c:manualLayout>
              </c:layout>
              <c:tx>
                <c:rich>
                  <a:bodyPr/>
                  <a:lstStyle/>
                  <a:p>
                    <a:pPr>
                      <a:defRPr lang="en-US" sz="592" b="1" i="0" u="none" strike="noStrike" baseline="0">
                        <a:solidFill>
                          <a:srgbClr val="000000"/>
                        </a:solidFill>
                        <a:latin typeface="Arial"/>
                        <a:ea typeface="Arial"/>
                        <a:cs typeface="Arial"/>
                      </a:defRPr>
                    </a:pPr>
                    <a:r>
                      <a:rPr lang="en-US" sz="814" b="0" i="0" strike="noStrike">
                        <a:solidFill>
                          <a:srgbClr val="000000"/>
                        </a:solidFill>
                        <a:latin typeface="Arial"/>
                        <a:cs typeface="Arial"/>
                      </a:rPr>
                      <a:t>alte terenuri</a:t>
                    </a:r>
                    <a:endParaRPr lang="en-US" sz="1050" b="0" i="0" strike="noStrike">
                      <a:solidFill>
                        <a:srgbClr val="000000"/>
                      </a:solidFill>
                      <a:latin typeface="Arial"/>
                      <a:cs typeface="Arial"/>
                    </a:endParaRPr>
                  </a:p>
                  <a:p>
                    <a:pPr>
                      <a:defRPr lang="en-US" sz="592" b="1" i="0" u="none" strike="noStrike" baseline="0">
                        <a:solidFill>
                          <a:srgbClr val="000000"/>
                        </a:solidFill>
                        <a:latin typeface="Arial"/>
                        <a:ea typeface="Arial"/>
                        <a:cs typeface="Arial"/>
                      </a:defRPr>
                    </a:pPr>
                    <a:r>
                      <a:rPr lang="en-US" sz="779" b="0" i="0" strike="noStrike">
                        <a:solidFill>
                          <a:srgbClr val="000000"/>
                        </a:solidFill>
                        <a:latin typeface="Arial"/>
                        <a:cs typeface="Arial"/>
                      </a:rPr>
                      <a:t>11,89%</a:t>
                    </a:r>
                  </a:p>
                  <a:p>
                    <a:pPr>
                      <a:defRPr lang="en-US" sz="592" b="1" i="0" u="none" strike="noStrike" baseline="0">
                        <a:solidFill>
                          <a:srgbClr val="000000"/>
                        </a:solidFill>
                        <a:latin typeface="Arial"/>
                        <a:ea typeface="Arial"/>
                        <a:cs typeface="Arial"/>
                      </a:defRPr>
                    </a:pPr>
                    <a:endParaRPr lang="en-US" sz="780" b="0" i="0" strike="noStrike">
                      <a:solidFill>
                        <a:srgbClr val="000000"/>
                      </a:solidFill>
                      <a:latin typeface="Arial"/>
                      <a:cs typeface="Arial"/>
                    </a:endParaRPr>
                  </a:p>
                </c:rich>
              </c:tx>
              <c:spPr>
                <a:solidFill>
                  <a:srgbClr val="FBF3F3"/>
                </a:solidFill>
                <a:ln w="1884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AE-4BF3-9C3C-F3DC1BD18BAF}"/>
                </c:ext>
              </c:extLst>
            </c:dLbl>
            <c:dLbl>
              <c:idx val="4"/>
              <c:delete val="1"/>
              <c:extLst>
                <c:ext xmlns:c15="http://schemas.microsoft.com/office/drawing/2012/chart" uri="{CE6537A1-D6FC-4f65-9D91-7224C49458BB}"/>
                <c:ext xmlns:c16="http://schemas.microsoft.com/office/drawing/2014/chart" uri="{C3380CC4-5D6E-409C-BE32-E72D297353CC}">
                  <c16:uniqueId val="{00000008-25AE-4BF3-9C3C-F3DC1BD18BAF}"/>
                </c:ext>
              </c:extLst>
            </c:dLbl>
            <c:dLbl>
              <c:idx val="5"/>
              <c:layout>
                <c:manualLayout>
                  <c:xMode val="edge"/>
                  <c:yMode val="edge"/>
                  <c:x val="0.81796690307328601"/>
                  <c:y val="0.56140350877190237"/>
                </c:manualLayout>
              </c:layout>
              <c:tx>
                <c:rich>
                  <a:bodyPr/>
                  <a:lstStyle/>
                  <a:p>
                    <a:pPr>
                      <a:defRPr lang="en-US" sz="349" b="0" i="1" u="none" strike="noStrike" baseline="0">
                        <a:solidFill>
                          <a:srgbClr val="000000"/>
                        </a:solidFill>
                        <a:latin typeface="Arial"/>
                        <a:ea typeface="Arial"/>
                        <a:cs typeface="Arial"/>
                      </a:defRPr>
                    </a:pPr>
                    <a:r>
                      <a:t>  fâneţe
0,02%</a:t>
                    </a:r>
                  </a:p>
                </c:rich>
              </c:tx>
              <c:numFmt formatCode="0%" sourceLinked="0"/>
              <c:spPr>
                <a:solidFill>
                  <a:srgbClr val="FBF3F3"/>
                </a:solidFill>
                <a:ln w="1884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AE-4BF3-9C3C-F3DC1BD18BAF}"/>
                </c:ext>
              </c:extLst>
            </c:dLbl>
            <c:numFmt formatCode="0%" sourceLinked="0"/>
            <c:spPr>
              <a:solidFill>
                <a:srgbClr val="FBF3F3"/>
              </a:solidFill>
              <a:ln w="18842">
                <a:noFill/>
              </a:ln>
            </c:spPr>
            <c:txPr>
              <a:bodyPr/>
              <a:lstStyle/>
              <a:p>
                <a:pPr>
                  <a:defRPr lang="en-US" sz="779" b="0" i="0" u="none" strike="noStrike" baseline="0">
                    <a:solidFill>
                      <a:srgbClr val="000000"/>
                    </a:solidFill>
                    <a:latin typeface="Arial"/>
                    <a:ea typeface="Arial"/>
                    <a:cs typeface="Arial"/>
                  </a:defRPr>
                </a:pPr>
                <a:endParaRPr lang="ro-RO"/>
              </a:p>
            </c:txPr>
            <c:showLegendKey val="0"/>
            <c:showVal val="0"/>
            <c:showCatName val="1"/>
            <c:showSerName val="0"/>
            <c:showPercent val="1"/>
            <c:showBubbleSize val="0"/>
            <c:showLeaderLines val="1"/>
            <c:leaderLines>
              <c:spPr>
                <a:ln w="9422">
                  <a:solidFill>
                    <a:srgbClr val="000000"/>
                  </a:solidFill>
                  <a:prstDash val="solid"/>
                </a:ln>
              </c:spPr>
            </c:leaderLines>
            <c:extLst>
              <c:ext xmlns:c15="http://schemas.microsoft.com/office/drawing/2012/chart" uri="{CE6537A1-D6FC-4f65-9D91-7224C49458BB}"/>
            </c:extLst>
          </c:dLbls>
          <c:cat>
            <c:strRef>
              <c:f>Sheet1!$B$1:$F$1</c:f>
              <c:strCache>
                <c:ptCount val="4"/>
                <c:pt idx="1">
                  <c:v>agricole</c:v>
                </c:pt>
                <c:pt idx="2">
                  <c:v>paduri</c:v>
                </c:pt>
                <c:pt idx="3">
                  <c:v>alte terenuri</c:v>
                </c:pt>
              </c:strCache>
            </c:strRef>
          </c:cat>
          <c:val>
            <c:numRef>
              <c:f>Sheet1!$B$2:$F$2</c:f>
              <c:numCache>
                <c:formatCode>General</c:formatCode>
                <c:ptCount val="4"/>
                <c:pt idx="1">
                  <c:v>387363</c:v>
                </c:pt>
                <c:pt idx="2">
                  <c:v>28383</c:v>
                </c:pt>
                <c:pt idx="3">
                  <c:v>60830</c:v>
                </c:pt>
              </c:numCache>
            </c:numRef>
          </c:val>
          <c:extLst>
            <c:ext xmlns:c16="http://schemas.microsoft.com/office/drawing/2014/chart" uri="{C3380CC4-5D6E-409C-BE32-E72D297353CC}">
              <c16:uniqueId val="{0000000A-25AE-4BF3-9C3C-F3DC1BD18BAF}"/>
            </c:ext>
          </c:extLst>
        </c:ser>
        <c:dLbls>
          <c:showLegendKey val="0"/>
          <c:showVal val="0"/>
          <c:showCatName val="1"/>
          <c:showSerName val="0"/>
          <c:showPercent val="1"/>
          <c:showBubbleSize val="0"/>
          <c:showLeaderLines val="1"/>
        </c:dLbls>
      </c:pie3DChart>
      <c:spPr>
        <a:solidFill>
          <a:srgbClr val="FBF3F3"/>
        </a:solidFill>
        <a:ln w="18842">
          <a:noFill/>
        </a:ln>
        <a:effectLst>
          <a:outerShdw blurRad="50800" dist="50800" dir="5400000" algn="ctr" rotWithShape="0">
            <a:srgbClr val="FBF3F3"/>
          </a:outerShdw>
        </a:effectLst>
      </c:spPr>
    </c:plotArea>
    <c:plotVisOnly val="1"/>
    <c:dispBlanksAs val="zero"/>
    <c:showDLblsOverMax val="0"/>
  </c:chart>
  <c:spPr>
    <a:solidFill>
      <a:srgbClr val="FBF3F3"/>
    </a:solidFill>
    <a:ln>
      <a:solidFill>
        <a:sysClr val="windowText" lastClr="000000"/>
      </a:solidFill>
    </a:ln>
  </c:spPr>
  <c:txPr>
    <a:bodyPr/>
    <a:lstStyle/>
    <a:p>
      <a:pPr>
        <a:defRPr sz="594" b="1" i="0" u="none" strike="noStrike" baseline="0">
          <a:solidFill>
            <a:srgbClr val="000000"/>
          </a:solidFill>
          <a:latin typeface="Arial"/>
          <a:ea typeface="Arial"/>
          <a:cs typeface="Arial"/>
        </a:defRPr>
      </a:pPr>
      <a:endParaRPr lang="ro-RO"/>
    </a:p>
  </c:txPr>
  <c:externalData r:id="rId2">
    <c:autoUpdate val="0"/>
  </c:externalData>
  <c:userShapes r:id="rId3"/>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0932973618000042"/>
          <c:y val="0.33960018038125789"/>
          <c:w val="0.56457490747160799"/>
          <c:h val="0.60141459331828762"/>
        </c:manualLayout>
      </c:layout>
      <c:pie3DChart>
        <c:varyColors val="1"/>
        <c:ser>
          <c:idx val="0"/>
          <c:order val="0"/>
          <c:tx>
            <c:strRef>
              <c:f>Sheet1!$A$2</c:f>
              <c:strCache>
                <c:ptCount val="1"/>
                <c:pt idx="0">
                  <c:v>387750</c:v>
                </c:pt>
              </c:strCache>
            </c:strRef>
          </c:tx>
          <c:spPr>
            <a:ln w="2165">
              <a:solidFill>
                <a:srgbClr val="000000"/>
              </a:solidFill>
              <a:prstDash val="solid"/>
            </a:ln>
          </c:spPr>
          <c:explosion val="15"/>
          <c:dPt>
            <c:idx val="0"/>
            <c:bubble3D val="0"/>
            <c:spPr>
              <a:solidFill>
                <a:srgbClr val="99CCFF"/>
              </a:solidFill>
              <a:ln w="17318">
                <a:noFill/>
              </a:ln>
            </c:spPr>
            <c:extLst>
              <c:ext xmlns:c16="http://schemas.microsoft.com/office/drawing/2014/chart" uri="{C3380CC4-5D6E-409C-BE32-E72D297353CC}">
                <c16:uniqueId val="{00000001-3D7D-4BFF-99C4-BF17E78E9E19}"/>
              </c:ext>
            </c:extLst>
          </c:dPt>
          <c:dPt>
            <c:idx val="1"/>
            <c:bubble3D val="0"/>
            <c:explosion val="0"/>
            <c:spPr>
              <a:solidFill>
                <a:srgbClr val="99CC00"/>
              </a:solidFill>
              <a:ln w="17318">
                <a:noFill/>
              </a:ln>
            </c:spPr>
            <c:extLst>
              <c:ext xmlns:c16="http://schemas.microsoft.com/office/drawing/2014/chart" uri="{C3380CC4-5D6E-409C-BE32-E72D297353CC}">
                <c16:uniqueId val="{00000003-3D7D-4BFF-99C4-BF17E78E9E19}"/>
              </c:ext>
            </c:extLst>
          </c:dPt>
          <c:dPt>
            <c:idx val="2"/>
            <c:bubble3D val="0"/>
            <c:spPr>
              <a:solidFill>
                <a:srgbClr val="FF9900"/>
              </a:solidFill>
              <a:ln w="17318">
                <a:noFill/>
              </a:ln>
            </c:spPr>
            <c:extLst>
              <c:ext xmlns:c16="http://schemas.microsoft.com/office/drawing/2014/chart" uri="{C3380CC4-5D6E-409C-BE32-E72D297353CC}">
                <c16:uniqueId val="{00000005-3D7D-4BFF-99C4-BF17E78E9E19}"/>
              </c:ext>
            </c:extLst>
          </c:dPt>
          <c:dPt>
            <c:idx val="3"/>
            <c:bubble3D val="0"/>
            <c:explosion val="17"/>
            <c:spPr>
              <a:solidFill>
                <a:srgbClr val="FF0000"/>
              </a:solidFill>
              <a:ln w="17318">
                <a:noFill/>
              </a:ln>
            </c:spPr>
            <c:extLst>
              <c:ext xmlns:c16="http://schemas.microsoft.com/office/drawing/2014/chart" uri="{C3380CC4-5D6E-409C-BE32-E72D297353CC}">
                <c16:uniqueId val="{00000007-3D7D-4BFF-99C4-BF17E78E9E19}"/>
              </c:ext>
            </c:extLst>
          </c:dPt>
          <c:dPt>
            <c:idx val="4"/>
            <c:bubble3D val="0"/>
            <c:spPr>
              <a:solidFill>
                <a:srgbClr val="808000"/>
              </a:solidFill>
              <a:ln w="17318">
                <a:noFill/>
              </a:ln>
            </c:spPr>
            <c:extLst>
              <c:ext xmlns:c16="http://schemas.microsoft.com/office/drawing/2014/chart" uri="{C3380CC4-5D6E-409C-BE32-E72D297353CC}">
                <c16:uniqueId val="{00000009-3D7D-4BFF-99C4-BF17E78E9E19}"/>
              </c:ext>
            </c:extLst>
          </c:dPt>
          <c:dLbls>
            <c:dLbl>
              <c:idx val="0"/>
              <c:delete val="1"/>
              <c:extLst>
                <c:ext xmlns:c15="http://schemas.microsoft.com/office/drawing/2012/chart" uri="{CE6537A1-D6FC-4f65-9D91-7224C49458BB}"/>
                <c:ext xmlns:c16="http://schemas.microsoft.com/office/drawing/2014/chart" uri="{C3380CC4-5D6E-409C-BE32-E72D297353CC}">
                  <c16:uniqueId val="{00000001-3D7D-4BFF-99C4-BF17E78E9E19}"/>
                </c:ext>
              </c:extLst>
            </c:dLbl>
            <c:dLbl>
              <c:idx val="1"/>
              <c:layout>
                <c:manualLayout>
                  <c:x val="0.15929336419155163"/>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89,68%</a:t>
                    </a:r>
                  </a:p>
                </c:rich>
              </c:tx>
              <c:spPr>
                <a:solidFill>
                  <a:srgbClr val="DBE6C4">
                    <a:alpha val="15000"/>
                  </a:srgbClr>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7D-4BFF-99C4-BF17E78E9E19}"/>
                </c:ext>
              </c:extLst>
            </c:dLbl>
            <c:dLbl>
              <c:idx val="2"/>
              <c:layout>
                <c:manualLayout>
                  <c:x val="-0.14784960055584281"/>
                  <c:y val="-4.8417651501412133E-2"/>
                </c:manualLayout>
              </c:layout>
              <c:tx>
                <c:rich>
                  <a:bodyPr/>
                  <a:lstStyle/>
                  <a:p>
                    <a:pPr>
                      <a:defRPr lang="en-US" sz="596" b="1" i="0" u="none" strike="noStrike" baseline="0">
                        <a:solidFill>
                          <a:srgbClr val="000000"/>
                        </a:solidFill>
                        <a:latin typeface="Arial"/>
                        <a:ea typeface="Arial"/>
                        <a:cs typeface="Arial"/>
                      </a:defRPr>
                    </a:pPr>
                    <a:r>
                      <a:rPr lang="en-US" sz="813" b="1" i="0" strike="noStrike">
                        <a:solidFill>
                          <a:srgbClr val="000000"/>
                        </a:solidFill>
                        <a:latin typeface="Arial"/>
                        <a:cs typeface="Arial"/>
                      </a:rPr>
                      <a:t>păşuni</a:t>
                    </a:r>
                  </a:p>
                  <a:p>
                    <a:pPr>
                      <a:defRPr lang="en-US" sz="596" b="1" i="0" u="none" strike="noStrike" baseline="0">
                        <a:solidFill>
                          <a:srgbClr val="000000"/>
                        </a:solidFill>
                        <a:latin typeface="Arial"/>
                        <a:ea typeface="Arial"/>
                        <a:cs typeface="Arial"/>
                      </a:defRPr>
                    </a:pPr>
                    <a:r>
                      <a:rPr lang="en-US" sz="813" b="1" i="0" strike="noStrike">
                        <a:solidFill>
                          <a:srgbClr val="000000"/>
                        </a:solidFill>
                        <a:latin typeface="Arial"/>
                        <a:cs typeface="Arial"/>
                      </a:rPr>
                      <a:t>8,36%</a:t>
                    </a:r>
                  </a:p>
                </c:rich>
              </c:tx>
              <c:spPr>
                <a:solidFill>
                  <a:srgbClr val="DBE6C4">
                    <a:alpha val="15000"/>
                  </a:srgbClr>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7D-4BFF-99C4-BF17E78E9E19}"/>
                </c:ext>
              </c:extLst>
            </c:dLbl>
            <c:dLbl>
              <c:idx val="3"/>
              <c:layout>
                <c:manualLayout>
                  <c:x val="-3.0233806981025565E-2"/>
                  <c:y val="-0.11099900123104089"/>
                </c:manualLayout>
              </c:layout>
              <c:tx>
                <c:rich>
                  <a:bodyPr/>
                  <a:lstStyle/>
                  <a:p>
                    <a:pPr>
                      <a:defRPr lang="en-US" sz="819" b="1" i="0" u="none" strike="noStrike" baseline="0">
                        <a:solidFill>
                          <a:srgbClr val="000000"/>
                        </a:solidFill>
                        <a:latin typeface="Arial"/>
                        <a:ea typeface="Arial"/>
                        <a:cs typeface="Arial"/>
                      </a:defRPr>
                    </a:pPr>
                    <a:r>
                      <a:rPr lang="en-US"/>
                      <a:t>vii
1,72%</a:t>
                    </a:r>
                  </a:p>
                </c:rich>
              </c:tx>
              <c:spPr>
                <a:solidFill>
                  <a:srgbClr val="DBE6C4">
                    <a:alpha val="15000"/>
                  </a:srgbClr>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7D-4BFF-99C4-BF17E78E9E19}"/>
                </c:ext>
              </c:extLst>
            </c:dLbl>
            <c:dLbl>
              <c:idx val="4"/>
              <c:layout>
                <c:manualLayout>
                  <c:x val="0.23703168848107894"/>
                  <c:y val="-7.0654647872656684E-2"/>
                </c:manualLayout>
              </c:layout>
              <c:tx>
                <c:rich>
                  <a:bodyPr/>
                  <a:lstStyle/>
                  <a:p>
                    <a:pPr>
                      <a:defRPr lang="en-US" sz="819" b="1" i="0" u="none" strike="noStrike" baseline="0">
                        <a:solidFill>
                          <a:srgbClr val="000000"/>
                        </a:solidFill>
                        <a:latin typeface="Arial"/>
                        <a:ea typeface="Arial"/>
                        <a:cs typeface="Arial"/>
                      </a:defRPr>
                    </a:pPr>
                    <a:r>
                      <a:rPr lang="en-US"/>
                      <a:t>livezi
0,24%</a:t>
                    </a:r>
                  </a:p>
                </c:rich>
              </c:tx>
              <c:spPr>
                <a:solidFill>
                  <a:srgbClr val="DBE6C4">
                    <a:alpha val="15000"/>
                  </a:srgbClr>
                </a:solidFill>
                <a:ln w="1731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7D-4BFF-99C4-BF17E78E9E19}"/>
                </c:ext>
              </c:extLst>
            </c:dLbl>
            <c:dLbl>
              <c:idx val="5"/>
              <c:delete val="1"/>
              <c:extLst>
                <c:ext xmlns:c15="http://schemas.microsoft.com/office/drawing/2012/chart" uri="{CE6537A1-D6FC-4f65-9D91-7224C49458BB}"/>
                <c:ext xmlns:c16="http://schemas.microsoft.com/office/drawing/2014/chart" uri="{C3380CC4-5D6E-409C-BE32-E72D297353CC}">
                  <c16:uniqueId val="{0000000A-3D7D-4BFF-99C4-BF17E78E9E19}"/>
                </c:ext>
              </c:extLst>
            </c:dLbl>
            <c:numFmt formatCode="0%" sourceLinked="0"/>
            <c:spPr>
              <a:solidFill>
                <a:srgbClr val="DBE6C4">
                  <a:alpha val="15000"/>
                </a:srgbClr>
              </a:solidFill>
              <a:ln w="17318">
                <a:noFill/>
              </a:ln>
            </c:spPr>
            <c:txPr>
              <a:bodyPr/>
              <a:lstStyle/>
              <a:p>
                <a:pPr>
                  <a:defRPr lang="en-US" sz="753" b="1" i="0" u="none" strike="noStrike" baseline="0">
                    <a:solidFill>
                      <a:srgbClr val="000000"/>
                    </a:solidFill>
                    <a:latin typeface="Arial"/>
                    <a:ea typeface="Arial"/>
                    <a:cs typeface="Arial"/>
                  </a:defRPr>
                </a:pPr>
                <a:endParaRPr lang="ro-RO"/>
              </a:p>
            </c:txPr>
            <c:showLegendKey val="0"/>
            <c:showVal val="0"/>
            <c:showCatName val="1"/>
            <c:showSerName val="0"/>
            <c:showPercent val="1"/>
            <c:showBubbleSize val="0"/>
            <c:showLeaderLines val="1"/>
            <c:leaderLines>
              <c:spPr>
                <a:ln w="2165">
                  <a:solidFill>
                    <a:srgbClr val="000000"/>
                  </a:solidFill>
                  <a:prstDash val="solid"/>
                </a:ln>
              </c:spPr>
            </c:leaderLines>
            <c:extLst>
              <c:ext xmlns:c15="http://schemas.microsoft.com/office/drawing/2012/chart" uri="{CE6537A1-D6FC-4f65-9D91-7224C49458BB}"/>
            </c:extLst>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351420</c:v>
                </c:pt>
                <c:pt idx="2">
                  <c:v>31132</c:v>
                </c:pt>
                <c:pt idx="3">
                  <c:v>4560</c:v>
                </c:pt>
                <c:pt idx="4">
                  <c:v>638</c:v>
                </c:pt>
              </c:numCache>
            </c:numRef>
          </c:val>
          <c:extLst>
            <c:ext xmlns:c16="http://schemas.microsoft.com/office/drawing/2014/chart" uri="{C3380CC4-5D6E-409C-BE32-E72D297353CC}">
              <c16:uniqueId val="{0000000B-3D7D-4BFF-99C4-BF17E78E9E19}"/>
            </c:ext>
          </c:extLst>
        </c:ser>
        <c:dLbls>
          <c:showLegendKey val="0"/>
          <c:showVal val="0"/>
          <c:showCatName val="1"/>
          <c:showSerName val="0"/>
          <c:showPercent val="1"/>
          <c:showBubbleSize val="0"/>
          <c:showLeaderLines val="1"/>
        </c:dLbls>
      </c:pie3DChart>
      <c:spPr>
        <a:solidFill>
          <a:srgbClr val="DBE6C4"/>
        </a:solidFill>
        <a:ln w="17318">
          <a:noFill/>
        </a:ln>
      </c:spPr>
    </c:plotArea>
    <c:plotVisOnly val="1"/>
    <c:dispBlanksAs val="zero"/>
    <c:showDLblsOverMax val="0"/>
  </c:chart>
  <c:spPr>
    <a:solidFill>
      <a:srgbClr val="DBE6C4">
        <a:alpha val="46000"/>
      </a:srgbClr>
    </a:solidFill>
    <a:ln>
      <a:solidFill>
        <a:sysClr val="windowText" lastClr="000000"/>
      </a:solidFill>
    </a:ln>
  </c:spPr>
  <c:txPr>
    <a:bodyPr/>
    <a:lstStyle/>
    <a:p>
      <a:pPr>
        <a:defRPr sz="598" b="1" i="0" u="none" strike="noStrike" baseline="0">
          <a:solidFill>
            <a:srgbClr val="000000"/>
          </a:solidFill>
          <a:latin typeface="Arial"/>
          <a:ea typeface="Arial"/>
          <a:cs typeface="Arial"/>
        </a:defRPr>
      </a:pPr>
      <a:endParaRPr lang="ro-RO"/>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978954913334187E-2"/>
          <c:y val="4.779349705820226E-2"/>
          <c:w val="0.60899322192241967"/>
          <c:h val="0.70639481478420063"/>
        </c:manualLayout>
      </c:layout>
      <c:barChart>
        <c:barDir val="col"/>
        <c:grouping val="clustered"/>
        <c:varyColors val="0"/>
        <c:ser>
          <c:idx val="0"/>
          <c:order val="0"/>
          <c:tx>
            <c:strRef>
              <c:f>Sheet1!$B$1</c:f>
              <c:strCache>
                <c:ptCount val="1"/>
                <c:pt idx="0">
                  <c:v>Terenuri agricole</c:v>
                </c:pt>
              </c:strCache>
            </c:strRef>
          </c:tx>
          <c:spPr>
            <a:solidFill>
              <a:srgbClr val="C00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General</c:formatCode>
                <c:ptCount val="1"/>
                <c:pt idx="0">
                  <c:v>2544</c:v>
                </c:pt>
              </c:numCache>
            </c:numRef>
          </c:val>
          <c:extLst>
            <c:ext xmlns:c16="http://schemas.microsoft.com/office/drawing/2014/chart" uri="{C3380CC4-5D6E-409C-BE32-E72D297353CC}">
              <c16:uniqueId val="{00000000-2656-4E31-A49B-ED88D32CEA7F}"/>
            </c:ext>
          </c:extLst>
        </c:ser>
        <c:ser>
          <c:idx val="1"/>
          <c:order val="1"/>
          <c:tx>
            <c:strRef>
              <c:f>Sheet1!$C$1</c:f>
              <c:strCache>
                <c:ptCount val="1"/>
                <c:pt idx="0">
                  <c:v>Păduri</c:v>
                </c:pt>
              </c:strCache>
            </c:strRef>
          </c:tx>
          <c:spPr>
            <a:solidFill>
              <a:srgbClr val="00B05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General</c:formatCode>
                <c:ptCount val="1"/>
                <c:pt idx="0">
                  <c:v>1664</c:v>
                </c:pt>
              </c:numCache>
            </c:numRef>
          </c:val>
          <c:extLst>
            <c:ext xmlns:c16="http://schemas.microsoft.com/office/drawing/2014/chart" uri="{C3380CC4-5D6E-409C-BE32-E72D297353CC}">
              <c16:uniqueId val="{00000001-2656-4E31-A49B-ED88D32CEA7F}"/>
            </c:ext>
          </c:extLst>
        </c:ser>
        <c:ser>
          <c:idx val="2"/>
          <c:order val="2"/>
          <c:tx>
            <c:strRef>
              <c:f>Sheet1!$D$1</c:f>
              <c:strCache>
                <c:ptCount val="1"/>
                <c:pt idx="0">
                  <c:v>Ape</c:v>
                </c:pt>
              </c:strCache>
            </c:strRef>
          </c:tx>
          <c:spPr>
            <a:solidFill>
              <a:schemeClr val="accent1"/>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General</c:formatCode>
                <c:ptCount val="1"/>
                <c:pt idx="0">
                  <c:v>-4255</c:v>
                </c:pt>
              </c:numCache>
            </c:numRef>
          </c:val>
          <c:extLst>
            <c:ext xmlns:c16="http://schemas.microsoft.com/office/drawing/2014/chart" uri="{C3380CC4-5D6E-409C-BE32-E72D297353CC}">
              <c16:uniqueId val="{00000002-2656-4E31-A49B-ED88D32CEA7F}"/>
            </c:ext>
          </c:extLst>
        </c:ser>
        <c:ser>
          <c:idx val="3"/>
          <c:order val="3"/>
          <c:tx>
            <c:strRef>
              <c:f>Sheet1!$E$1</c:f>
              <c:strCache>
                <c:ptCount val="1"/>
                <c:pt idx="0">
                  <c:v>Drumuri și căi ferate</c:v>
                </c:pt>
              </c:strCache>
            </c:strRef>
          </c:tx>
          <c:spPr>
            <a:solidFill>
              <a:srgbClr val="FFC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General</c:formatCode>
                <c:ptCount val="1"/>
                <c:pt idx="0">
                  <c:v>-451</c:v>
                </c:pt>
              </c:numCache>
            </c:numRef>
          </c:val>
          <c:extLst>
            <c:ext xmlns:c16="http://schemas.microsoft.com/office/drawing/2014/chart" uri="{C3380CC4-5D6E-409C-BE32-E72D297353CC}">
              <c16:uniqueId val="{00000003-2656-4E31-A49B-ED88D32CEA7F}"/>
            </c:ext>
          </c:extLst>
        </c:ser>
        <c:ser>
          <c:idx val="4"/>
          <c:order val="4"/>
          <c:tx>
            <c:strRef>
              <c:f>Sheet1!$F$1</c:f>
              <c:strCache>
                <c:ptCount val="1"/>
                <c:pt idx="0">
                  <c:v>Curți și construcții</c:v>
                </c:pt>
              </c:strCache>
            </c:strRef>
          </c:tx>
          <c:spPr>
            <a:solidFill>
              <a:schemeClr val="accent2">
                <a:lumMod val="60000"/>
                <a:lumOff val="40000"/>
              </a:schemeClr>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Sheet1!$F$2</c:f>
              <c:numCache>
                <c:formatCode>General</c:formatCode>
                <c:ptCount val="1"/>
                <c:pt idx="0">
                  <c:v>1036</c:v>
                </c:pt>
              </c:numCache>
            </c:numRef>
          </c:val>
          <c:extLst>
            <c:ext xmlns:c16="http://schemas.microsoft.com/office/drawing/2014/chart" uri="{C3380CC4-5D6E-409C-BE32-E72D297353CC}">
              <c16:uniqueId val="{00000004-2656-4E31-A49B-ED88D32CEA7F}"/>
            </c:ext>
          </c:extLst>
        </c:ser>
        <c:ser>
          <c:idx val="5"/>
          <c:order val="5"/>
          <c:tx>
            <c:strRef>
              <c:f>Sheet1!$G$1</c:f>
              <c:strCache>
                <c:ptCount val="1"/>
                <c:pt idx="0">
                  <c:v>Terenuri neproductive</c:v>
                </c:pt>
              </c:strCache>
            </c:strRef>
          </c:tx>
          <c:spPr>
            <a:solidFill>
              <a:srgbClr val="FF0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Sheet1!$G$2</c:f>
              <c:numCache>
                <c:formatCode>General</c:formatCode>
                <c:ptCount val="1"/>
                <c:pt idx="0">
                  <c:v>-542</c:v>
                </c:pt>
              </c:numCache>
            </c:numRef>
          </c:val>
          <c:extLst>
            <c:ext xmlns:c16="http://schemas.microsoft.com/office/drawing/2014/chart" uri="{C3380CC4-5D6E-409C-BE32-E72D297353CC}">
              <c16:uniqueId val="{00000005-2656-4E31-A49B-ED88D32CEA7F}"/>
            </c:ext>
          </c:extLst>
        </c:ser>
        <c:dLbls>
          <c:showLegendKey val="0"/>
          <c:showVal val="0"/>
          <c:showCatName val="0"/>
          <c:showSerName val="0"/>
          <c:showPercent val="0"/>
          <c:showBubbleSize val="0"/>
        </c:dLbls>
        <c:gapWidth val="150"/>
        <c:axId val="244563328"/>
        <c:axId val="244741248"/>
      </c:barChart>
      <c:catAx>
        <c:axId val="244563328"/>
        <c:scaling>
          <c:orientation val="minMax"/>
        </c:scaling>
        <c:delete val="0"/>
        <c:axPos val="b"/>
        <c:numFmt formatCode="General" sourceLinked="1"/>
        <c:majorTickMark val="out"/>
        <c:minorTickMark val="none"/>
        <c:tickLblPos val="nextTo"/>
        <c:txPr>
          <a:bodyPr/>
          <a:lstStyle/>
          <a:p>
            <a:pPr>
              <a:defRPr lang="en-US"/>
            </a:pPr>
            <a:endParaRPr lang="ro-RO"/>
          </a:p>
        </c:txPr>
        <c:crossAx val="244741248"/>
        <c:crosses val="autoZero"/>
        <c:auto val="1"/>
        <c:lblAlgn val="ctr"/>
        <c:lblOffset val="100"/>
        <c:noMultiLvlLbl val="0"/>
      </c:catAx>
      <c:valAx>
        <c:axId val="244741248"/>
        <c:scaling>
          <c:orientation val="minMax"/>
        </c:scaling>
        <c:delete val="0"/>
        <c:axPos val="l"/>
        <c:majorGridlines/>
        <c:numFmt formatCode="General" sourceLinked="1"/>
        <c:majorTickMark val="out"/>
        <c:minorTickMark val="none"/>
        <c:tickLblPos val="nextTo"/>
        <c:txPr>
          <a:bodyPr/>
          <a:lstStyle/>
          <a:p>
            <a:pPr>
              <a:defRPr lang="en-US"/>
            </a:pPr>
            <a:endParaRPr lang="ro-RO"/>
          </a:p>
        </c:txPr>
        <c:crossAx val="244563328"/>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6053"/>
          <c:y val="0.13508960492007155"/>
          <c:w val="0.22436446437288271"/>
          <c:h val="0.78201384462594259"/>
        </c:manualLayout>
      </c:layout>
      <c:overlay val="0"/>
      <c:txPr>
        <a:bodyPr/>
        <a:lstStyle/>
        <a:p>
          <a:pPr>
            <a:defRPr lang="en-US"/>
          </a:pPr>
          <a:endParaRPr lang="ro-RO"/>
        </a:p>
      </c:txPr>
    </c:legend>
    <c:plotVisOnly val="1"/>
    <c:dispBlanksAs val="gap"/>
    <c:showDLblsOverMax val="0"/>
  </c:chart>
  <c:spPr>
    <a:solidFill>
      <a:srgbClr val="DBE6C4">
        <a:alpha val="50000"/>
      </a:srgbClr>
    </a:solidFill>
  </c:sp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978954913334187E-2"/>
          <c:y val="4.7793497058202322E-2"/>
          <c:w val="0.60899322192241967"/>
          <c:h val="0.88921965251130564"/>
        </c:manualLayout>
      </c:layout>
      <c:barChart>
        <c:barDir val="col"/>
        <c:grouping val="clustered"/>
        <c:varyColors val="0"/>
        <c:ser>
          <c:idx val="0"/>
          <c:order val="0"/>
          <c:tx>
            <c:strRef>
              <c:f>Sheet1!$B$1</c:f>
              <c:strCache>
                <c:ptCount val="1"/>
                <c:pt idx="0">
                  <c:v>Terenuri agricole</c:v>
                </c:pt>
              </c:strCache>
            </c:strRef>
          </c:tx>
          <c:spPr>
            <a:solidFill>
              <a:srgbClr val="C00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General</c:formatCode>
                <c:ptCount val="1"/>
                <c:pt idx="0">
                  <c:v>0.65000000000000802</c:v>
                </c:pt>
              </c:numCache>
            </c:numRef>
          </c:val>
          <c:extLst>
            <c:ext xmlns:c16="http://schemas.microsoft.com/office/drawing/2014/chart" uri="{C3380CC4-5D6E-409C-BE32-E72D297353CC}">
              <c16:uniqueId val="{00000000-D4DD-4B0C-939C-0D00E79F0C22}"/>
            </c:ext>
          </c:extLst>
        </c:ser>
        <c:ser>
          <c:idx val="1"/>
          <c:order val="1"/>
          <c:tx>
            <c:strRef>
              <c:f>Sheet1!$C$1</c:f>
              <c:strCache>
                <c:ptCount val="1"/>
                <c:pt idx="0">
                  <c:v>Păduri</c:v>
                </c:pt>
              </c:strCache>
            </c:strRef>
          </c:tx>
          <c:spPr>
            <a:solidFill>
              <a:srgbClr val="00B05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General</c:formatCode>
                <c:ptCount val="1"/>
                <c:pt idx="0">
                  <c:v>5.8599999999999985</c:v>
                </c:pt>
              </c:numCache>
            </c:numRef>
          </c:val>
          <c:extLst>
            <c:ext xmlns:c16="http://schemas.microsoft.com/office/drawing/2014/chart" uri="{C3380CC4-5D6E-409C-BE32-E72D297353CC}">
              <c16:uniqueId val="{00000001-D4DD-4B0C-939C-0D00E79F0C22}"/>
            </c:ext>
          </c:extLst>
        </c:ser>
        <c:ser>
          <c:idx val="2"/>
          <c:order val="2"/>
          <c:tx>
            <c:strRef>
              <c:f>Sheet1!$D$1</c:f>
              <c:strCache>
                <c:ptCount val="1"/>
                <c:pt idx="0">
                  <c:v>Ape</c:v>
                </c:pt>
              </c:strCache>
            </c:strRef>
          </c:tx>
          <c:spPr>
            <a:solidFill>
              <a:schemeClr val="accent1"/>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General</c:formatCode>
                <c:ptCount val="1"/>
                <c:pt idx="0">
                  <c:v>-13.860000000000024</c:v>
                </c:pt>
              </c:numCache>
            </c:numRef>
          </c:val>
          <c:extLst>
            <c:ext xmlns:c16="http://schemas.microsoft.com/office/drawing/2014/chart" uri="{C3380CC4-5D6E-409C-BE32-E72D297353CC}">
              <c16:uniqueId val="{00000002-D4DD-4B0C-939C-0D00E79F0C22}"/>
            </c:ext>
          </c:extLst>
        </c:ser>
        <c:ser>
          <c:idx val="3"/>
          <c:order val="3"/>
          <c:tx>
            <c:strRef>
              <c:f>Sheet1!$E$1</c:f>
              <c:strCache>
                <c:ptCount val="1"/>
                <c:pt idx="0">
                  <c:v>Drumuri și căi ferate</c:v>
                </c:pt>
              </c:strCache>
            </c:strRef>
          </c:tx>
          <c:spPr>
            <a:solidFill>
              <a:srgbClr val="FFC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General</c:formatCode>
                <c:ptCount val="1"/>
                <c:pt idx="0">
                  <c:v>-5.25</c:v>
                </c:pt>
              </c:numCache>
            </c:numRef>
          </c:val>
          <c:extLst>
            <c:ext xmlns:c16="http://schemas.microsoft.com/office/drawing/2014/chart" uri="{C3380CC4-5D6E-409C-BE32-E72D297353CC}">
              <c16:uniqueId val="{00000003-D4DD-4B0C-939C-0D00E79F0C22}"/>
            </c:ext>
          </c:extLst>
        </c:ser>
        <c:ser>
          <c:idx val="4"/>
          <c:order val="4"/>
          <c:tx>
            <c:strRef>
              <c:f>Sheet1!$F$1</c:f>
              <c:strCache>
                <c:ptCount val="1"/>
                <c:pt idx="0">
                  <c:v>Curți și construcții</c:v>
                </c:pt>
              </c:strCache>
            </c:strRef>
          </c:tx>
          <c:spPr>
            <a:solidFill>
              <a:schemeClr val="accent2">
                <a:lumMod val="60000"/>
                <a:lumOff val="40000"/>
              </a:schemeClr>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Sheet1!$F$2</c:f>
              <c:numCache>
                <c:formatCode>General</c:formatCode>
                <c:ptCount val="1"/>
                <c:pt idx="0">
                  <c:v>7.9300000000000024</c:v>
                </c:pt>
              </c:numCache>
            </c:numRef>
          </c:val>
          <c:extLst>
            <c:ext xmlns:c16="http://schemas.microsoft.com/office/drawing/2014/chart" uri="{C3380CC4-5D6E-409C-BE32-E72D297353CC}">
              <c16:uniqueId val="{00000004-D4DD-4B0C-939C-0D00E79F0C22}"/>
            </c:ext>
          </c:extLst>
        </c:ser>
        <c:ser>
          <c:idx val="5"/>
          <c:order val="5"/>
          <c:tx>
            <c:strRef>
              <c:f>Sheet1!$G$1</c:f>
              <c:strCache>
                <c:ptCount val="1"/>
                <c:pt idx="0">
                  <c:v>Terenuri neproductive</c:v>
                </c:pt>
              </c:strCache>
            </c:strRef>
          </c:tx>
          <c:spPr>
            <a:solidFill>
              <a:srgbClr val="FF0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Sheet1!$G$2</c:f>
              <c:numCache>
                <c:formatCode>General</c:formatCode>
                <c:ptCount val="1"/>
                <c:pt idx="0">
                  <c:v>-6.3599999999999985</c:v>
                </c:pt>
              </c:numCache>
            </c:numRef>
          </c:val>
          <c:extLst>
            <c:ext xmlns:c16="http://schemas.microsoft.com/office/drawing/2014/chart" uri="{C3380CC4-5D6E-409C-BE32-E72D297353CC}">
              <c16:uniqueId val="{00000005-D4DD-4B0C-939C-0D00E79F0C22}"/>
            </c:ext>
          </c:extLst>
        </c:ser>
        <c:dLbls>
          <c:showLegendKey val="0"/>
          <c:showVal val="0"/>
          <c:showCatName val="0"/>
          <c:showSerName val="0"/>
          <c:showPercent val="0"/>
          <c:showBubbleSize val="0"/>
        </c:dLbls>
        <c:gapWidth val="150"/>
        <c:axId val="244851456"/>
        <c:axId val="244852992"/>
      </c:barChart>
      <c:catAx>
        <c:axId val="244851456"/>
        <c:scaling>
          <c:orientation val="minMax"/>
        </c:scaling>
        <c:delete val="0"/>
        <c:axPos val="b"/>
        <c:numFmt formatCode="General" sourceLinked="1"/>
        <c:majorTickMark val="out"/>
        <c:minorTickMark val="none"/>
        <c:tickLblPos val="nextTo"/>
        <c:txPr>
          <a:bodyPr/>
          <a:lstStyle/>
          <a:p>
            <a:pPr>
              <a:defRPr lang="en-US"/>
            </a:pPr>
            <a:endParaRPr lang="ro-RO"/>
          </a:p>
        </c:txPr>
        <c:crossAx val="244852992"/>
        <c:crosses val="autoZero"/>
        <c:auto val="1"/>
        <c:lblAlgn val="ctr"/>
        <c:lblOffset val="100"/>
        <c:noMultiLvlLbl val="0"/>
      </c:catAx>
      <c:valAx>
        <c:axId val="244852992"/>
        <c:scaling>
          <c:orientation val="minMax"/>
        </c:scaling>
        <c:delete val="0"/>
        <c:axPos val="l"/>
        <c:majorGridlines/>
        <c:numFmt formatCode="General" sourceLinked="1"/>
        <c:majorTickMark val="out"/>
        <c:minorTickMark val="none"/>
        <c:tickLblPos val="nextTo"/>
        <c:txPr>
          <a:bodyPr/>
          <a:lstStyle/>
          <a:p>
            <a:pPr>
              <a:defRPr lang="en-US"/>
            </a:pPr>
            <a:endParaRPr lang="ro-RO"/>
          </a:p>
        </c:txPr>
        <c:crossAx val="244851456"/>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6086"/>
          <c:y val="0.13508960492007155"/>
          <c:w val="0.22436446437288271"/>
          <c:h val="0.78174576265410034"/>
        </c:manualLayout>
      </c:layout>
      <c:overlay val="0"/>
      <c:txPr>
        <a:bodyPr/>
        <a:lstStyle/>
        <a:p>
          <a:pPr>
            <a:defRPr lang="en-US"/>
          </a:pPr>
          <a:endParaRPr lang="ro-RO"/>
        </a:p>
      </c:txPr>
    </c:legend>
    <c:plotVisOnly val="1"/>
    <c:dispBlanksAs val="gap"/>
    <c:showDLblsOverMax val="0"/>
  </c:chart>
  <c:spPr>
    <a:solidFill>
      <a:srgbClr val="DBE6C4">
        <a:alpha val="47000"/>
      </a:srgbClr>
    </a:solidFill>
  </c:sp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764237778525147E-2"/>
          <c:y val="5.5461317785157796E-2"/>
          <c:w val="0.40607103548460932"/>
          <c:h val="0.89877106476948465"/>
        </c:manualLayout>
      </c:layout>
      <c:barChart>
        <c:barDir val="col"/>
        <c:grouping val="clustered"/>
        <c:varyColors val="0"/>
        <c:ser>
          <c:idx val="0"/>
          <c:order val="0"/>
          <c:tx>
            <c:strRef>
              <c:f>Sheet1!$B$1</c:f>
              <c:strCache>
                <c:ptCount val="1"/>
                <c:pt idx="0">
                  <c:v>Teren arabil</c:v>
                </c:pt>
              </c:strCache>
            </c:strRef>
          </c:tx>
          <c:spPr>
            <a:solidFill>
              <a:srgbClr val="C00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General</c:formatCode>
                <c:ptCount val="1"/>
                <c:pt idx="0">
                  <c:v>2544</c:v>
                </c:pt>
              </c:numCache>
            </c:numRef>
          </c:val>
          <c:extLst>
            <c:ext xmlns:c16="http://schemas.microsoft.com/office/drawing/2014/chart" uri="{C3380CC4-5D6E-409C-BE32-E72D297353CC}">
              <c16:uniqueId val="{00000000-E1E7-4E1C-B570-C0F6E3DC7D16}"/>
            </c:ext>
          </c:extLst>
        </c:ser>
        <c:ser>
          <c:idx val="1"/>
          <c:order val="1"/>
          <c:tx>
            <c:strRef>
              <c:f>Sheet1!$C$1</c:f>
              <c:strCache>
                <c:ptCount val="1"/>
                <c:pt idx="0">
                  <c:v>Pășuni</c:v>
                </c:pt>
              </c:strCache>
            </c:strRef>
          </c:tx>
          <c:spPr>
            <a:solidFill>
              <a:srgbClr val="00B05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General</c:formatCode>
                <c:ptCount val="1"/>
                <c:pt idx="0">
                  <c:v>1418</c:v>
                </c:pt>
              </c:numCache>
            </c:numRef>
          </c:val>
          <c:extLst>
            <c:ext xmlns:c16="http://schemas.microsoft.com/office/drawing/2014/chart" uri="{C3380CC4-5D6E-409C-BE32-E72D297353CC}">
              <c16:uniqueId val="{00000001-E1E7-4E1C-B570-C0F6E3DC7D16}"/>
            </c:ext>
          </c:extLst>
        </c:ser>
        <c:ser>
          <c:idx val="2"/>
          <c:order val="2"/>
          <c:tx>
            <c:strRef>
              <c:f>Sheet1!$D$1</c:f>
              <c:strCache>
                <c:ptCount val="1"/>
                <c:pt idx="0">
                  <c:v>Vii</c:v>
                </c:pt>
              </c:strCache>
            </c:strRef>
          </c:tx>
          <c:spPr>
            <a:solidFill>
              <a:schemeClr val="accent1"/>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General</c:formatCode>
                <c:ptCount val="1"/>
                <c:pt idx="0">
                  <c:v>-242</c:v>
                </c:pt>
              </c:numCache>
            </c:numRef>
          </c:val>
          <c:extLst>
            <c:ext xmlns:c16="http://schemas.microsoft.com/office/drawing/2014/chart" uri="{C3380CC4-5D6E-409C-BE32-E72D297353CC}">
              <c16:uniqueId val="{00000002-E1E7-4E1C-B570-C0F6E3DC7D16}"/>
            </c:ext>
          </c:extLst>
        </c:ser>
        <c:ser>
          <c:idx val="3"/>
          <c:order val="3"/>
          <c:tx>
            <c:strRef>
              <c:f>Sheet1!$E$1</c:f>
              <c:strCache>
                <c:ptCount val="1"/>
                <c:pt idx="0">
                  <c:v>Livezi</c:v>
                </c:pt>
              </c:strCache>
            </c:strRef>
          </c:tx>
          <c:spPr>
            <a:solidFill>
              <a:srgbClr val="FFC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General</c:formatCode>
                <c:ptCount val="1"/>
                <c:pt idx="0">
                  <c:v>-33</c:v>
                </c:pt>
              </c:numCache>
            </c:numRef>
          </c:val>
          <c:extLst>
            <c:ext xmlns:c16="http://schemas.microsoft.com/office/drawing/2014/chart" uri="{C3380CC4-5D6E-409C-BE32-E72D297353CC}">
              <c16:uniqueId val="{00000003-E1E7-4E1C-B570-C0F6E3DC7D16}"/>
            </c:ext>
          </c:extLst>
        </c:ser>
        <c:dLbls>
          <c:showLegendKey val="0"/>
          <c:showVal val="0"/>
          <c:showCatName val="0"/>
          <c:showSerName val="0"/>
          <c:showPercent val="0"/>
          <c:showBubbleSize val="0"/>
        </c:dLbls>
        <c:gapWidth val="150"/>
        <c:axId val="244902912"/>
        <c:axId val="245912320"/>
      </c:barChart>
      <c:catAx>
        <c:axId val="244902912"/>
        <c:scaling>
          <c:orientation val="minMax"/>
        </c:scaling>
        <c:delete val="0"/>
        <c:axPos val="b"/>
        <c:numFmt formatCode="General" sourceLinked="1"/>
        <c:majorTickMark val="out"/>
        <c:minorTickMark val="none"/>
        <c:tickLblPos val="nextTo"/>
        <c:txPr>
          <a:bodyPr/>
          <a:lstStyle/>
          <a:p>
            <a:pPr>
              <a:defRPr lang="en-US"/>
            </a:pPr>
            <a:endParaRPr lang="ro-RO"/>
          </a:p>
        </c:txPr>
        <c:crossAx val="245912320"/>
        <c:crosses val="autoZero"/>
        <c:auto val="1"/>
        <c:lblAlgn val="ctr"/>
        <c:lblOffset val="100"/>
        <c:noMultiLvlLbl val="0"/>
      </c:catAx>
      <c:valAx>
        <c:axId val="245912320"/>
        <c:scaling>
          <c:orientation val="minMax"/>
        </c:scaling>
        <c:delete val="0"/>
        <c:axPos val="l"/>
        <c:majorGridlines/>
        <c:numFmt formatCode="General" sourceLinked="1"/>
        <c:majorTickMark val="out"/>
        <c:minorTickMark val="none"/>
        <c:tickLblPos val="nextTo"/>
        <c:txPr>
          <a:bodyPr/>
          <a:lstStyle/>
          <a:p>
            <a:pPr>
              <a:defRPr lang="en-US"/>
            </a:pPr>
            <a:endParaRPr lang="ro-RO"/>
          </a:p>
        </c:txPr>
        <c:crossAx val="244902912"/>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3"/>
        <c:txPr>
          <a:bodyPr/>
          <a:lstStyle/>
          <a:p>
            <a:pPr>
              <a:defRPr sz="1100"/>
            </a:pPr>
            <a:endParaRPr lang="ro-RO"/>
          </a:p>
        </c:txPr>
      </c:legendEntry>
      <c:layout>
        <c:manualLayout>
          <c:xMode val="edge"/>
          <c:yMode val="edge"/>
          <c:x val="0.74164164131630717"/>
          <c:y val="0.22684781283327871"/>
          <c:w val="0.23265403010651245"/>
          <c:h val="0.41268678632212241"/>
        </c:manualLayout>
      </c:layout>
      <c:overlay val="0"/>
      <c:txPr>
        <a:bodyPr/>
        <a:lstStyle/>
        <a:p>
          <a:pPr>
            <a:defRPr lang="en-US"/>
          </a:pPr>
          <a:endParaRPr lang="ro-RO"/>
        </a:p>
      </c:txPr>
    </c:legend>
    <c:plotVisOnly val="1"/>
    <c:dispBlanksAs val="gap"/>
    <c:showDLblsOverMax val="0"/>
  </c:chart>
  <c:spPr>
    <a:solidFill>
      <a:srgbClr val="DBE6C4">
        <a:alpha val="50000"/>
      </a:srgbClr>
    </a:solidFill>
  </c:sp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764237778525147E-2"/>
          <c:y val="5.5461317785157796E-2"/>
          <c:w val="0.41962785554014481"/>
          <c:h val="0.89877106476948465"/>
        </c:manualLayout>
      </c:layout>
      <c:barChart>
        <c:barDir val="col"/>
        <c:grouping val="clustered"/>
        <c:varyColors val="0"/>
        <c:ser>
          <c:idx val="0"/>
          <c:order val="0"/>
          <c:tx>
            <c:strRef>
              <c:f>Sheet1!$B$1</c:f>
              <c:strCache>
                <c:ptCount val="1"/>
                <c:pt idx="0">
                  <c:v>Teren arabil</c:v>
                </c:pt>
              </c:strCache>
            </c:strRef>
          </c:tx>
          <c:spPr>
            <a:solidFill>
              <a:srgbClr val="C00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0.00%</c:formatCode>
                <c:ptCount val="1"/>
                <c:pt idx="0">
                  <c:v>3.8000000000000052E-3</c:v>
                </c:pt>
              </c:numCache>
            </c:numRef>
          </c:val>
          <c:extLst>
            <c:ext xmlns:c16="http://schemas.microsoft.com/office/drawing/2014/chart" uri="{C3380CC4-5D6E-409C-BE32-E72D297353CC}">
              <c16:uniqueId val="{00000000-67E9-42DF-8C2A-0A43F0D5BD0B}"/>
            </c:ext>
          </c:extLst>
        </c:ser>
        <c:ser>
          <c:idx val="1"/>
          <c:order val="1"/>
          <c:tx>
            <c:strRef>
              <c:f>Sheet1!$C$1</c:f>
              <c:strCache>
                <c:ptCount val="1"/>
                <c:pt idx="0">
                  <c:v>Pășuni</c:v>
                </c:pt>
              </c:strCache>
            </c:strRef>
          </c:tx>
          <c:spPr>
            <a:solidFill>
              <a:srgbClr val="00B05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0.00%</c:formatCode>
                <c:ptCount val="1"/>
                <c:pt idx="0">
                  <c:v>-4.4600000000000022E-2</c:v>
                </c:pt>
              </c:numCache>
            </c:numRef>
          </c:val>
          <c:extLst>
            <c:ext xmlns:c16="http://schemas.microsoft.com/office/drawing/2014/chart" uri="{C3380CC4-5D6E-409C-BE32-E72D297353CC}">
              <c16:uniqueId val="{00000001-67E9-42DF-8C2A-0A43F0D5BD0B}"/>
            </c:ext>
          </c:extLst>
        </c:ser>
        <c:ser>
          <c:idx val="2"/>
          <c:order val="2"/>
          <c:tx>
            <c:strRef>
              <c:f>Sheet1!$D$1</c:f>
              <c:strCache>
                <c:ptCount val="1"/>
                <c:pt idx="0">
                  <c:v>Vii</c:v>
                </c:pt>
              </c:strCache>
            </c:strRef>
          </c:tx>
          <c:spPr>
            <a:solidFill>
              <a:schemeClr val="accent1"/>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0.00%</c:formatCode>
                <c:ptCount val="1"/>
                <c:pt idx="0">
                  <c:v>5.3400000000000003E-2</c:v>
                </c:pt>
              </c:numCache>
            </c:numRef>
          </c:val>
          <c:extLst>
            <c:ext xmlns:c16="http://schemas.microsoft.com/office/drawing/2014/chart" uri="{C3380CC4-5D6E-409C-BE32-E72D297353CC}">
              <c16:uniqueId val="{00000002-67E9-42DF-8C2A-0A43F0D5BD0B}"/>
            </c:ext>
          </c:extLst>
        </c:ser>
        <c:ser>
          <c:idx val="3"/>
          <c:order val="3"/>
          <c:tx>
            <c:strRef>
              <c:f>Sheet1!$E$1</c:f>
              <c:strCache>
                <c:ptCount val="1"/>
                <c:pt idx="0">
                  <c:v>Livezi</c:v>
                </c:pt>
              </c:strCache>
            </c:strRef>
          </c:tx>
          <c:spPr>
            <a:solidFill>
              <a:srgbClr val="FFC000"/>
            </a:solidFill>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0.00%</c:formatCode>
                <c:ptCount val="1"/>
                <c:pt idx="0">
                  <c:v>-5.0400000000000014E-2</c:v>
                </c:pt>
              </c:numCache>
            </c:numRef>
          </c:val>
          <c:extLst>
            <c:ext xmlns:c16="http://schemas.microsoft.com/office/drawing/2014/chart" uri="{C3380CC4-5D6E-409C-BE32-E72D297353CC}">
              <c16:uniqueId val="{00000003-67E9-42DF-8C2A-0A43F0D5BD0B}"/>
            </c:ext>
          </c:extLst>
        </c:ser>
        <c:dLbls>
          <c:showLegendKey val="0"/>
          <c:showVal val="0"/>
          <c:showCatName val="0"/>
          <c:showSerName val="0"/>
          <c:showPercent val="0"/>
          <c:showBubbleSize val="0"/>
        </c:dLbls>
        <c:gapWidth val="150"/>
        <c:axId val="244176384"/>
        <c:axId val="244177920"/>
      </c:barChart>
      <c:catAx>
        <c:axId val="244176384"/>
        <c:scaling>
          <c:orientation val="minMax"/>
        </c:scaling>
        <c:delete val="0"/>
        <c:axPos val="b"/>
        <c:numFmt formatCode="General" sourceLinked="1"/>
        <c:majorTickMark val="out"/>
        <c:minorTickMark val="none"/>
        <c:tickLblPos val="nextTo"/>
        <c:txPr>
          <a:bodyPr/>
          <a:lstStyle/>
          <a:p>
            <a:pPr>
              <a:defRPr lang="en-US"/>
            </a:pPr>
            <a:endParaRPr lang="ro-RO"/>
          </a:p>
        </c:txPr>
        <c:crossAx val="244177920"/>
        <c:crosses val="autoZero"/>
        <c:auto val="1"/>
        <c:lblAlgn val="ctr"/>
        <c:lblOffset val="100"/>
        <c:noMultiLvlLbl val="0"/>
      </c:catAx>
      <c:valAx>
        <c:axId val="244177920"/>
        <c:scaling>
          <c:orientation val="minMax"/>
        </c:scaling>
        <c:delete val="0"/>
        <c:axPos val="l"/>
        <c:majorGridlines/>
        <c:numFmt formatCode="0.00%" sourceLinked="1"/>
        <c:majorTickMark val="out"/>
        <c:minorTickMark val="none"/>
        <c:tickLblPos val="nextTo"/>
        <c:txPr>
          <a:bodyPr/>
          <a:lstStyle/>
          <a:p>
            <a:pPr>
              <a:defRPr lang="en-US"/>
            </a:pPr>
            <a:endParaRPr lang="ro-RO"/>
          </a:p>
        </c:txPr>
        <c:crossAx val="244176384"/>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3"/>
        <c:txPr>
          <a:bodyPr/>
          <a:lstStyle/>
          <a:p>
            <a:pPr>
              <a:defRPr sz="1100"/>
            </a:pPr>
            <a:endParaRPr lang="ro-RO"/>
          </a:p>
        </c:txPr>
      </c:legendEntry>
      <c:layout>
        <c:manualLayout>
          <c:xMode val="edge"/>
          <c:yMode val="edge"/>
          <c:x val="0.74164164131630761"/>
          <c:y val="0.20503711253806453"/>
          <c:w val="0.23265403010651245"/>
          <c:h val="0.43449748661733206"/>
        </c:manualLayout>
      </c:layout>
      <c:overlay val="0"/>
      <c:txPr>
        <a:bodyPr/>
        <a:lstStyle/>
        <a:p>
          <a:pPr>
            <a:defRPr lang="en-US"/>
          </a:pPr>
          <a:endParaRPr lang="ro-RO"/>
        </a:p>
      </c:txPr>
    </c:legend>
    <c:plotVisOnly val="1"/>
    <c:dispBlanksAs val="gap"/>
    <c:showDLblsOverMax val="0"/>
  </c:chart>
  <c:spPr>
    <a:solidFill>
      <a:srgbClr val="DBE6C4">
        <a:alpha val="50000"/>
      </a:srgbClr>
    </a:solidFill>
  </c:sp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243965515196727E-2"/>
          <c:y val="5.1523736315508883E-2"/>
          <c:w val="0.62807797462819737"/>
          <c:h val="0.82745688038995058"/>
        </c:manualLayout>
      </c:layout>
      <c:barChart>
        <c:barDir val="bar"/>
        <c:grouping val="clustered"/>
        <c:varyColors val="0"/>
        <c:ser>
          <c:idx val="0"/>
          <c:order val="0"/>
          <c:tx>
            <c:strRef>
              <c:f>Sheet1!$B$1</c:f>
              <c:strCache>
                <c:ptCount val="1"/>
                <c:pt idx="0">
                  <c:v>Drumuri și căi ferate</c:v>
                </c:pt>
              </c:strCache>
            </c:strRef>
          </c:tx>
          <c:spPr>
            <a:solidFill>
              <a:srgbClr val="FFC000"/>
            </a:solidFill>
            <a:ln>
              <a:solidFill>
                <a:srgbClr val="FFC000"/>
              </a:solidFill>
            </a:ln>
          </c:spPr>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8587</c:v>
                </c:pt>
                <c:pt idx="1">
                  <c:v>8597</c:v>
                </c:pt>
                <c:pt idx="2">
                  <c:v>8592</c:v>
                </c:pt>
                <c:pt idx="3">
                  <c:v>8586</c:v>
                </c:pt>
                <c:pt idx="4">
                  <c:v>8136</c:v>
                </c:pt>
              </c:numCache>
            </c:numRef>
          </c:val>
          <c:extLst>
            <c:ext xmlns:c16="http://schemas.microsoft.com/office/drawing/2014/chart" uri="{C3380CC4-5D6E-409C-BE32-E72D297353CC}">
              <c16:uniqueId val="{00000000-A5F5-4290-ADB9-DE2B77732C50}"/>
            </c:ext>
          </c:extLst>
        </c:ser>
        <c:ser>
          <c:idx val="1"/>
          <c:order val="1"/>
          <c:tx>
            <c:strRef>
              <c:f>Sheet1!$C$1</c:f>
              <c:strCache>
                <c:ptCount val="1"/>
                <c:pt idx="0">
                  <c:v>Curți și construcții</c:v>
                </c:pt>
              </c:strCache>
            </c:strRef>
          </c:tx>
          <c:spPr>
            <a:solidFill>
              <a:schemeClr val="accent2">
                <a:lumMod val="60000"/>
                <a:lumOff val="40000"/>
              </a:schemeClr>
            </a:solidFill>
          </c:spPr>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13058</c:v>
                </c:pt>
                <c:pt idx="1">
                  <c:v>13066</c:v>
                </c:pt>
                <c:pt idx="2">
                  <c:v>13267</c:v>
                </c:pt>
                <c:pt idx="3">
                  <c:v>13294</c:v>
                </c:pt>
                <c:pt idx="4">
                  <c:v>14094</c:v>
                </c:pt>
              </c:numCache>
            </c:numRef>
          </c:val>
          <c:extLst>
            <c:ext xmlns:c16="http://schemas.microsoft.com/office/drawing/2014/chart" uri="{C3380CC4-5D6E-409C-BE32-E72D297353CC}">
              <c16:uniqueId val="{00000001-A5F5-4290-ADB9-DE2B77732C50}"/>
            </c:ext>
          </c:extLst>
        </c:ser>
        <c:ser>
          <c:idx val="2"/>
          <c:order val="2"/>
          <c:tx>
            <c:strRef>
              <c:f>Sheet1!$D$1</c:f>
              <c:strCache>
                <c:ptCount val="1"/>
                <c:pt idx="0">
                  <c:v>Neproductive</c:v>
                </c:pt>
              </c:strCache>
            </c:strRef>
          </c:tx>
          <c:spPr>
            <a:solidFill>
              <a:srgbClr val="FF0000"/>
            </a:solidFill>
          </c:spPr>
          <c:invertIfNegative val="0"/>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8513</c:v>
                </c:pt>
                <c:pt idx="1">
                  <c:v>8616</c:v>
                </c:pt>
                <c:pt idx="2">
                  <c:v>8110</c:v>
                </c:pt>
                <c:pt idx="3">
                  <c:v>7928</c:v>
                </c:pt>
                <c:pt idx="4">
                  <c:v>7971</c:v>
                </c:pt>
              </c:numCache>
            </c:numRef>
          </c:val>
          <c:extLst>
            <c:ext xmlns:c16="http://schemas.microsoft.com/office/drawing/2014/chart" uri="{C3380CC4-5D6E-409C-BE32-E72D297353CC}">
              <c16:uniqueId val="{00000002-A5F5-4290-ADB9-DE2B77732C50}"/>
            </c:ext>
          </c:extLst>
        </c:ser>
        <c:ser>
          <c:idx val="3"/>
          <c:order val="3"/>
          <c:tx>
            <c:strRef>
              <c:f>Sheet1!$E$1</c:f>
              <c:strCache>
                <c:ptCount val="1"/>
                <c:pt idx="0">
                  <c:v>Păduri</c:v>
                </c:pt>
              </c:strCache>
            </c:strRef>
          </c:tx>
          <c:spPr>
            <a:solidFill>
              <a:srgbClr val="00B050"/>
            </a:solidFill>
          </c:spPr>
          <c:invertIfNegative val="0"/>
          <c:cat>
            <c:numRef>
              <c:f>Sheet1!$A$2:$A$6</c:f>
              <c:numCache>
                <c:formatCode>General</c:formatCode>
                <c:ptCount val="5"/>
                <c:pt idx="0">
                  <c:v>2011</c:v>
                </c:pt>
                <c:pt idx="1">
                  <c:v>2012</c:v>
                </c:pt>
                <c:pt idx="2">
                  <c:v>2013</c:v>
                </c:pt>
                <c:pt idx="3">
                  <c:v>2014</c:v>
                </c:pt>
                <c:pt idx="4">
                  <c:v>2015</c:v>
                </c:pt>
              </c:numCache>
            </c:numRef>
          </c:cat>
          <c:val>
            <c:numRef>
              <c:f>Sheet1!$E$2:$E$6</c:f>
              <c:numCache>
                <c:formatCode>#,##0</c:formatCode>
                <c:ptCount val="5"/>
                <c:pt idx="0">
                  <c:v>28383</c:v>
                </c:pt>
                <c:pt idx="1">
                  <c:v>28552</c:v>
                </c:pt>
                <c:pt idx="2" formatCode="General">
                  <c:v>28653</c:v>
                </c:pt>
                <c:pt idx="3" formatCode="General">
                  <c:v>28687</c:v>
                </c:pt>
                <c:pt idx="4" formatCode="General">
                  <c:v>26417</c:v>
                </c:pt>
              </c:numCache>
            </c:numRef>
          </c:val>
          <c:extLst>
            <c:ext xmlns:c16="http://schemas.microsoft.com/office/drawing/2014/chart" uri="{C3380CC4-5D6E-409C-BE32-E72D297353CC}">
              <c16:uniqueId val="{00000003-A5F5-4290-ADB9-DE2B77732C50}"/>
            </c:ext>
          </c:extLst>
        </c:ser>
        <c:ser>
          <c:idx val="4"/>
          <c:order val="4"/>
          <c:tx>
            <c:strRef>
              <c:f>Sheet1!$F$1</c:f>
              <c:strCache>
                <c:ptCount val="1"/>
                <c:pt idx="0">
                  <c:v>Ape</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Sheet1!$F$2:$F$6</c:f>
              <c:numCache>
                <c:formatCode>#,##0</c:formatCode>
                <c:ptCount val="5"/>
                <c:pt idx="0">
                  <c:v>30672</c:v>
                </c:pt>
                <c:pt idx="1">
                  <c:v>30590</c:v>
                </c:pt>
                <c:pt idx="2">
                  <c:v>30556</c:v>
                </c:pt>
                <c:pt idx="3" formatCode="General">
                  <c:v>30331</c:v>
                </c:pt>
                <c:pt idx="4" formatCode="General">
                  <c:v>30047</c:v>
                </c:pt>
              </c:numCache>
            </c:numRef>
          </c:val>
          <c:extLst>
            <c:ext xmlns:c16="http://schemas.microsoft.com/office/drawing/2014/chart" uri="{C3380CC4-5D6E-409C-BE32-E72D297353CC}">
              <c16:uniqueId val="{00000004-A5F5-4290-ADB9-DE2B77732C50}"/>
            </c:ext>
          </c:extLst>
        </c:ser>
        <c:dLbls>
          <c:showLegendKey val="0"/>
          <c:showVal val="0"/>
          <c:showCatName val="0"/>
          <c:showSerName val="0"/>
          <c:showPercent val="0"/>
          <c:showBubbleSize val="0"/>
        </c:dLbls>
        <c:gapWidth val="150"/>
        <c:axId val="245984256"/>
        <c:axId val="246096640"/>
      </c:barChart>
      <c:catAx>
        <c:axId val="245984256"/>
        <c:scaling>
          <c:orientation val="minMax"/>
        </c:scaling>
        <c:delete val="0"/>
        <c:axPos val="l"/>
        <c:numFmt formatCode="General" sourceLinked="1"/>
        <c:majorTickMark val="out"/>
        <c:minorTickMark val="none"/>
        <c:tickLblPos val="nextTo"/>
        <c:txPr>
          <a:bodyPr/>
          <a:lstStyle/>
          <a:p>
            <a:pPr>
              <a:defRPr lang="en-US"/>
            </a:pPr>
            <a:endParaRPr lang="ro-RO"/>
          </a:p>
        </c:txPr>
        <c:crossAx val="246096640"/>
        <c:crosses val="autoZero"/>
        <c:auto val="1"/>
        <c:lblAlgn val="ctr"/>
        <c:lblOffset val="100"/>
        <c:noMultiLvlLbl val="0"/>
      </c:catAx>
      <c:valAx>
        <c:axId val="246096640"/>
        <c:scaling>
          <c:orientation val="minMax"/>
        </c:scaling>
        <c:delete val="0"/>
        <c:axPos val="b"/>
        <c:majorGridlines/>
        <c:numFmt formatCode="General" sourceLinked="1"/>
        <c:majorTickMark val="out"/>
        <c:minorTickMark val="none"/>
        <c:tickLblPos val="nextTo"/>
        <c:txPr>
          <a:bodyPr/>
          <a:lstStyle/>
          <a:p>
            <a:pPr>
              <a:defRPr lang="en-US"/>
            </a:pPr>
            <a:endParaRPr lang="ro-RO"/>
          </a:p>
        </c:txPr>
        <c:crossAx val="245984256"/>
        <c:crosses val="autoZero"/>
        <c:crossBetween val="between"/>
      </c:valAx>
    </c:plotArea>
    <c:legend>
      <c:legendPos val="r"/>
      <c:overlay val="0"/>
      <c:txPr>
        <a:bodyPr/>
        <a:lstStyle/>
        <a:p>
          <a:pPr>
            <a:defRPr lang="en-US"/>
          </a:pPr>
          <a:endParaRPr lang="ro-RO"/>
        </a:p>
      </c:txPr>
    </c:legend>
    <c:plotVisOnly val="1"/>
    <c:dispBlanksAs val="gap"/>
    <c:showDLblsOverMax val="0"/>
  </c:chart>
  <c:spPr>
    <a:solidFill>
      <a:srgbClr val="DBE6C4">
        <a:alpha val="50000"/>
      </a:srgbClr>
    </a:solidFill>
  </c:sp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79228638087064E-2"/>
          <c:y val="4.3650793650793704E-2"/>
          <c:w val="0.73882538691852873"/>
          <c:h val="0.55055737172328356"/>
        </c:manualLayout>
      </c:layout>
      <c:barChart>
        <c:barDir val="bar"/>
        <c:grouping val="clustered"/>
        <c:varyColors val="0"/>
        <c:ser>
          <c:idx val="0"/>
          <c:order val="0"/>
          <c:tx>
            <c:strRef>
              <c:f>Sheet1!$B$1</c:f>
              <c:strCache>
                <c:ptCount val="1"/>
                <c:pt idx="0">
                  <c:v>Curți construcții</c:v>
                </c:pt>
              </c:strCache>
            </c:strRef>
          </c:tx>
          <c:spPr>
            <a:solidFill>
              <a:schemeClr val="accent2">
                <a:lumMod val="75000"/>
              </a:schemeClr>
            </a:solidFill>
          </c:spPr>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13058</c:v>
                </c:pt>
                <c:pt idx="1">
                  <c:v>13066</c:v>
                </c:pt>
                <c:pt idx="2">
                  <c:v>13267</c:v>
                </c:pt>
                <c:pt idx="3">
                  <c:v>13294</c:v>
                </c:pt>
                <c:pt idx="4">
                  <c:v>14094</c:v>
                </c:pt>
              </c:numCache>
            </c:numRef>
          </c:val>
          <c:extLst>
            <c:ext xmlns:c16="http://schemas.microsoft.com/office/drawing/2014/chart" uri="{C3380CC4-5D6E-409C-BE32-E72D297353CC}">
              <c16:uniqueId val="{00000000-C722-4373-9954-6641E19D6AAF}"/>
            </c:ext>
          </c:extLst>
        </c:ser>
        <c:ser>
          <c:idx val="1"/>
          <c:order val="1"/>
          <c:tx>
            <c:strRef>
              <c:f>Sheet1!$C$1</c:f>
              <c:strCache>
                <c:ptCount val="1"/>
                <c:pt idx="0">
                  <c:v>Drumuri și căi ferate</c:v>
                </c:pt>
              </c:strCache>
            </c:strRef>
          </c:tx>
          <c:spPr>
            <a:solidFill>
              <a:srgbClr val="FFC000"/>
            </a:solidFill>
          </c:spPr>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8587</c:v>
                </c:pt>
                <c:pt idx="1">
                  <c:v>8597</c:v>
                </c:pt>
                <c:pt idx="2">
                  <c:v>8592</c:v>
                </c:pt>
                <c:pt idx="3">
                  <c:v>8586</c:v>
                </c:pt>
                <c:pt idx="4">
                  <c:v>8136</c:v>
                </c:pt>
              </c:numCache>
            </c:numRef>
          </c:val>
          <c:extLst>
            <c:ext xmlns:c16="http://schemas.microsoft.com/office/drawing/2014/chart" uri="{C3380CC4-5D6E-409C-BE32-E72D297353CC}">
              <c16:uniqueId val="{00000001-C722-4373-9954-6641E19D6AAF}"/>
            </c:ext>
          </c:extLst>
        </c:ser>
        <c:dLbls>
          <c:showLegendKey val="0"/>
          <c:showVal val="0"/>
          <c:showCatName val="0"/>
          <c:showSerName val="0"/>
          <c:showPercent val="0"/>
          <c:showBubbleSize val="0"/>
        </c:dLbls>
        <c:gapWidth val="150"/>
        <c:axId val="246137600"/>
        <c:axId val="246139136"/>
      </c:barChart>
      <c:catAx>
        <c:axId val="246137600"/>
        <c:scaling>
          <c:orientation val="minMax"/>
        </c:scaling>
        <c:delete val="0"/>
        <c:axPos val="l"/>
        <c:numFmt formatCode="General" sourceLinked="1"/>
        <c:majorTickMark val="out"/>
        <c:minorTickMark val="none"/>
        <c:tickLblPos val="nextTo"/>
        <c:txPr>
          <a:bodyPr/>
          <a:lstStyle/>
          <a:p>
            <a:pPr>
              <a:defRPr lang="en-US"/>
            </a:pPr>
            <a:endParaRPr lang="ro-RO"/>
          </a:p>
        </c:txPr>
        <c:crossAx val="246139136"/>
        <c:crosses val="autoZero"/>
        <c:auto val="1"/>
        <c:lblAlgn val="ctr"/>
        <c:lblOffset val="100"/>
        <c:noMultiLvlLbl val="0"/>
      </c:catAx>
      <c:valAx>
        <c:axId val="246139136"/>
        <c:scaling>
          <c:orientation val="minMax"/>
        </c:scaling>
        <c:delete val="0"/>
        <c:axPos val="b"/>
        <c:majorGridlines/>
        <c:numFmt formatCode="General" sourceLinked="1"/>
        <c:majorTickMark val="out"/>
        <c:minorTickMark val="none"/>
        <c:tickLblPos val="nextTo"/>
        <c:txPr>
          <a:bodyPr/>
          <a:lstStyle/>
          <a:p>
            <a:pPr>
              <a:defRPr lang="en-US"/>
            </a:pPr>
            <a:endParaRPr lang="ro-RO"/>
          </a:p>
        </c:txPr>
        <c:crossAx val="246137600"/>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ro-RO"/>
          </a:p>
        </c:txPr>
      </c:legendEntry>
      <c:legendEntry>
        <c:idx val="1"/>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7935"/>
          <c:w val="0.74098323348089989"/>
          <c:h val="0.12666709187295774"/>
        </c:manualLayout>
      </c:layout>
      <c:overlay val="0"/>
      <c:txPr>
        <a:bodyPr/>
        <a:lstStyle/>
        <a:p>
          <a:pPr>
            <a:defRPr lang="en-US"/>
          </a:pPr>
          <a:endParaRPr lang="ro-RO"/>
        </a:p>
      </c:txPr>
    </c:legend>
    <c:plotVisOnly val="1"/>
    <c:dispBlanksAs val="gap"/>
    <c:showDLblsOverMax val="0"/>
  </c:chart>
  <c:spPr>
    <a:solidFill>
      <a:srgbClr val="DBE6C4">
        <a:alpha val="50000"/>
      </a:srgbClr>
    </a:solidFill>
    <a:ln>
      <a:solidFill>
        <a:sysClr val="windowText" lastClr="000000">
          <a:alpha val="50000"/>
        </a:sys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no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708"/>
          <c:h val="0.72282608695652173"/>
        </c:manualLayout>
      </c:layout>
      <c:bar3DChart>
        <c:barDir val="col"/>
        <c:grouping val="clustered"/>
        <c:varyColors val="0"/>
        <c:ser>
          <c:idx val="7"/>
          <c:order val="0"/>
          <c:tx>
            <c:strRef>
              <c:f>Sheet1!$A$2</c:f>
              <c:strCache>
                <c:ptCount val="1"/>
                <c:pt idx="0">
                  <c:v>Medii anuale 2018 BR-2 sunt orientative</c:v>
                </c:pt>
              </c:strCache>
            </c:strRef>
          </c:tx>
          <c:invertIfNegative val="0"/>
          <c:cat>
            <c:strRef>
              <c:f>Sheet1!$B$1:$E$1</c:f>
              <c:strCache>
                <c:ptCount val="4"/>
                <c:pt idx="0">
                  <c:v>BR2</c:v>
                </c:pt>
                <c:pt idx="1">
                  <c:v>BR3</c:v>
                </c:pt>
                <c:pt idx="2">
                  <c:v>BR4</c:v>
                </c:pt>
                <c:pt idx="3">
                  <c:v>BR5</c:v>
                </c:pt>
              </c:strCache>
            </c:strRef>
          </c:cat>
          <c:val>
            <c:numRef>
              <c:f>Sheet1!$B$2:$E$2</c:f>
              <c:numCache>
                <c:formatCode>General</c:formatCode>
                <c:ptCount val="4"/>
                <c:pt idx="0">
                  <c:v>75.92</c:v>
                </c:pt>
                <c:pt idx="1">
                  <c:v>58.69</c:v>
                </c:pt>
                <c:pt idx="2">
                  <c:v>49.35</c:v>
                </c:pt>
                <c:pt idx="3" formatCode="0.00">
                  <c:v>65.11</c:v>
                </c:pt>
              </c:numCache>
            </c:numRef>
          </c:val>
          <c:extLst>
            <c:ext xmlns:c16="http://schemas.microsoft.com/office/drawing/2014/chart" uri="{C3380CC4-5D6E-409C-BE32-E72D297353CC}">
              <c16:uniqueId val="{00000000-5118-48E4-827A-83D6C7730B02}"/>
            </c:ext>
          </c:extLst>
        </c:ser>
        <c:dLbls>
          <c:showLegendKey val="0"/>
          <c:showVal val="0"/>
          <c:showCatName val="0"/>
          <c:showSerName val="0"/>
          <c:showPercent val="0"/>
          <c:showBubbleSize val="0"/>
        </c:dLbls>
        <c:gapWidth val="340"/>
        <c:gapDepth val="0"/>
        <c:shape val="box"/>
        <c:axId val="211628800"/>
        <c:axId val="211630336"/>
        <c:axId val="0"/>
      </c:bar3DChart>
      <c:catAx>
        <c:axId val="2116288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11630336"/>
        <c:crosses val="autoZero"/>
        <c:auto val="1"/>
        <c:lblAlgn val="ctr"/>
        <c:lblOffset val="100"/>
        <c:tickLblSkip val="1"/>
        <c:tickMarkSkip val="1"/>
        <c:noMultiLvlLbl val="0"/>
      </c:catAx>
      <c:valAx>
        <c:axId val="211630336"/>
        <c:scaling>
          <c:orientation val="minMax"/>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4.7892720306515438E-2"/>
              <c:y val="0.1358695652173914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11628800"/>
        <c:crosses val="autoZero"/>
        <c:crossBetween val="between"/>
      </c:valAx>
      <c:spPr>
        <a:noFill/>
        <a:ln w="25399">
          <a:noFill/>
        </a:ln>
      </c:spPr>
    </c:plotArea>
    <c:legend>
      <c:legendPos val="r"/>
      <c:layout>
        <c:manualLayout>
          <c:xMode val="edge"/>
          <c:yMode val="edge"/>
          <c:x val="0.75862068965520124"/>
          <c:y val="0.30513245122710181"/>
          <c:w val="0.21167406705740729"/>
          <c:h val="0.30255486105473928"/>
        </c:manualLayout>
      </c:layout>
      <c:overlay val="0"/>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lang="en-US" sz="837" b="1" i="0" u="none" strike="noStrike" baseline="0">
                <a:solidFill>
                  <a:srgbClr val="000000"/>
                </a:solidFill>
                <a:latin typeface="Arial"/>
                <a:ea typeface="Arial"/>
                <a:cs typeface="Arial"/>
              </a:defRPr>
            </a:pPr>
            <a:r>
              <a:rPr lang="ro-RO" sz="969" b="1" i="1" strike="noStrike">
                <a:solidFill>
                  <a:srgbClr val="000000"/>
                </a:solidFill>
                <a:latin typeface="Arial"/>
                <a:cs typeface="Arial"/>
              </a:rPr>
              <a:t>Evoluţia suprafeţei agricole în perioada 2013-2018</a:t>
            </a: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r>
              <a:rPr lang="ro-RO" sz="704" b="1" i="1" strike="noStrike">
                <a:solidFill>
                  <a:srgbClr val="000000"/>
                </a:solidFill>
                <a:latin typeface="Arial"/>
                <a:cs typeface="Arial"/>
              </a:rPr>
              <a:t> </a:t>
            </a: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lang="en-US"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c:rich>
      </c:tx>
      <c:layout>
        <c:manualLayout>
          <c:xMode val="edge"/>
          <c:yMode val="edge"/>
          <c:x val="0.15705784776903206"/>
          <c:y val="0"/>
        </c:manualLayout>
      </c:layout>
      <c:overlay val="0"/>
      <c:spPr>
        <a:noFill/>
        <a:ln w="22495">
          <a:noFill/>
        </a:ln>
      </c:spPr>
    </c:title>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F79646">
            <a:lumMod val="20000"/>
            <a:lumOff val="80000"/>
          </a:srgbClr>
        </a:solidFill>
        <a:ln w="12700">
          <a:solidFill>
            <a:srgbClr val="808080"/>
          </a:solidFill>
          <a:prstDash val="solid"/>
        </a:ln>
      </c:spPr>
    </c:sideWall>
    <c:backWall>
      <c:thickness val="0"/>
      <c:spPr>
        <a:solidFill>
          <a:srgbClr val="F79646">
            <a:lumMod val="20000"/>
            <a:lumOff val="80000"/>
          </a:srgbClr>
        </a:solidFill>
        <a:ln w="12700">
          <a:solidFill>
            <a:srgbClr val="808080"/>
          </a:solidFill>
          <a:prstDash val="solid"/>
        </a:ln>
      </c:spPr>
    </c:backWall>
    <c:plotArea>
      <c:layout>
        <c:manualLayout>
          <c:layoutTarget val="inner"/>
          <c:xMode val="edge"/>
          <c:yMode val="edge"/>
          <c:x val="8.4508919435917998E-2"/>
          <c:y val="0.16484352081655068"/>
          <c:w val="0.90419164553583364"/>
          <c:h val="0.57777777777777772"/>
        </c:manualLayout>
      </c:layout>
      <c:bar3DChart>
        <c:barDir val="col"/>
        <c:grouping val="clustered"/>
        <c:varyColors val="0"/>
        <c:ser>
          <c:idx val="0"/>
          <c:order val="0"/>
          <c:tx>
            <c:strRef>
              <c:f>Sheet1!$A$2</c:f>
              <c:strCache>
                <c:ptCount val="1"/>
                <c:pt idx="0">
                  <c:v>387163</c:v>
                </c:pt>
              </c:strCache>
            </c:strRef>
          </c:tx>
          <c:spPr>
            <a:solidFill>
              <a:srgbClr val="D20000"/>
            </a:solidFill>
            <a:ln w="11251">
              <a:solidFill>
                <a:srgbClr val="000000"/>
              </a:solidFill>
              <a:prstDash val="solid"/>
            </a:ln>
          </c:spPr>
          <c:invertIfNegative val="0"/>
          <c:dLbls>
            <c:spPr>
              <a:noFill/>
              <a:ln>
                <a:noFill/>
              </a:ln>
              <a:effectLst/>
            </c:spPr>
            <c:txPr>
              <a:bodyPr/>
              <a:lstStyle/>
              <a:p>
                <a:pPr>
                  <a:defRPr lang="en-US"/>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6"/>
                <c:pt idx="0">
                  <c:v>2013</c:v>
                </c:pt>
                <c:pt idx="1">
                  <c:v>2014</c:v>
                </c:pt>
                <c:pt idx="2">
                  <c:v>2015</c:v>
                </c:pt>
                <c:pt idx="3">
                  <c:v>2016</c:v>
                </c:pt>
                <c:pt idx="4">
                  <c:v>2017</c:v>
                </c:pt>
                <c:pt idx="5">
                  <c:v>2018</c:v>
                </c:pt>
              </c:numCache>
            </c:numRef>
          </c:cat>
          <c:val>
            <c:numRef>
              <c:f>Sheet1!$B$2:$H$2</c:f>
              <c:numCache>
                <c:formatCode>General</c:formatCode>
                <c:ptCount val="6"/>
                <c:pt idx="0">
                  <c:v>387598</c:v>
                </c:pt>
                <c:pt idx="1">
                  <c:v>387750</c:v>
                </c:pt>
                <c:pt idx="2" formatCode="#,##0">
                  <c:v>389907</c:v>
                </c:pt>
                <c:pt idx="3" formatCode="#,##0">
                  <c:v>391579</c:v>
                </c:pt>
                <c:pt idx="4" formatCode="#,##0">
                  <c:v>391579</c:v>
                </c:pt>
                <c:pt idx="5" formatCode="#,##0">
                  <c:v>391578</c:v>
                </c:pt>
              </c:numCache>
            </c:numRef>
          </c:val>
          <c:extLst>
            <c:ext xmlns:c16="http://schemas.microsoft.com/office/drawing/2014/chart" uri="{C3380CC4-5D6E-409C-BE32-E72D297353CC}">
              <c16:uniqueId val="{00000000-D7F1-41D9-83DC-E1E57BDA8C1E}"/>
            </c:ext>
          </c:extLst>
        </c:ser>
        <c:dLbls>
          <c:showLegendKey val="0"/>
          <c:showVal val="0"/>
          <c:showCatName val="0"/>
          <c:showSerName val="0"/>
          <c:showPercent val="0"/>
          <c:showBubbleSize val="0"/>
        </c:dLbls>
        <c:gapWidth val="150"/>
        <c:gapDepth val="0"/>
        <c:shape val="box"/>
        <c:axId val="246172672"/>
        <c:axId val="247026432"/>
        <c:axId val="0"/>
      </c:bar3DChart>
      <c:catAx>
        <c:axId val="246172672"/>
        <c:scaling>
          <c:orientation val="minMax"/>
        </c:scaling>
        <c:delete val="0"/>
        <c:axPos val="b"/>
        <c:numFmt formatCode="General" sourceLinked="1"/>
        <c:majorTickMark val="out"/>
        <c:minorTickMark val="none"/>
        <c:tickLblPos val="low"/>
        <c:spPr>
          <a:ln w="2813">
            <a:solidFill>
              <a:srgbClr val="000000"/>
            </a:solidFill>
            <a:prstDash val="solid"/>
          </a:ln>
        </c:spPr>
        <c:txPr>
          <a:bodyPr rot="0" vert="horz"/>
          <a:lstStyle/>
          <a:p>
            <a:pPr>
              <a:defRPr lang="en-US" sz="844" b="1" i="0" u="none" strike="noStrike" baseline="0">
                <a:solidFill>
                  <a:srgbClr val="000000"/>
                </a:solidFill>
                <a:latin typeface="Arial"/>
                <a:ea typeface="Arial"/>
                <a:cs typeface="Arial"/>
              </a:defRPr>
            </a:pPr>
            <a:endParaRPr lang="ro-RO"/>
          </a:p>
        </c:txPr>
        <c:crossAx val="247026432"/>
        <c:crosses val="autoZero"/>
        <c:auto val="1"/>
        <c:lblAlgn val="ctr"/>
        <c:lblOffset val="100"/>
        <c:tickLblSkip val="1"/>
        <c:tickMarkSkip val="1"/>
        <c:noMultiLvlLbl val="0"/>
      </c:catAx>
      <c:valAx>
        <c:axId val="247026432"/>
        <c:scaling>
          <c:orientation val="minMax"/>
          <c:min val="380000"/>
        </c:scaling>
        <c:delete val="0"/>
        <c:axPos val="l"/>
        <c:majorGridlines>
          <c:spPr>
            <a:ln w="2813">
              <a:solidFill>
                <a:srgbClr val="000000"/>
              </a:solidFill>
              <a:prstDash val="solid"/>
            </a:ln>
          </c:spPr>
        </c:majorGridlines>
        <c:numFmt formatCode="General" sourceLinked="1"/>
        <c:majorTickMark val="out"/>
        <c:minorTickMark val="none"/>
        <c:tickLblPos val="nextTo"/>
        <c:spPr>
          <a:ln w="2813">
            <a:solidFill>
              <a:srgbClr val="000000"/>
            </a:solidFill>
            <a:prstDash val="solid"/>
          </a:ln>
        </c:spPr>
        <c:txPr>
          <a:bodyPr rot="0" vert="horz"/>
          <a:lstStyle/>
          <a:p>
            <a:pPr>
              <a:defRPr lang="en-US" sz="844" b="1" i="0" u="none" strike="noStrike" baseline="0">
                <a:solidFill>
                  <a:srgbClr val="000000"/>
                </a:solidFill>
                <a:latin typeface="Arial"/>
                <a:ea typeface="Arial"/>
                <a:cs typeface="Arial"/>
              </a:defRPr>
            </a:pPr>
            <a:endParaRPr lang="ro-RO"/>
          </a:p>
        </c:txPr>
        <c:crossAx val="246172672"/>
        <c:crosses val="autoZero"/>
        <c:crossBetween val="between"/>
      </c:valAx>
      <c:spPr>
        <a:noFill/>
        <a:ln w="25379">
          <a:noFill/>
        </a:ln>
      </c:spPr>
    </c:plotArea>
    <c:plotVisOnly val="1"/>
    <c:dispBlanksAs val="gap"/>
    <c:showDLblsOverMax val="0"/>
  </c:chart>
  <c:spPr>
    <a:solidFill>
      <a:srgbClr val="C0504D">
        <a:lumMod val="20000"/>
        <a:lumOff val="80000"/>
      </a:srgbClr>
    </a:solidFill>
    <a:ln>
      <a:noFill/>
    </a:ln>
  </c:spPr>
  <c:txPr>
    <a:bodyPr/>
    <a:lstStyle/>
    <a:p>
      <a:pPr>
        <a:defRPr sz="844" b="1" i="0" u="none" strike="noStrike" baseline="0">
          <a:solidFill>
            <a:srgbClr val="000000"/>
          </a:solidFill>
          <a:latin typeface="Arial"/>
          <a:ea typeface="Arial"/>
          <a:cs typeface="Arial"/>
        </a:defRPr>
      </a:pPr>
      <a:endParaRPr lang="ro-RO"/>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628154218084032"/>
          <c:y val="7.4441299819729134E-2"/>
          <c:w val="0.39322437299712437"/>
          <c:h val="0.8612355814621736"/>
        </c:manualLayout>
      </c:layout>
      <c:barChart>
        <c:barDir val="col"/>
        <c:grouping val="clustered"/>
        <c:varyColors val="0"/>
        <c:ser>
          <c:idx val="0"/>
          <c:order val="0"/>
          <c:tx>
            <c:strRef>
              <c:f>Sheet1!$B$1</c:f>
              <c:strCache>
                <c:ptCount val="1"/>
                <c:pt idx="0">
                  <c:v>Urban</c:v>
                </c:pt>
              </c:strCache>
            </c:strRef>
          </c:tx>
          <c:spPr>
            <a:solidFill>
              <a:srgbClr val="C00000"/>
            </a:solidFill>
          </c:spPr>
          <c:invertIfNegative val="0"/>
          <c:dLbls>
            <c:dLbl>
              <c:idx val="0"/>
              <c:layout>
                <c:manualLayout>
                  <c:x val="4.3157099609887006E-2"/>
                  <c:y val="0"/>
                </c:manualLayout>
              </c:layout>
              <c:tx>
                <c:rich>
                  <a:bodyPr/>
                  <a:lstStyle/>
                  <a:p>
                    <a:r>
                      <a:rPr lang="en-US"/>
                      <a:t>-6,67%</a:t>
                    </a:r>
                  </a:p>
                  <a:p>
                    <a:endParaRPr lang="en-US"/>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0F-40AD-876C-7B5CAF08D123}"/>
                </c:ext>
              </c:extLst>
            </c:dLbl>
            <c:spPr>
              <a:noFill/>
              <a:ln>
                <a:noFill/>
              </a:ln>
              <a:effectLst/>
            </c:spPr>
            <c:txPr>
              <a:bodyPr/>
              <a:lstStyle/>
              <a:p>
                <a:pPr>
                  <a:defRPr sz="90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0.00%</c:formatCode>
                <c:ptCount val="1"/>
                <c:pt idx="0">
                  <c:v>-6.6699999999999995E-2</c:v>
                </c:pt>
              </c:numCache>
            </c:numRef>
          </c:val>
          <c:extLst>
            <c:ext xmlns:c16="http://schemas.microsoft.com/office/drawing/2014/chart" uri="{C3380CC4-5D6E-409C-BE32-E72D297353CC}">
              <c16:uniqueId val="{00000001-620F-40AD-876C-7B5CAF08D123}"/>
            </c:ext>
          </c:extLst>
        </c:ser>
        <c:ser>
          <c:idx val="1"/>
          <c:order val="1"/>
          <c:tx>
            <c:strRef>
              <c:f>Sheet1!$C$1</c:f>
              <c:strCache>
                <c:ptCount val="1"/>
                <c:pt idx="0">
                  <c:v>Rural</c:v>
                </c:pt>
              </c:strCache>
            </c:strRef>
          </c:tx>
          <c:spPr>
            <a:solidFill>
              <a:srgbClr val="00B050"/>
            </a:solidFill>
          </c:spPr>
          <c:invertIfNegative val="0"/>
          <c:dLbls>
            <c:dLbl>
              <c:idx val="0"/>
              <c:layout>
                <c:manualLayout>
                  <c:x val="4.9322399554157133E-2"/>
                  <c:y val="0"/>
                </c:manualLayout>
              </c:layout>
              <c:tx>
                <c:rich>
                  <a:bodyPr/>
                  <a:lstStyle/>
                  <a:p>
                    <a:r>
                      <a:rPr lang="en-US"/>
                      <a:t>-4,23%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0F-40AD-876C-7B5CAF08D123}"/>
                </c:ext>
              </c:extLst>
            </c:dLbl>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0.00%</c:formatCode>
                <c:ptCount val="1"/>
                <c:pt idx="0">
                  <c:v>-4.2299999999999997E-2</c:v>
                </c:pt>
              </c:numCache>
            </c:numRef>
          </c:val>
          <c:extLst>
            <c:ext xmlns:c16="http://schemas.microsoft.com/office/drawing/2014/chart" uri="{C3380CC4-5D6E-409C-BE32-E72D297353CC}">
              <c16:uniqueId val="{00000003-620F-40AD-876C-7B5CAF08D123}"/>
            </c:ext>
          </c:extLst>
        </c:ser>
        <c:dLbls>
          <c:showLegendKey val="0"/>
          <c:showVal val="0"/>
          <c:showCatName val="0"/>
          <c:showSerName val="0"/>
          <c:showPercent val="0"/>
          <c:showBubbleSize val="0"/>
        </c:dLbls>
        <c:gapWidth val="150"/>
        <c:axId val="265998336"/>
        <c:axId val="265999872"/>
      </c:barChart>
      <c:catAx>
        <c:axId val="265998336"/>
        <c:scaling>
          <c:orientation val="minMax"/>
        </c:scaling>
        <c:delete val="0"/>
        <c:axPos val="b"/>
        <c:numFmt formatCode="General" sourceLinked="1"/>
        <c:majorTickMark val="out"/>
        <c:minorTickMark val="none"/>
        <c:tickLblPos val="nextTo"/>
        <c:crossAx val="265999872"/>
        <c:crosses val="autoZero"/>
        <c:auto val="1"/>
        <c:lblAlgn val="ctr"/>
        <c:lblOffset val="100"/>
        <c:noMultiLvlLbl val="0"/>
      </c:catAx>
      <c:valAx>
        <c:axId val="265999872"/>
        <c:scaling>
          <c:orientation val="minMax"/>
        </c:scaling>
        <c:delete val="0"/>
        <c:axPos val="l"/>
        <c:majorGridlines/>
        <c:numFmt formatCode="0.00%" sourceLinked="1"/>
        <c:majorTickMark val="out"/>
        <c:minorTickMark val="none"/>
        <c:tickLblPos val="nextTo"/>
        <c:crossAx val="265998336"/>
        <c:crosses val="autoZero"/>
        <c:crossBetween val="between"/>
      </c:valAx>
    </c:plotArea>
    <c:legend>
      <c:legendPos val="r"/>
      <c:legendEntry>
        <c:idx val="0"/>
        <c:txPr>
          <a:bodyPr/>
          <a:lstStyle/>
          <a:p>
            <a:pPr>
              <a:defRPr sz="1100"/>
            </a:pPr>
            <a:endParaRPr lang="ro-RO"/>
          </a:p>
        </c:txPr>
      </c:legendEntry>
      <c:legendEntry>
        <c:idx val="1"/>
        <c:txPr>
          <a:bodyPr/>
          <a:lstStyle/>
          <a:p>
            <a:pPr>
              <a:defRPr sz="1100"/>
            </a:pPr>
            <a:endParaRPr lang="ro-RO"/>
          </a:p>
        </c:txPr>
      </c:legendEntry>
      <c:layout>
        <c:manualLayout>
          <c:xMode val="edge"/>
          <c:yMode val="edge"/>
          <c:x val="0.72418856859908565"/>
          <c:y val="0.41550262467191601"/>
          <c:w val="0.27581124667219425"/>
          <c:h val="0.43449748661733206"/>
        </c:manualLayout>
      </c:layout>
      <c:overlay val="0"/>
    </c:legend>
    <c:plotVisOnly val="1"/>
    <c:dispBlanksAs val="gap"/>
    <c:showDLblsOverMax val="0"/>
  </c:chart>
  <c:spPr>
    <a:solidFill>
      <a:srgbClr val="FFFFDD"/>
    </a:solidFill>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vi-VN" sz="1200" b="0"/>
              <a:t>Densitatea populației județului Brăila</a:t>
            </a:r>
            <a:endParaRPr lang="ro-RO" sz="1200" b="0"/>
          </a:p>
          <a:p>
            <a:pPr>
              <a:defRPr lang="en-US"/>
            </a:pPr>
            <a:r>
              <a:rPr lang="ro-RO" sz="1200" b="0"/>
              <a:t> (locuitori/km</a:t>
            </a:r>
            <a:r>
              <a:rPr lang="ro-RO" sz="1200" b="0" baseline="0"/>
              <a:t> 2)</a:t>
            </a:r>
            <a:endParaRPr lang="vi-VN" sz="1200" b="0"/>
          </a:p>
        </c:rich>
      </c:tx>
      <c:overlay val="0"/>
    </c:title>
    <c:autoTitleDeleted val="0"/>
    <c:plotArea>
      <c:layout>
        <c:manualLayout>
          <c:layoutTarget val="inner"/>
          <c:xMode val="edge"/>
          <c:yMode val="edge"/>
          <c:x val="9.0553044912753566E-2"/>
          <c:y val="0.23323348177361444"/>
          <c:w val="0.83668490709488286"/>
          <c:h val="0.50791049347708461"/>
        </c:manualLayout>
      </c:layout>
      <c:lineChart>
        <c:grouping val="standard"/>
        <c:varyColors val="0"/>
        <c:ser>
          <c:idx val="0"/>
          <c:order val="0"/>
          <c:tx>
            <c:strRef>
              <c:f>Sheet1!$B$1</c:f>
              <c:strCache>
                <c:ptCount val="1"/>
                <c:pt idx="0">
                  <c:v>64,65</c:v>
                </c:pt>
              </c:strCache>
            </c:strRef>
          </c:tx>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65.489999999999995</c:v>
                </c:pt>
                <c:pt idx="1">
                  <c:v>64.650000000000006</c:v>
                </c:pt>
                <c:pt idx="2">
                  <c:v>63.72</c:v>
                </c:pt>
                <c:pt idx="3">
                  <c:v>62.76</c:v>
                </c:pt>
                <c:pt idx="4">
                  <c:v>61.72</c:v>
                </c:pt>
              </c:numCache>
            </c:numRef>
          </c:val>
          <c:smooth val="0"/>
          <c:extLst>
            <c:ext xmlns:c16="http://schemas.microsoft.com/office/drawing/2014/chart" uri="{C3380CC4-5D6E-409C-BE32-E72D297353CC}">
              <c16:uniqueId val="{00000000-0D1E-4AA8-9228-A60D0FECB5B7}"/>
            </c:ext>
          </c:extLst>
        </c:ser>
        <c:dLbls>
          <c:showLegendKey val="0"/>
          <c:showVal val="0"/>
          <c:showCatName val="0"/>
          <c:showSerName val="0"/>
          <c:showPercent val="0"/>
          <c:showBubbleSize val="0"/>
        </c:dLbls>
        <c:marker val="1"/>
        <c:smooth val="0"/>
        <c:axId val="247095296"/>
        <c:axId val="247096832"/>
      </c:lineChart>
      <c:catAx>
        <c:axId val="247095296"/>
        <c:scaling>
          <c:orientation val="minMax"/>
        </c:scaling>
        <c:delete val="0"/>
        <c:axPos val="b"/>
        <c:numFmt formatCode="General" sourceLinked="1"/>
        <c:majorTickMark val="out"/>
        <c:minorTickMark val="none"/>
        <c:tickLblPos val="nextTo"/>
        <c:txPr>
          <a:bodyPr/>
          <a:lstStyle/>
          <a:p>
            <a:pPr>
              <a:defRPr lang="en-US"/>
            </a:pPr>
            <a:endParaRPr lang="ro-RO"/>
          </a:p>
        </c:txPr>
        <c:crossAx val="247096832"/>
        <c:crosses val="autoZero"/>
        <c:auto val="1"/>
        <c:lblAlgn val="ctr"/>
        <c:lblOffset val="100"/>
        <c:noMultiLvlLbl val="0"/>
      </c:catAx>
      <c:valAx>
        <c:axId val="247096832"/>
        <c:scaling>
          <c:orientation val="minMax"/>
        </c:scaling>
        <c:delete val="0"/>
        <c:axPos val="l"/>
        <c:majorGridlines/>
        <c:numFmt formatCode="General" sourceLinked="1"/>
        <c:majorTickMark val="out"/>
        <c:minorTickMark val="none"/>
        <c:tickLblPos val="nextTo"/>
        <c:txPr>
          <a:bodyPr/>
          <a:lstStyle/>
          <a:p>
            <a:pPr>
              <a:defRPr lang="en-US"/>
            </a:pPr>
            <a:endParaRPr lang="ro-RO"/>
          </a:p>
        </c:txPr>
        <c:crossAx val="247095296"/>
        <c:crosses val="autoZero"/>
        <c:crossBetween val="between"/>
      </c:valAx>
    </c:plotArea>
    <c:legend>
      <c:legendPos val="r"/>
      <c:layout>
        <c:manualLayout>
          <c:xMode val="edge"/>
          <c:yMode val="edge"/>
          <c:x val="0.18783109505332643"/>
          <c:y val="0.876976005942952"/>
          <c:w val="0.60504629629630535"/>
          <c:h val="0.11970566179227612"/>
        </c:manualLayout>
      </c:layout>
      <c:overlay val="0"/>
      <c:txPr>
        <a:bodyPr/>
        <a:lstStyle/>
        <a:p>
          <a:pPr>
            <a:defRPr lang="en-US"/>
          </a:pPr>
          <a:endParaRPr lang="ro-RO"/>
        </a:p>
      </c:txPr>
    </c:legend>
    <c:plotVisOnly val="1"/>
    <c:dispBlanksAs val="gap"/>
    <c:showDLblsOverMax val="0"/>
  </c:chart>
  <c:spPr>
    <a:solidFill>
      <a:srgbClr val="FFFFC5">
        <a:alpha val="39000"/>
      </a:srgbClr>
    </a:solidFill>
    <a:ln>
      <a:solidFill>
        <a:sysClr val="windowText" lastClr="000000">
          <a:alpha val="41000"/>
        </a:sysClr>
      </a:solidFill>
    </a:ln>
  </c:sp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458664999133771E-2"/>
          <c:y val="0.10314976545083072"/>
          <c:w val="0.70628747882513432"/>
          <c:h val="0.5216822638615255"/>
        </c:manualLayout>
      </c:layout>
      <c:barChart>
        <c:barDir val="bar"/>
        <c:grouping val="clustered"/>
        <c:varyColors val="0"/>
        <c:ser>
          <c:idx val="0"/>
          <c:order val="0"/>
          <c:tx>
            <c:strRef>
              <c:f>Sheet1!$B$1</c:f>
              <c:strCache>
                <c:ptCount val="1"/>
                <c:pt idx="0">
                  <c:v>Total terenuri urbane și  artificiale</c:v>
                </c:pt>
              </c:strCache>
            </c:strRef>
          </c:tx>
          <c:spPr>
            <a:solidFill>
              <a:schemeClr val="accent4">
                <a:lumMod val="75000"/>
              </a:schemeClr>
            </a:solidFill>
          </c:spPr>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21645</c:v>
                </c:pt>
                <c:pt idx="1">
                  <c:v>21663</c:v>
                </c:pt>
                <c:pt idx="2">
                  <c:v>21859</c:v>
                </c:pt>
                <c:pt idx="3">
                  <c:v>21880</c:v>
                </c:pt>
                <c:pt idx="4">
                  <c:v>22230</c:v>
                </c:pt>
              </c:numCache>
            </c:numRef>
          </c:val>
          <c:extLst>
            <c:ext xmlns:c16="http://schemas.microsoft.com/office/drawing/2014/chart" uri="{C3380CC4-5D6E-409C-BE32-E72D297353CC}">
              <c16:uniqueId val="{00000000-AE2A-493D-9252-8691CBFA615D}"/>
            </c:ext>
          </c:extLst>
        </c:ser>
        <c:ser>
          <c:idx val="1"/>
          <c:order val="1"/>
          <c:tx>
            <c:strRef>
              <c:f>Sheet1!$C$1</c:f>
              <c:strCache>
                <c:ptCount val="1"/>
                <c:pt idx="0">
                  <c:v>Curți construcții</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13058</c:v>
                </c:pt>
                <c:pt idx="1">
                  <c:v>13066</c:v>
                </c:pt>
                <c:pt idx="2">
                  <c:v>13267</c:v>
                </c:pt>
                <c:pt idx="3">
                  <c:v>13294</c:v>
                </c:pt>
                <c:pt idx="4">
                  <c:v>14094</c:v>
                </c:pt>
              </c:numCache>
            </c:numRef>
          </c:val>
          <c:extLst>
            <c:ext xmlns:c16="http://schemas.microsoft.com/office/drawing/2014/chart" uri="{C3380CC4-5D6E-409C-BE32-E72D297353CC}">
              <c16:uniqueId val="{00000001-AE2A-493D-9252-8691CBFA615D}"/>
            </c:ext>
          </c:extLst>
        </c:ser>
        <c:ser>
          <c:idx val="2"/>
          <c:order val="2"/>
          <c:tx>
            <c:strRef>
              <c:f>Sheet1!$D$1</c:f>
              <c:strCache>
                <c:ptCount val="1"/>
                <c:pt idx="0">
                  <c:v>Drumuri și căi ferate</c:v>
                </c:pt>
              </c:strCache>
            </c:strRef>
          </c:tx>
          <c:spPr>
            <a:solidFill>
              <a:srgbClr val="FFC000"/>
            </a:solidFill>
          </c:spPr>
          <c:invertIfNegative val="0"/>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8587</c:v>
                </c:pt>
                <c:pt idx="1">
                  <c:v>8597</c:v>
                </c:pt>
                <c:pt idx="2">
                  <c:v>8592</c:v>
                </c:pt>
                <c:pt idx="3">
                  <c:v>8586</c:v>
                </c:pt>
                <c:pt idx="4">
                  <c:v>8136</c:v>
                </c:pt>
              </c:numCache>
            </c:numRef>
          </c:val>
          <c:extLst>
            <c:ext xmlns:c16="http://schemas.microsoft.com/office/drawing/2014/chart" uri="{C3380CC4-5D6E-409C-BE32-E72D297353CC}">
              <c16:uniqueId val="{00000002-AE2A-493D-9252-8691CBFA615D}"/>
            </c:ext>
          </c:extLst>
        </c:ser>
        <c:dLbls>
          <c:showLegendKey val="0"/>
          <c:showVal val="0"/>
          <c:showCatName val="0"/>
          <c:showSerName val="0"/>
          <c:showPercent val="0"/>
          <c:showBubbleSize val="0"/>
        </c:dLbls>
        <c:gapWidth val="150"/>
        <c:axId val="246168192"/>
        <c:axId val="246206848"/>
      </c:barChart>
      <c:catAx>
        <c:axId val="246168192"/>
        <c:scaling>
          <c:orientation val="minMax"/>
        </c:scaling>
        <c:delete val="0"/>
        <c:axPos val="l"/>
        <c:numFmt formatCode="General" sourceLinked="1"/>
        <c:majorTickMark val="out"/>
        <c:minorTickMark val="none"/>
        <c:tickLblPos val="nextTo"/>
        <c:txPr>
          <a:bodyPr/>
          <a:lstStyle/>
          <a:p>
            <a:pPr>
              <a:defRPr lang="en-US"/>
            </a:pPr>
            <a:endParaRPr lang="ro-RO"/>
          </a:p>
        </c:txPr>
        <c:crossAx val="246206848"/>
        <c:crosses val="autoZero"/>
        <c:auto val="1"/>
        <c:lblAlgn val="ctr"/>
        <c:lblOffset val="100"/>
        <c:noMultiLvlLbl val="0"/>
      </c:catAx>
      <c:valAx>
        <c:axId val="246206848"/>
        <c:scaling>
          <c:orientation val="minMax"/>
        </c:scaling>
        <c:delete val="0"/>
        <c:axPos val="b"/>
        <c:majorGridlines/>
        <c:numFmt formatCode="General" sourceLinked="1"/>
        <c:majorTickMark val="out"/>
        <c:minorTickMark val="none"/>
        <c:tickLblPos val="nextTo"/>
        <c:txPr>
          <a:bodyPr/>
          <a:lstStyle/>
          <a:p>
            <a:pPr>
              <a:defRPr lang="en-US"/>
            </a:pPr>
            <a:endParaRPr lang="ro-RO"/>
          </a:p>
        </c:txPr>
        <c:crossAx val="246168192"/>
        <c:crosses val="autoZero"/>
        <c:crossBetween val="between"/>
      </c:valAx>
    </c:plotArea>
    <c:legend>
      <c:legendPos val="r"/>
      <c:legendEntry>
        <c:idx val="0"/>
        <c:txPr>
          <a:bodyPr/>
          <a:lstStyle/>
          <a:p>
            <a:pPr>
              <a:defRPr sz="1100">
                <a:latin typeface="Times New Roman" pitchFamily="18" charset="0"/>
                <a:cs typeface="Times New Roman" pitchFamily="18" charset="0"/>
              </a:defRPr>
            </a:pPr>
            <a:endParaRPr lang="ro-RO"/>
          </a:p>
        </c:txPr>
      </c:legendEntry>
      <c:legendEntry>
        <c:idx val="1"/>
        <c:txPr>
          <a:bodyPr/>
          <a:lstStyle/>
          <a:p>
            <a:pPr>
              <a:defRPr sz="1100">
                <a:latin typeface="Times New Roman" pitchFamily="18" charset="0"/>
                <a:cs typeface="Times New Roman" pitchFamily="18" charset="0"/>
              </a:defRPr>
            </a:pPr>
            <a:endParaRPr lang="ro-RO"/>
          </a:p>
        </c:txPr>
      </c:legendEntry>
      <c:legendEntry>
        <c:idx val="2"/>
        <c:txPr>
          <a:bodyPr/>
          <a:lstStyle/>
          <a:p>
            <a:pPr>
              <a:defRPr sz="1100">
                <a:latin typeface="Times New Roman" pitchFamily="18" charset="0"/>
                <a:cs typeface="Times New Roman" pitchFamily="18" charset="0"/>
              </a:defRPr>
            </a:pPr>
            <a:endParaRPr lang="ro-RO"/>
          </a:p>
        </c:txPr>
      </c:legendEntry>
      <c:layout>
        <c:manualLayout>
          <c:xMode val="edge"/>
          <c:yMode val="edge"/>
          <c:x val="3.3213265432865492E-2"/>
          <c:y val="0.81752914073513738"/>
          <c:w val="0.94231837873753366"/>
          <c:h val="8.2323041634058472E-2"/>
        </c:manualLayout>
      </c:layout>
      <c:overlay val="0"/>
      <c:txPr>
        <a:bodyPr/>
        <a:lstStyle/>
        <a:p>
          <a:pPr>
            <a:defRPr lang="en-US"/>
          </a:pPr>
          <a:endParaRPr lang="ro-RO"/>
        </a:p>
      </c:txPr>
    </c:legend>
    <c:plotVisOnly val="1"/>
    <c:dispBlanksAs val="gap"/>
    <c:showDLblsOverMax val="0"/>
  </c:chart>
  <c:spPr>
    <a:solidFill>
      <a:srgbClr val="FFFFDD">
        <a:alpha val="72000"/>
      </a:srgbClr>
    </a:solidFill>
  </c:sp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79228638087064E-2"/>
          <c:y val="4.3650793650793704E-2"/>
          <c:w val="0.77159649314669065"/>
          <c:h val="0.59275492420762232"/>
        </c:manualLayout>
      </c:layout>
      <c:barChart>
        <c:barDir val="bar"/>
        <c:grouping val="clustered"/>
        <c:varyColors val="0"/>
        <c:ser>
          <c:idx val="0"/>
          <c:order val="0"/>
          <c:tx>
            <c:strRef>
              <c:f>Sheet1!$B$1</c:f>
              <c:strCache>
                <c:ptCount val="1"/>
                <c:pt idx="0">
                  <c:v>Curți construcții</c:v>
                </c:pt>
              </c:strCache>
            </c:strRef>
          </c:tx>
          <c:spPr>
            <a:solidFill>
              <a:schemeClr val="accent2">
                <a:lumMod val="75000"/>
              </a:schemeClr>
            </a:solidFill>
          </c:spPr>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13058</c:v>
                </c:pt>
                <c:pt idx="1">
                  <c:v>13066</c:v>
                </c:pt>
                <c:pt idx="2">
                  <c:v>13267</c:v>
                </c:pt>
                <c:pt idx="3">
                  <c:v>13294</c:v>
                </c:pt>
                <c:pt idx="4">
                  <c:v>14094</c:v>
                </c:pt>
              </c:numCache>
            </c:numRef>
          </c:val>
          <c:extLst>
            <c:ext xmlns:c16="http://schemas.microsoft.com/office/drawing/2014/chart" uri="{C3380CC4-5D6E-409C-BE32-E72D297353CC}">
              <c16:uniqueId val="{00000000-202E-45E2-9B8C-CEC1C493A27E}"/>
            </c:ext>
          </c:extLst>
        </c:ser>
        <c:ser>
          <c:idx val="1"/>
          <c:order val="1"/>
          <c:tx>
            <c:strRef>
              <c:f>Sheet1!$C$1</c:f>
              <c:strCache>
                <c:ptCount val="1"/>
                <c:pt idx="0">
                  <c:v>Drumuri și căi ferate</c:v>
                </c:pt>
              </c:strCache>
            </c:strRef>
          </c:tx>
          <c:spPr>
            <a:solidFill>
              <a:srgbClr val="FFC000"/>
            </a:solidFill>
          </c:spPr>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8587</c:v>
                </c:pt>
                <c:pt idx="1">
                  <c:v>8597</c:v>
                </c:pt>
                <c:pt idx="2">
                  <c:v>8592</c:v>
                </c:pt>
                <c:pt idx="3">
                  <c:v>8586</c:v>
                </c:pt>
                <c:pt idx="4">
                  <c:v>8136</c:v>
                </c:pt>
              </c:numCache>
            </c:numRef>
          </c:val>
          <c:extLst>
            <c:ext xmlns:c16="http://schemas.microsoft.com/office/drawing/2014/chart" uri="{C3380CC4-5D6E-409C-BE32-E72D297353CC}">
              <c16:uniqueId val="{00000001-202E-45E2-9B8C-CEC1C493A27E}"/>
            </c:ext>
          </c:extLst>
        </c:ser>
        <c:dLbls>
          <c:showLegendKey val="0"/>
          <c:showVal val="0"/>
          <c:showCatName val="0"/>
          <c:showSerName val="0"/>
          <c:showPercent val="0"/>
          <c:showBubbleSize val="0"/>
        </c:dLbls>
        <c:gapWidth val="150"/>
        <c:axId val="247068160"/>
        <c:axId val="247069696"/>
      </c:barChart>
      <c:catAx>
        <c:axId val="247068160"/>
        <c:scaling>
          <c:orientation val="minMax"/>
        </c:scaling>
        <c:delete val="0"/>
        <c:axPos val="l"/>
        <c:numFmt formatCode="General" sourceLinked="1"/>
        <c:majorTickMark val="out"/>
        <c:minorTickMark val="none"/>
        <c:tickLblPos val="nextTo"/>
        <c:txPr>
          <a:bodyPr/>
          <a:lstStyle/>
          <a:p>
            <a:pPr>
              <a:defRPr lang="en-US"/>
            </a:pPr>
            <a:endParaRPr lang="ro-RO"/>
          </a:p>
        </c:txPr>
        <c:crossAx val="247069696"/>
        <c:crosses val="autoZero"/>
        <c:auto val="1"/>
        <c:lblAlgn val="ctr"/>
        <c:lblOffset val="100"/>
        <c:noMultiLvlLbl val="0"/>
      </c:catAx>
      <c:valAx>
        <c:axId val="247069696"/>
        <c:scaling>
          <c:orientation val="minMax"/>
        </c:scaling>
        <c:delete val="0"/>
        <c:axPos val="b"/>
        <c:majorGridlines/>
        <c:numFmt formatCode="General" sourceLinked="1"/>
        <c:majorTickMark val="out"/>
        <c:minorTickMark val="none"/>
        <c:tickLblPos val="nextTo"/>
        <c:txPr>
          <a:bodyPr/>
          <a:lstStyle/>
          <a:p>
            <a:pPr>
              <a:defRPr lang="en-US"/>
            </a:pPr>
            <a:endParaRPr lang="ro-RO"/>
          </a:p>
        </c:txPr>
        <c:crossAx val="247068160"/>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ro-RO"/>
          </a:p>
        </c:txPr>
      </c:legendEntry>
      <c:legendEntry>
        <c:idx val="1"/>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8002"/>
          <c:w val="0.74098323348090023"/>
          <c:h val="0.12666709187295774"/>
        </c:manualLayout>
      </c:layout>
      <c:overlay val="0"/>
      <c:txPr>
        <a:bodyPr/>
        <a:lstStyle/>
        <a:p>
          <a:pPr>
            <a:defRPr lang="en-US"/>
          </a:pPr>
          <a:endParaRPr lang="ro-RO"/>
        </a:p>
      </c:txPr>
    </c:legend>
    <c:plotVisOnly val="1"/>
    <c:dispBlanksAs val="gap"/>
    <c:showDLblsOverMax val="0"/>
  </c:chart>
  <c:spPr>
    <a:solidFill>
      <a:srgbClr val="FFFFDD">
        <a:alpha val="57000"/>
      </a:srgbClr>
    </a:solidFill>
  </c:sp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Cresterea anuala a fondului forestier (mc/an/ha)</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5.5</c:v>
                </c:pt>
                <c:pt idx="1">
                  <c:v>5.5</c:v>
                </c:pt>
                <c:pt idx="2">
                  <c:v>5.5</c:v>
                </c:pt>
                <c:pt idx="3">
                  <c:v>5.5</c:v>
                </c:pt>
                <c:pt idx="4">
                  <c:v>5.5</c:v>
                </c:pt>
              </c:numCache>
            </c:numRef>
          </c:val>
          <c:extLst>
            <c:ext xmlns:c16="http://schemas.microsoft.com/office/drawing/2014/chart" uri="{C3380CC4-5D6E-409C-BE32-E72D297353CC}">
              <c16:uniqueId val="{00000000-5398-4217-AB07-CBAAA63B3EB6}"/>
            </c:ext>
          </c:extLst>
        </c:ser>
        <c:ser>
          <c:idx val="1"/>
          <c:order val="1"/>
          <c:tx>
            <c:strRef>
              <c:f>Sheet1!$C$1</c:f>
              <c:strCache>
                <c:ptCount val="1"/>
                <c:pt idx="0">
                  <c:v>Cantitatea de masa lemnoasa recoltata anual (mc/an/ha)</c:v>
                </c:pt>
              </c:strCache>
            </c:strRef>
          </c:tx>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5.5</c:v>
                </c:pt>
                <c:pt idx="1">
                  <c:v>5.3</c:v>
                </c:pt>
                <c:pt idx="2">
                  <c:v>5.3</c:v>
                </c:pt>
                <c:pt idx="3">
                  <c:v>5.3</c:v>
                </c:pt>
                <c:pt idx="4">
                  <c:v>5.3</c:v>
                </c:pt>
              </c:numCache>
            </c:numRef>
          </c:val>
          <c:extLst>
            <c:ext xmlns:c16="http://schemas.microsoft.com/office/drawing/2014/chart" uri="{C3380CC4-5D6E-409C-BE32-E72D297353CC}">
              <c16:uniqueId val="{00000001-5398-4217-AB07-CBAAA63B3EB6}"/>
            </c:ext>
          </c:extLst>
        </c:ser>
        <c:dLbls>
          <c:showLegendKey val="0"/>
          <c:showVal val="0"/>
          <c:showCatName val="0"/>
          <c:showSerName val="0"/>
          <c:showPercent val="0"/>
          <c:showBubbleSize val="0"/>
        </c:dLbls>
        <c:gapWidth val="150"/>
        <c:shape val="cone"/>
        <c:axId val="350785536"/>
        <c:axId val="350787072"/>
        <c:axId val="350767296"/>
      </c:bar3DChart>
      <c:catAx>
        <c:axId val="350785536"/>
        <c:scaling>
          <c:orientation val="minMax"/>
        </c:scaling>
        <c:delete val="0"/>
        <c:axPos val="b"/>
        <c:numFmt formatCode="General" sourceLinked="1"/>
        <c:majorTickMark val="out"/>
        <c:minorTickMark val="none"/>
        <c:tickLblPos val="nextTo"/>
        <c:crossAx val="350787072"/>
        <c:crosses val="autoZero"/>
        <c:auto val="1"/>
        <c:lblAlgn val="ctr"/>
        <c:lblOffset val="100"/>
        <c:noMultiLvlLbl val="0"/>
      </c:catAx>
      <c:valAx>
        <c:axId val="350787072"/>
        <c:scaling>
          <c:orientation val="minMax"/>
        </c:scaling>
        <c:delete val="0"/>
        <c:axPos val="l"/>
        <c:majorGridlines/>
        <c:numFmt formatCode="General" sourceLinked="1"/>
        <c:majorTickMark val="out"/>
        <c:minorTickMark val="none"/>
        <c:tickLblPos val="nextTo"/>
        <c:crossAx val="350785536"/>
        <c:crosses val="autoZero"/>
        <c:crossBetween val="between"/>
      </c:valAx>
      <c:serAx>
        <c:axId val="350767296"/>
        <c:scaling>
          <c:orientation val="minMax"/>
        </c:scaling>
        <c:delete val="1"/>
        <c:axPos val="b"/>
        <c:majorTickMark val="out"/>
        <c:minorTickMark val="none"/>
        <c:tickLblPos val="none"/>
        <c:crossAx val="350787072"/>
        <c:crosses val="autoZero"/>
      </c:serAx>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198"/>
              <a:t>A</a:t>
            </a:r>
            <a:r>
              <a:rPr lang="en-US" sz="1198"/>
              <a:t>rii naturale protejate</a:t>
            </a:r>
            <a:r>
              <a:rPr lang="ro-RO" sz="1198"/>
              <a:t> desemnate </a:t>
            </a:r>
            <a:endParaRPr lang="en-US" sz="1200"/>
          </a:p>
        </c:rich>
      </c:tx>
      <c:overlay val="0"/>
    </c:title>
    <c:autoTitleDeleted val="0"/>
    <c:plotArea>
      <c:layout/>
      <c:barChart>
        <c:barDir val="bar"/>
        <c:grouping val="clustered"/>
        <c:varyColors val="0"/>
        <c:ser>
          <c:idx val="0"/>
          <c:order val="0"/>
          <c:tx>
            <c:strRef>
              <c:f>Sheet1!$B$1</c:f>
              <c:strCache>
                <c:ptCount val="1"/>
                <c:pt idx="0">
                  <c:v>Nr. Arii naturale protejate</c:v>
                </c:pt>
              </c:strCache>
            </c:strRef>
          </c:tx>
          <c:invertIfNegative val="0"/>
          <c:cat>
            <c:numRef>
              <c:f>Sheet1!$A$2:$A$7</c:f>
              <c:numCache>
                <c:formatCode>General</c:formatCode>
                <c:ptCount val="6"/>
                <c:pt idx="0">
                  <c:v>1994</c:v>
                </c:pt>
                <c:pt idx="1">
                  <c:v>2007</c:v>
                </c:pt>
                <c:pt idx="2">
                  <c:v>2011</c:v>
                </c:pt>
                <c:pt idx="3">
                  <c:v>2015</c:v>
                </c:pt>
                <c:pt idx="4">
                  <c:v>2016</c:v>
                </c:pt>
              </c:numCache>
            </c:numRef>
          </c:cat>
          <c:val>
            <c:numRef>
              <c:f>Sheet1!$B$2:$B$7</c:f>
              <c:numCache>
                <c:formatCode>General</c:formatCode>
                <c:ptCount val="6"/>
                <c:pt idx="0">
                  <c:v>5</c:v>
                </c:pt>
                <c:pt idx="1">
                  <c:v>17</c:v>
                </c:pt>
                <c:pt idx="2">
                  <c:v>24</c:v>
                </c:pt>
                <c:pt idx="3">
                  <c:v>25</c:v>
                </c:pt>
                <c:pt idx="4">
                  <c:v>26</c:v>
                </c:pt>
              </c:numCache>
            </c:numRef>
          </c:val>
          <c:extLst>
            <c:ext xmlns:c16="http://schemas.microsoft.com/office/drawing/2014/chart" uri="{C3380CC4-5D6E-409C-BE32-E72D297353CC}">
              <c16:uniqueId val="{00000000-AF39-4C5C-B722-F0909A84FE9E}"/>
            </c:ext>
          </c:extLst>
        </c:ser>
        <c:dLbls>
          <c:showLegendKey val="0"/>
          <c:showVal val="0"/>
          <c:showCatName val="0"/>
          <c:showSerName val="0"/>
          <c:showPercent val="0"/>
          <c:showBubbleSize val="0"/>
        </c:dLbls>
        <c:gapWidth val="150"/>
        <c:axId val="209613520"/>
        <c:axId val="1"/>
      </c:barChart>
      <c:catAx>
        <c:axId val="209613520"/>
        <c:scaling>
          <c:orientation val="minMax"/>
        </c:scaling>
        <c:delete val="0"/>
        <c:axPos val="l"/>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b"/>
        <c:majorGridlines/>
        <c:numFmt formatCode="General" sourceLinked="1"/>
        <c:majorTickMark val="out"/>
        <c:minorTickMark val="none"/>
        <c:tickLblPos val="nextTo"/>
        <c:crossAx val="209613520"/>
        <c:crosses val="autoZero"/>
        <c:crossBetween val="between"/>
      </c:valAx>
    </c:plotArea>
    <c:legend>
      <c:legendPos val="r"/>
      <c:overlay val="0"/>
    </c:legend>
    <c:plotVisOnly val="1"/>
    <c:dispBlanksAs val="gap"/>
    <c:showDLblsOverMax val="0"/>
  </c:chart>
  <c:spPr>
    <a:solidFill>
      <a:srgbClr val="FFFF00"/>
    </a:solidFill>
  </c:sp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o-RO" sz="1199"/>
              <a:t>Evoluția suprafeței totale arii protejate(ha)</a:t>
            </a:r>
          </a:p>
        </c:rich>
      </c:tx>
      <c:overlay val="0"/>
    </c:title>
    <c:autoTitleDeleted val="0"/>
    <c:plotArea>
      <c:layout/>
      <c:barChart>
        <c:barDir val="bar"/>
        <c:grouping val="clustered"/>
        <c:varyColors val="0"/>
        <c:ser>
          <c:idx val="0"/>
          <c:order val="0"/>
          <c:tx>
            <c:strRef>
              <c:f>Sheet1!$B$1</c:f>
              <c:strCache>
                <c:ptCount val="1"/>
                <c:pt idx="0">
                  <c:v>Suprafata totala arii protejate(ha)</c:v>
                </c:pt>
              </c:strCache>
            </c:strRef>
          </c:tx>
          <c:invertIfNegative val="0"/>
          <c:cat>
            <c:numRef>
              <c:f>Sheet1!$A$2:$A$5</c:f>
              <c:numCache>
                <c:formatCode>General</c:formatCode>
                <c:ptCount val="4"/>
                <c:pt idx="0">
                  <c:v>1994</c:v>
                </c:pt>
                <c:pt idx="1">
                  <c:v>2011</c:v>
                </c:pt>
              </c:numCache>
            </c:numRef>
          </c:cat>
          <c:val>
            <c:numRef>
              <c:f>Sheet1!$B$2:$B$5</c:f>
              <c:numCache>
                <c:formatCode>General</c:formatCode>
                <c:ptCount val="4"/>
                <c:pt idx="0">
                  <c:v>17511</c:v>
                </c:pt>
                <c:pt idx="1">
                  <c:v>60000</c:v>
                </c:pt>
              </c:numCache>
            </c:numRef>
          </c:val>
          <c:extLst>
            <c:ext xmlns:c16="http://schemas.microsoft.com/office/drawing/2014/chart" uri="{C3380CC4-5D6E-409C-BE32-E72D297353CC}">
              <c16:uniqueId val="{00000000-117E-475F-AC6F-AD77F282CDC8}"/>
            </c:ext>
          </c:extLst>
        </c:ser>
        <c:dLbls>
          <c:showLegendKey val="0"/>
          <c:showVal val="0"/>
          <c:showCatName val="0"/>
          <c:showSerName val="0"/>
          <c:showPercent val="0"/>
          <c:showBubbleSize val="0"/>
        </c:dLbls>
        <c:gapWidth val="150"/>
        <c:axId val="209608272"/>
        <c:axId val="1"/>
      </c:barChart>
      <c:catAx>
        <c:axId val="209608272"/>
        <c:scaling>
          <c:orientation val="minMax"/>
        </c:scaling>
        <c:delete val="0"/>
        <c:axPos val="l"/>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b"/>
        <c:majorGridlines/>
        <c:numFmt formatCode="General" sourceLinked="1"/>
        <c:majorTickMark val="out"/>
        <c:minorTickMark val="none"/>
        <c:tickLblPos val="nextTo"/>
        <c:crossAx val="209608272"/>
        <c:crosses val="autoZero"/>
        <c:crossBetween val="between"/>
      </c:valAx>
    </c:plotArea>
    <c:plotVisOnly val="1"/>
    <c:dispBlanksAs val="gap"/>
    <c:showDLblsOverMax val="0"/>
  </c:chart>
  <c:spPr>
    <a:solidFill>
      <a:srgbClr val="FFFF00"/>
    </a:solidFill>
  </c:sp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lineChart>
        <c:grouping val="standard"/>
        <c:varyColors val="0"/>
        <c:ser>
          <c:idx val="0"/>
          <c:order val="0"/>
          <c:tx>
            <c:strRef>
              <c:f>'[Diagrama din Microsoft Word]Sheet1'!$B$1</c:f>
              <c:strCache>
                <c:ptCount val="1"/>
                <c:pt idx="0">
                  <c:v>Fond forestier(ha)</c:v>
                </c:pt>
              </c:strCache>
            </c:strRef>
          </c:tx>
          <c:spPr>
            <a:ln w="28575" cap="rnd">
              <a:solidFill>
                <a:srgbClr val="F79646">
                  <a:lumMod val="50000"/>
                </a:srgbClr>
              </a:solidFill>
              <a:round/>
            </a:ln>
            <a:effectLst/>
          </c:spPr>
          <c:marker>
            <c:symbol val="circle"/>
            <c:size val="5"/>
            <c:spPr>
              <a:solidFill>
                <a:srgbClr val="F79646">
                  <a:lumMod val="75000"/>
                </a:srgbClr>
              </a:solidFill>
              <a:ln w="9525">
                <a:solidFill>
                  <a:schemeClr val="accent1"/>
                </a:solidFill>
              </a:ln>
              <a:effectLst/>
            </c:spPr>
          </c:marker>
          <c:cat>
            <c:numRef>
              <c:f>'[Diagrama din Microsoft Word]Sheet1'!$A$2:$A$7</c:f>
              <c:numCache>
                <c:formatCode>General</c:formatCode>
                <c:ptCount val="6"/>
                <c:pt idx="1">
                  <c:v>2014</c:v>
                </c:pt>
                <c:pt idx="2">
                  <c:v>2015</c:v>
                </c:pt>
                <c:pt idx="3">
                  <c:v>2016</c:v>
                </c:pt>
                <c:pt idx="4">
                  <c:v>2017</c:v>
                </c:pt>
                <c:pt idx="5">
                  <c:v>2018</c:v>
                </c:pt>
              </c:numCache>
            </c:numRef>
          </c:cat>
          <c:val>
            <c:numRef>
              <c:f>'[Diagrama din Microsoft Word]Sheet1'!$B$2:$B$7</c:f>
              <c:numCache>
                <c:formatCode>General</c:formatCode>
                <c:ptCount val="6"/>
                <c:pt idx="1">
                  <c:v>27414</c:v>
                </c:pt>
                <c:pt idx="2">
                  <c:v>28026</c:v>
                </c:pt>
                <c:pt idx="3">
                  <c:v>28230</c:v>
                </c:pt>
                <c:pt idx="4">
                  <c:v>28296</c:v>
                </c:pt>
                <c:pt idx="5">
                  <c:v>28293</c:v>
                </c:pt>
              </c:numCache>
            </c:numRef>
          </c:val>
          <c:smooth val="0"/>
          <c:extLst>
            <c:ext xmlns:c16="http://schemas.microsoft.com/office/drawing/2014/chart" uri="{C3380CC4-5D6E-409C-BE32-E72D297353CC}">
              <c16:uniqueId val="{00000000-17A2-4ABF-BB68-363A052FFBFB}"/>
            </c:ext>
          </c:extLst>
        </c:ser>
        <c:dLbls>
          <c:showLegendKey val="0"/>
          <c:showVal val="0"/>
          <c:showCatName val="0"/>
          <c:showSerName val="0"/>
          <c:showPercent val="0"/>
          <c:showBubbleSize val="0"/>
        </c:dLbls>
        <c:marker val="1"/>
        <c:smooth val="0"/>
        <c:axId val="512539808"/>
        <c:axId val="512541472"/>
      </c:lineChart>
      <c:catAx>
        <c:axId val="51253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12541472"/>
        <c:crosses val="autoZero"/>
        <c:auto val="1"/>
        <c:lblAlgn val="ctr"/>
        <c:lblOffset val="100"/>
        <c:noMultiLvlLbl val="0"/>
      </c:catAx>
      <c:valAx>
        <c:axId val="512541472"/>
        <c:scaling>
          <c:orientation val="minMax"/>
        </c:scaling>
        <c:delete val="0"/>
        <c:axPos val="l"/>
        <c:majorGridlines>
          <c:spPr>
            <a:ln w="9525" cap="flat" cmpd="sng" algn="ctr">
              <a:solidFill>
                <a:srgbClr val="8064A2">
                  <a:lumMod val="20000"/>
                  <a:lumOff val="80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12539808"/>
        <c:crosses val="autoZero"/>
        <c:crossBetween val="between"/>
      </c:valAx>
      <c:spPr>
        <a:solidFill>
          <a:srgbClr val="8064A2">
            <a:lumMod val="20000"/>
            <a:lumOff val="80000"/>
          </a:srgb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o-RO"/>
              <a:t>Repartiția fondului forestier pe forme de proprietate</a:t>
            </a:r>
          </a:p>
          <a:p>
            <a:pPr>
              <a:defRPr/>
            </a:pP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o-RO"/>
        </a:p>
      </c:txPr>
    </c:title>
    <c:autoTitleDeleted val="0"/>
    <c:plotArea>
      <c:layout/>
      <c:barChart>
        <c:barDir val="bar"/>
        <c:grouping val="clustered"/>
        <c:varyColors val="0"/>
        <c:ser>
          <c:idx val="0"/>
          <c:order val="0"/>
          <c:tx>
            <c:strRef>
              <c:f>Foaie1!$B$1</c:f>
              <c:strCache>
                <c:ptCount val="1"/>
                <c:pt idx="0">
                  <c:v>Proprietate de stat</c:v>
                </c:pt>
              </c:strCache>
            </c:strRef>
          </c:tx>
          <c:spPr>
            <a:solidFill>
              <a:schemeClr val="accent1">
                <a:lumMod val="60000"/>
                <a:lumOff val="40000"/>
              </a:schemeClr>
            </a:solidFill>
            <a:ln>
              <a:noFill/>
            </a:ln>
            <a:effectLst/>
          </c:spPr>
          <c:invertIfNegative val="0"/>
          <c:cat>
            <c:numRef>
              <c:f>Foaie1!$A$2:$A$6</c:f>
              <c:numCache>
                <c:formatCode>General</c:formatCode>
                <c:ptCount val="5"/>
                <c:pt idx="0">
                  <c:v>2014</c:v>
                </c:pt>
                <c:pt idx="1">
                  <c:v>2015</c:v>
                </c:pt>
                <c:pt idx="2">
                  <c:v>2016</c:v>
                </c:pt>
                <c:pt idx="3">
                  <c:v>2017</c:v>
                </c:pt>
                <c:pt idx="4">
                  <c:v>2018</c:v>
                </c:pt>
              </c:numCache>
            </c:numRef>
          </c:cat>
          <c:val>
            <c:numRef>
              <c:f>Foaie1!$B$2:$B$6</c:f>
              <c:numCache>
                <c:formatCode>General</c:formatCode>
                <c:ptCount val="5"/>
                <c:pt idx="0">
                  <c:v>24049</c:v>
                </c:pt>
                <c:pt idx="1">
                  <c:v>24011</c:v>
                </c:pt>
                <c:pt idx="2">
                  <c:v>24215</c:v>
                </c:pt>
                <c:pt idx="3">
                  <c:v>22959</c:v>
                </c:pt>
                <c:pt idx="4">
                  <c:v>22955</c:v>
                </c:pt>
              </c:numCache>
            </c:numRef>
          </c:val>
          <c:extLst>
            <c:ext xmlns:c16="http://schemas.microsoft.com/office/drawing/2014/chart" uri="{C3380CC4-5D6E-409C-BE32-E72D297353CC}">
              <c16:uniqueId val="{00000000-E60B-436A-9DED-16A33908A7C9}"/>
            </c:ext>
          </c:extLst>
        </c:ser>
        <c:ser>
          <c:idx val="1"/>
          <c:order val="1"/>
          <c:tx>
            <c:strRef>
              <c:f>Foaie1!$C$1</c:f>
              <c:strCache>
                <c:ptCount val="1"/>
                <c:pt idx="0">
                  <c:v>Serie Proprietate publica a UAT</c:v>
                </c:pt>
              </c:strCache>
            </c:strRef>
          </c:tx>
          <c:spPr>
            <a:solidFill>
              <a:schemeClr val="accent3">
                <a:lumMod val="50000"/>
              </a:schemeClr>
            </a:solidFill>
            <a:ln>
              <a:noFill/>
            </a:ln>
            <a:effectLst/>
          </c:spPr>
          <c:invertIfNegative val="0"/>
          <c:cat>
            <c:numRef>
              <c:f>Foaie1!$A$2:$A$6</c:f>
              <c:numCache>
                <c:formatCode>General</c:formatCode>
                <c:ptCount val="5"/>
                <c:pt idx="0">
                  <c:v>2014</c:v>
                </c:pt>
                <c:pt idx="1">
                  <c:v>2015</c:v>
                </c:pt>
                <c:pt idx="2">
                  <c:v>2016</c:v>
                </c:pt>
                <c:pt idx="3">
                  <c:v>2017</c:v>
                </c:pt>
                <c:pt idx="4">
                  <c:v>2018</c:v>
                </c:pt>
              </c:numCache>
            </c:numRef>
          </c:cat>
          <c:val>
            <c:numRef>
              <c:f>Foaie1!$C$2:$C$6</c:f>
              <c:numCache>
                <c:formatCode>General</c:formatCode>
                <c:ptCount val="5"/>
                <c:pt idx="0">
                  <c:v>449</c:v>
                </c:pt>
                <c:pt idx="1">
                  <c:v>449</c:v>
                </c:pt>
                <c:pt idx="2">
                  <c:v>449</c:v>
                </c:pt>
                <c:pt idx="3">
                  <c:v>511</c:v>
                </c:pt>
                <c:pt idx="4">
                  <c:v>511</c:v>
                </c:pt>
              </c:numCache>
            </c:numRef>
          </c:val>
          <c:extLst>
            <c:ext xmlns:c16="http://schemas.microsoft.com/office/drawing/2014/chart" uri="{C3380CC4-5D6E-409C-BE32-E72D297353CC}">
              <c16:uniqueId val="{00000001-E60B-436A-9DED-16A33908A7C9}"/>
            </c:ext>
          </c:extLst>
        </c:ser>
        <c:ser>
          <c:idx val="2"/>
          <c:order val="2"/>
          <c:tx>
            <c:strRef>
              <c:f>Foaie1!$D$1</c:f>
              <c:strCache>
                <c:ptCount val="1"/>
                <c:pt idx="0">
                  <c:v>Proprietate privata a persoanelor juridice</c:v>
                </c:pt>
              </c:strCache>
            </c:strRef>
          </c:tx>
          <c:spPr>
            <a:solidFill>
              <a:schemeClr val="accent3"/>
            </a:solidFill>
            <a:ln>
              <a:noFill/>
            </a:ln>
            <a:effectLst/>
          </c:spPr>
          <c:invertIfNegative val="0"/>
          <c:cat>
            <c:numRef>
              <c:f>Foaie1!$A$2:$A$6</c:f>
              <c:numCache>
                <c:formatCode>General</c:formatCode>
                <c:ptCount val="5"/>
                <c:pt idx="0">
                  <c:v>2014</c:v>
                </c:pt>
                <c:pt idx="1">
                  <c:v>2015</c:v>
                </c:pt>
                <c:pt idx="2">
                  <c:v>2016</c:v>
                </c:pt>
                <c:pt idx="3">
                  <c:v>2017</c:v>
                </c:pt>
                <c:pt idx="4">
                  <c:v>2018</c:v>
                </c:pt>
              </c:numCache>
            </c:numRef>
          </c:cat>
          <c:val>
            <c:numRef>
              <c:f>Foaie1!$D$2:$D$6</c:f>
              <c:numCache>
                <c:formatCode>General</c:formatCode>
                <c:ptCount val="5"/>
                <c:pt idx="0">
                  <c:v>1520</c:v>
                </c:pt>
                <c:pt idx="1">
                  <c:v>1566</c:v>
                </c:pt>
                <c:pt idx="2">
                  <c:v>1566</c:v>
                </c:pt>
                <c:pt idx="3">
                  <c:v>2236</c:v>
                </c:pt>
                <c:pt idx="4">
                  <c:v>2236</c:v>
                </c:pt>
              </c:numCache>
            </c:numRef>
          </c:val>
          <c:extLst>
            <c:ext xmlns:c16="http://schemas.microsoft.com/office/drawing/2014/chart" uri="{C3380CC4-5D6E-409C-BE32-E72D297353CC}">
              <c16:uniqueId val="{00000002-E60B-436A-9DED-16A33908A7C9}"/>
            </c:ext>
          </c:extLst>
        </c:ser>
        <c:ser>
          <c:idx val="3"/>
          <c:order val="3"/>
          <c:tx>
            <c:strRef>
              <c:f>Foaie1!$E$1</c:f>
              <c:strCache>
                <c:ptCount val="1"/>
                <c:pt idx="0">
                  <c:v>Proprietate privata a persoanelor fizice</c:v>
                </c:pt>
              </c:strCache>
            </c:strRef>
          </c:tx>
          <c:spPr>
            <a:solidFill>
              <a:schemeClr val="accent6">
                <a:lumMod val="75000"/>
              </a:schemeClr>
            </a:solidFill>
            <a:ln>
              <a:solidFill>
                <a:srgbClr val="8064A2">
                  <a:lumMod val="20000"/>
                  <a:lumOff val="80000"/>
                </a:srgbClr>
              </a:solidFill>
            </a:ln>
            <a:effectLst/>
          </c:spPr>
          <c:invertIfNegative val="0"/>
          <c:cat>
            <c:numRef>
              <c:f>Foaie1!$A$2:$A$6</c:f>
              <c:numCache>
                <c:formatCode>General</c:formatCode>
                <c:ptCount val="5"/>
                <c:pt idx="0">
                  <c:v>2014</c:v>
                </c:pt>
                <c:pt idx="1">
                  <c:v>2015</c:v>
                </c:pt>
                <c:pt idx="2">
                  <c:v>2016</c:v>
                </c:pt>
                <c:pt idx="3">
                  <c:v>2017</c:v>
                </c:pt>
                <c:pt idx="4">
                  <c:v>2018</c:v>
                </c:pt>
              </c:numCache>
            </c:numRef>
          </c:cat>
          <c:val>
            <c:numRef>
              <c:f>Foaie1!$E$2:$E$6</c:f>
              <c:numCache>
                <c:formatCode>General</c:formatCode>
                <c:ptCount val="5"/>
                <c:pt idx="0">
                  <c:v>1396</c:v>
                </c:pt>
                <c:pt idx="1">
                  <c:v>2000</c:v>
                </c:pt>
                <c:pt idx="2">
                  <c:v>2000</c:v>
                </c:pt>
                <c:pt idx="3">
                  <c:v>2590</c:v>
                </c:pt>
                <c:pt idx="4">
                  <c:v>2590</c:v>
                </c:pt>
              </c:numCache>
            </c:numRef>
          </c:val>
          <c:extLst>
            <c:ext xmlns:c16="http://schemas.microsoft.com/office/drawing/2014/chart" uri="{C3380CC4-5D6E-409C-BE32-E72D297353CC}">
              <c16:uniqueId val="{00000003-E60B-436A-9DED-16A33908A7C9}"/>
            </c:ext>
          </c:extLst>
        </c:ser>
        <c:dLbls>
          <c:showLegendKey val="0"/>
          <c:showVal val="0"/>
          <c:showCatName val="0"/>
          <c:showSerName val="0"/>
          <c:showPercent val="0"/>
          <c:showBubbleSize val="0"/>
        </c:dLbls>
        <c:gapWidth val="219"/>
        <c:axId val="971757791"/>
        <c:axId val="971761951"/>
      </c:barChart>
      <c:catAx>
        <c:axId val="971757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crossAx val="971761951"/>
        <c:crosses val="autoZero"/>
        <c:auto val="1"/>
        <c:lblAlgn val="ctr"/>
        <c:lblOffset val="100"/>
        <c:noMultiLvlLbl val="0"/>
      </c:catAx>
      <c:valAx>
        <c:axId val="971761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crossAx val="971757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o-R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093363329583799E-2"/>
          <c:y val="0.23182115393470556"/>
          <c:w val="0.92531065003735846"/>
          <c:h val="0.6294343976233947"/>
        </c:manualLayout>
      </c:layout>
      <c:barChart>
        <c:barDir val="col"/>
        <c:grouping val="clustered"/>
        <c:varyColors val="0"/>
        <c:ser>
          <c:idx val="1"/>
          <c:order val="0"/>
          <c:tx>
            <c:strRef>
              <c:f>Sheet1!$A$2</c:f>
              <c:strCache>
                <c:ptCount val="1"/>
                <c:pt idx="0">
                  <c:v>Sediu APM</c:v>
                </c:pt>
              </c:strCache>
            </c:strRef>
          </c:tx>
          <c:spPr>
            <a:solidFill>
              <a:srgbClr val="993366"/>
            </a:solidFill>
            <a:ln w="929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Media an 2018</c:v>
                </c:pt>
              </c:strCache>
            </c:strRef>
          </c:cat>
          <c:val>
            <c:numRef>
              <c:f>Sheet1!$B$2:$B$2</c:f>
              <c:numCache>
                <c:formatCode>General</c:formatCode>
                <c:ptCount val="1"/>
                <c:pt idx="0">
                  <c:v>3.14</c:v>
                </c:pt>
              </c:numCache>
            </c:numRef>
          </c:val>
          <c:extLst>
            <c:ext xmlns:c16="http://schemas.microsoft.com/office/drawing/2014/chart" uri="{C3380CC4-5D6E-409C-BE32-E72D297353CC}">
              <c16:uniqueId val="{00000000-D614-439B-A17D-498E915AA3E3}"/>
            </c:ext>
          </c:extLst>
        </c:ser>
        <c:ser>
          <c:idx val="2"/>
          <c:order val="1"/>
          <c:tx>
            <c:strRef>
              <c:f>Sheet1!$A$3</c:f>
              <c:strCache>
                <c:ptCount val="1"/>
                <c:pt idx="0">
                  <c:v>Uzina de Apă</c:v>
                </c:pt>
              </c:strCache>
            </c:strRef>
          </c:tx>
          <c:spPr>
            <a:solidFill>
              <a:srgbClr val="FFFFCC"/>
            </a:solidFill>
            <a:ln w="929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Sheet1!$B$1:$B$1</c:f>
              <c:strCache>
                <c:ptCount val="1"/>
                <c:pt idx="0">
                  <c:v>Media an 2018</c:v>
                </c:pt>
              </c:strCache>
            </c:strRef>
          </c:cat>
          <c:val>
            <c:numRef>
              <c:f>Sheet1!$B$3:$B$3</c:f>
              <c:numCache>
                <c:formatCode>General</c:formatCode>
                <c:ptCount val="1"/>
                <c:pt idx="0">
                  <c:v>5.2</c:v>
                </c:pt>
              </c:numCache>
            </c:numRef>
          </c:val>
          <c:extLst>
            <c:ext xmlns:c16="http://schemas.microsoft.com/office/drawing/2014/chart" uri="{C3380CC4-5D6E-409C-BE32-E72D297353CC}">
              <c16:uniqueId val="{00000001-D614-439B-A17D-498E915AA3E3}"/>
            </c:ext>
          </c:extLst>
        </c:ser>
        <c:ser>
          <c:idx val="3"/>
          <c:order val="2"/>
          <c:tx>
            <c:strRef>
              <c:f>Sheet1!$A$4</c:f>
              <c:strCache>
                <c:ptCount val="1"/>
                <c:pt idx="0">
                  <c:v>Vărsătura</c:v>
                </c:pt>
              </c:strCache>
            </c:strRef>
          </c:tx>
          <c:spPr>
            <a:solidFill>
              <a:srgbClr val="00FF00"/>
            </a:solidFill>
            <a:ln w="9290">
              <a:solidFill>
                <a:srgbClr val="000000"/>
              </a:solidFill>
              <a:prstDash val="solid"/>
            </a:ln>
          </c:spPr>
          <c:invertIfNegative val="0"/>
          <c:dLbls>
            <c:dLbl>
              <c:idx val="0"/>
              <c:layout>
                <c:manualLayout>
                  <c:x val="5.5026455026455062E-2"/>
                  <c:y val="5.0890585241731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14-439B-A17D-498E915AA3E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Media an 2018</c:v>
                </c:pt>
              </c:strCache>
            </c:strRef>
          </c:cat>
          <c:val>
            <c:numRef>
              <c:f>Sheet1!$B$4:$B$4</c:f>
              <c:numCache>
                <c:formatCode>General</c:formatCode>
                <c:ptCount val="1"/>
                <c:pt idx="0">
                  <c:v>13.33</c:v>
                </c:pt>
              </c:numCache>
            </c:numRef>
          </c:val>
          <c:extLst>
            <c:ext xmlns:c16="http://schemas.microsoft.com/office/drawing/2014/chart" uri="{C3380CC4-5D6E-409C-BE32-E72D297353CC}">
              <c16:uniqueId val="{00000003-D614-439B-A17D-498E915AA3E3}"/>
            </c:ext>
          </c:extLst>
        </c:ser>
        <c:ser>
          <c:idx val="4"/>
          <c:order val="3"/>
          <c:tx>
            <c:strRef>
              <c:f>Sheet1!$A$5</c:f>
              <c:strCache>
                <c:ptCount val="1"/>
                <c:pt idx="0">
                  <c:v>Str.Gen.Gh. Avramescu</c:v>
                </c:pt>
              </c:strCache>
            </c:strRef>
          </c:tx>
          <c:spPr>
            <a:solidFill>
              <a:srgbClr val="660066"/>
            </a:solidFill>
            <a:ln w="929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Media an 2018</c:v>
                </c:pt>
              </c:strCache>
            </c:strRef>
          </c:cat>
          <c:val>
            <c:numRef>
              <c:f>Sheet1!$B$5:$B$5</c:f>
              <c:numCache>
                <c:formatCode>General</c:formatCode>
                <c:ptCount val="1"/>
                <c:pt idx="0">
                  <c:v>5.17</c:v>
                </c:pt>
              </c:numCache>
            </c:numRef>
          </c:val>
          <c:extLst>
            <c:ext xmlns:c16="http://schemas.microsoft.com/office/drawing/2014/chart" uri="{C3380CC4-5D6E-409C-BE32-E72D297353CC}">
              <c16:uniqueId val="{00000004-D614-439B-A17D-498E915AA3E3}"/>
            </c:ext>
          </c:extLst>
        </c:ser>
        <c:ser>
          <c:idx val="5"/>
          <c:order val="4"/>
          <c:tx>
            <c:strRef>
              <c:f>Sheet1!$A$6</c:f>
              <c:strCache>
                <c:ptCount val="1"/>
                <c:pt idx="0">
                  <c:v>Stația Nord</c:v>
                </c:pt>
              </c:strCache>
            </c:strRef>
          </c:tx>
          <c:spPr>
            <a:solidFill>
              <a:srgbClr val="FF8080"/>
            </a:solidFill>
            <a:ln w="929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Media an 2018</c:v>
                </c:pt>
              </c:strCache>
            </c:strRef>
          </c:cat>
          <c:val>
            <c:numRef>
              <c:f>Sheet1!$B$6:$B$6</c:f>
              <c:numCache>
                <c:formatCode>General</c:formatCode>
                <c:ptCount val="1"/>
                <c:pt idx="0">
                  <c:v>3.23</c:v>
                </c:pt>
              </c:numCache>
            </c:numRef>
          </c:val>
          <c:extLst>
            <c:ext xmlns:c16="http://schemas.microsoft.com/office/drawing/2014/chart" uri="{C3380CC4-5D6E-409C-BE32-E72D297353CC}">
              <c16:uniqueId val="{00000005-D614-439B-A17D-498E915AA3E3}"/>
            </c:ext>
          </c:extLst>
        </c:ser>
        <c:ser>
          <c:idx val="6"/>
          <c:order val="5"/>
          <c:tx>
            <c:strRef>
              <c:f>Sheet1!$A$7</c:f>
              <c:strCache>
                <c:ptCount val="1"/>
                <c:pt idx="0">
                  <c:v>SC Hercules</c:v>
                </c:pt>
              </c:strCache>
            </c:strRef>
          </c:tx>
          <c:spPr>
            <a:solidFill>
              <a:srgbClr val="0066CC"/>
            </a:solidFill>
            <a:ln w="929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Media an 2018</c:v>
                </c:pt>
              </c:strCache>
            </c:strRef>
          </c:cat>
          <c:val>
            <c:numRef>
              <c:f>Sheet1!$B$7:$B$7</c:f>
              <c:numCache>
                <c:formatCode>General</c:formatCode>
                <c:ptCount val="1"/>
                <c:pt idx="0">
                  <c:v>8.16</c:v>
                </c:pt>
              </c:numCache>
            </c:numRef>
          </c:val>
          <c:extLst>
            <c:ext xmlns:c16="http://schemas.microsoft.com/office/drawing/2014/chart" uri="{C3380CC4-5D6E-409C-BE32-E72D297353CC}">
              <c16:uniqueId val="{00000006-D614-439B-A17D-498E915AA3E3}"/>
            </c:ext>
          </c:extLst>
        </c:ser>
        <c:ser>
          <c:idx val="0"/>
          <c:order val="6"/>
          <c:tx>
            <c:strRef>
              <c:f>Sheet1!$A$8</c:f>
              <c:strCache>
                <c:ptCount val="1"/>
                <c:pt idx="0">
                  <c:v>Termoelectrica Chiscani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Media an 2018</c:v>
                </c:pt>
              </c:strCache>
            </c:strRef>
          </c:cat>
          <c:val>
            <c:numRef>
              <c:f>Sheet1!$B$8:$B$8</c:f>
              <c:numCache>
                <c:formatCode>General</c:formatCode>
                <c:ptCount val="1"/>
                <c:pt idx="0">
                  <c:v>4.62</c:v>
                </c:pt>
              </c:numCache>
            </c:numRef>
          </c:val>
          <c:extLst>
            <c:ext xmlns:c16="http://schemas.microsoft.com/office/drawing/2014/chart" uri="{C3380CC4-5D6E-409C-BE32-E72D297353CC}">
              <c16:uniqueId val="{00000007-D614-439B-A17D-498E915AA3E3}"/>
            </c:ext>
          </c:extLst>
        </c:ser>
        <c:ser>
          <c:idx val="7"/>
          <c:order val="7"/>
          <c:tx>
            <c:strRef>
              <c:f>Sheet1!$A$9</c:f>
              <c:strCache>
                <c:ptCount val="1"/>
                <c:pt idx="0">
                  <c:v>Str.Galați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Media an 2018</c:v>
                </c:pt>
              </c:strCache>
            </c:strRef>
          </c:cat>
          <c:val>
            <c:numRef>
              <c:f>Sheet1!$B$9:$B$9</c:f>
              <c:numCache>
                <c:formatCode>General</c:formatCode>
                <c:ptCount val="1"/>
                <c:pt idx="0">
                  <c:v>6.73</c:v>
                </c:pt>
              </c:numCache>
            </c:numRef>
          </c:val>
          <c:extLst>
            <c:ext xmlns:c16="http://schemas.microsoft.com/office/drawing/2014/chart" uri="{C3380CC4-5D6E-409C-BE32-E72D297353CC}">
              <c16:uniqueId val="{00000008-D614-439B-A17D-498E915AA3E3}"/>
            </c:ext>
          </c:extLst>
        </c:ser>
        <c:ser>
          <c:idx val="8"/>
          <c:order val="8"/>
          <c:tx>
            <c:strRef>
              <c:f>Sheet1!$A$10</c:f>
              <c:strCache>
                <c:ptCount val="1"/>
                <c:pt idx="0">
                  <c:v>Cazasu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Media an 2018</c:v>
                </c:pt>
              </c:strCache>
            </c:strRef>
          </c:cat>
          <c:val>
            <c:numRef>
              <c:f>Sheet1!$B$10:$B$10</c:f>
              <c:numCache>
                <c:formatCode>General</c:formatCode>
                <c:ptCount val="1"/>
                <c:pt idx="0">
                  <c:v>3.86</c:v>
                </c:pt>
              </c:numCache>
            </c:numRef>
          </c:val>
          <c:extLst>
            <c:ext xmlns:c16="http://schemas.microsoft.com/office/drawing/2014/chart" uri="{C3380CC4-5D6E-409C-BE32-E72D297353CC}">
              <c16:uniqueId val="{00000009-D614-439B-A17D-498E915AA3E3}"/>
            </c:ext>
          </c:extLst>
        </c:ser>
        <c:ser>
          <c:idx val="9"/>
          <c:order val="9"/>
          <c:tx>
            <c:strRef>
              <c:f>Sheet1!$A$11</c:f>
              <c:strCache>
                <c:ptCount val="1"/>
                <c:pt idx="0">
                  <c:v>Primaria Brăila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Media an 2018</c:v>
                </c:pt>
              </c:strCache>
            </c:strRef>
          </c:cat>
          <c:val>
            <c:numRef>
              <c:f>Sheet1!$B$11:$B$11</c:f>
              <c:numCache>
                <c:formatCode>General</c:formatCode>
                <c:ptCount val="1"/>
                <c:pt idx="0">
                  <c:v>5.22</c:v>
                </c:pt>
              </c:numCache>
            </c:numRef>
          </c:val>
          <c:extLst>
            <c:ext xmlns:c16="http://schemas.microsoft.com/office/drawing/2014/chart" uri="{C3380CC4-5D6E-409C-BE32-E72D297353CC}">
              <c16:uniqueId val="{0000000A-D614-439B-A17D-498E915AA3E3}"/>
            </c:ext>
          </c:extLst>
        </c:ser>
        <c:dLbls>
          <c:showLegendKey val="0"/>
          <c:showVal val="0"/>
          <c:showCatName val="0"/>
          <c:showSerName val="0"/>
          <c:showPercent val="0"/>
          <c:showBubbleSize val="0"/>
        </c:dLbls>
        <c:gapWidth val="113"/>
        <c:overlap val="-76"/>
        <c:axId val="216205184"/>
        <c:axId val="216206720"/>
      </c:barChart>
      <c:catAx>
        <c:axId val="216205184"/>
        <c:scaling>
          <c:orientation val="minMax"/>
        </c:scaling>
        <c:delete val="0"/>
        <c:axPos val="b"/>
        <c:numFmt formatCode="General" sourceLinked="1"/>
        <c:majorTickMark val="none"/>
        <c:minorTickMark val="none"/>
        <c:tickLblPos val="low"/>
        <c:spPr>
          <a:ln w="2322">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o-RO"/>
          </a:p>
        </c:txPr>
        <c:crossAx val="216206720"/>
        <c:crosses val="autoZero"/>
        <c:auto val="1"/>
        <c:lblAlgn val="ctr"/>
        <c:lblOffset val="100"/>
        <c:tickLblSkip val="1"/>
        <c:tickMarkSkip val="1"/>
        <c:noMultiLvlLbl val="0"/>
      </c:catAx>
      <c:valAx>
        <c:axId val="216206720"/>
        <c:scaling>
          <c:orientation val="minMax"/>
        </c:scaling>
        <c:delete val="0"/>
        <c:axPos val="l"/>
        <c:majorGridlines>
          <c:spPr>
            <a:ln w="2322">
              <a:solidFill>
                <a:srgbClr val="000000"/>
              </a:solidFill>
              <a:prstDash val="solid"/>
            </a:ln>
          </c:spPr>
        </c:majorGridlines>
        <c:numFmt formatCode="General" sourceLinked="1"/>
        <c:majorTickMark val="none"/>
        <c:minorTickMark val="none"/>
        <c:tickLblPos val="nextTo"/>
        <c:spPr>
          <a:ln w="2322">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16205184"/>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291">
          <a:solidFill>
            <a:srgbClr val="808080"/>
          </a:solidFill>
          <a:prstDash val="solid"/>
        </a:ln>
      </c:spPr>
    </c:plotArea>
    <c:plotVisOnly val="1"/>
    <c:dispBlanksAs val="gap"/>
    <c:showDLblsOverMax val="0"/>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Evoluția</a:t>
            </a:r>
            <a:r>
              <a:rPr lang="ro-RO" baseline="0"/>
              <a:t> fondului forestier</a:t>
            </a:r>
          </a:p>
        </c:rich>
      </c:tx>
      <c:overlay val="0"/>
      <c:spPr>
        <a:solidFill>
          <a:schemeClr val="accent4">
            <a:lumMod val="20000"/>
            <a:lumOff val="8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bar"/>
        <c:grouping val="clustered"/>
        <c:varyColors val="0"/>
        <c:ser>
          <c:idx val="0"/>
          <c:order val="0"/>
          <c:tx>
            <c:strRef>
              <c:f>Foaie1!$B$1</c:f>
              <c:strCache>
                <c:ptCount val="1"/>
                <c:pt idx="0">
                  <c:v>Coloană1</c:v>
                </c:pt>
              </c:strCache>
            </c:strRef>
          </c:tx>
          <c:spPr>
            <a:solidFill>
              <a:schemeClr val="accent3">
                <a:lumMod val="75000"/>
              </a:schemeClr>
            </a:solidFill>
            <a:ln>
              <a:solidFill>
                <a:srgbClr val="8064A2">
                  <a:lumMod val="20000"/>
                  <a:lumOff val="80000"/>
                </a:srgbClr>
              </a:solidFill>
            </a:ln>
            <a:effectLst/>
          </c:spPr>
          <c:invertIfNegative val="0"/>
          <c:dPt>
            <c:idx val="0"/>
            <c:invertIfNegative val="0"/>
            <c:bubble3D val="0"/>
            <c:spPr>
              <a:solidFill>
                <a:schemeClr val="accent3">
                  <a:lumMod val="75000"/>
                </a:schemeClr>
              </a:solidFill>
              <a:ln>
                <a:solidFill>
                  <a:srgbClr val="8064A2">
                    <a:lumMod val="20000"/>
                    <a:lumOff val="80000"/>
                  </a:srgbClr>
                </a:solidFill>
              </a:ln>
              <a:effectLst/>
            </c:spPr>
            <c:extLst>
              <c:ext xmlns:c16="http://schemas.microsoft.com/office/drawing/2014/chart" uri="{C3380CC4-5D6E-409C-BE32-E72D297353CC}">
                <c16:uniqueId val="{00000001-861D-47BA-B3AB-714C471A0035}"/>
              </c:ext>
            </c:extLst>
          </c:dPt>
          <c:dPt>
            <c:idx val="1"/>
            <c:invertIfNegative val="0"/>
            <c:bubble3D val="0"/>
            <c:spPr>
              <a:solidFill>
                <a:schemeClr val="accent3">
                  <a:lumMod val="75000"/>
                </a:schemeClr>
              </a:solidFill>
              <a:ln>
                <a:solidFill>
                  <a:srgbClr val="8064A2">
                    <a:lumMod val="20000"/>
                    <a:lumOff val="80000"/>
                  </a:srgbClr>
                </a:solidFill>
              </a:ln>
              <a:effectLst/>
            </c:spPr>
            <c:extLst>
              <c:ext xmlns:c16="http://schemas.microsoft.com/office/drawing/2014/chart" uri="{C3380CC4-5D6E-409C-BE32-E72D297353CC}">
                <c16:uniqueId val="{00000003-861D-47BA-B3AB-714C471A0035}"/>
              </c:ext>
            </c:extLst>
          </c:dPt>
          <c:dPt>
            <c:idx val="2"/>
            <c:invertIfNegative val="0"/>
            <c:bubble3D val="0"/>
            <c:spPr>
              <a:solidFill>
                <a:schemeClr val="accent3">
                  <a:lumMod val="75000"/>
                </a:schemeClr>
              </a:solidFill>
              <a:ln>
                <a:solidFill>
                  <a:srgbClr val="8064A2">
                    <a:lumMod val="20000"/>
                    <a:lumOff val="80000"/>
                  </a:srgbClr>
                </a:solidFill>
              </a:ln>
              <a:effectLst/>
            </c:spPr>
            <c:extLst>
              <c:ext xmlns:c16="http://schemas.microsoft.com/office/drawing/2014/chart" uri="{C3380CC4-5D6E-409C-BE32-E72D297353CC}">
                <c16:uniqueId val="{00000005-861D-47BA-B3AB-714C471A0035}"/>
              </c:ext>
            </c:extLst>
          </c:dPt>
          <c:dPt>
            <c:idx val="3"/>
            <c:invertIfNegative val="0"/>
            <c:bubble3D val="0"/>
            <c:spPr>
              <a:solidFill>
                <a:schemeClr val="accent3">
                  <a:lumMod val="75000"/>
                </a:schemeClr>
              </a:solidFill>
              <a:ln>
                <a:solidFill>
                  <a:srgbClr val="8064A2">
                    <a:lumMod val="20000"/>
                    <a:lumOff val="80000"/>
                  </a:srgbClr>
                </a:solidFill>
              </a:ln>
              <a:effectLst/>
            </c:spPr>
            <c:extLst>
              <c:ext xmlns:c16="http://schemas.microsoft.com/office/drawing/2014/chart" uri="{C3380CC4-5D6E-409C-BE32-E72D297353CC}">
                <c16:uniqueId val="{00000007-861D-47BA-B3AB-714C471A0035}"/>
              </c:ext>
            </c:extLst>
          </c:dPt>
          <c:dPt>
            <c:idx val="4"/>
            <c:invertIfNegative val="0"/>
            <c:bubble3D val="0"/>
            <c:spPr>
              <a:solidFill>
                <a:schemeClr val="accent3">
                  <a:lumMod val="75000"/>
                </a:schemeClr>
              </a:solidFill>
              <a:ln>
                <a:solidFill>
                  <a:srgbClr val="8064A2">
                    <a:lumMod val="20000"/>
                    <a:lumOff val="80000"/>
                  </a:srgbClr>
                </a:solidFill>
              </a:ln>
              <a:effectLst/>
            </c:spPr>
            <c:extLst>
              <c:ext xmlns:c16="http://schemas.microsoft.com/office/drawing/2014/chart" uri="{C3380CC4-5D6E-409C-BE32-E72D297353CC}">
                <c16:uniqueId val="{00000009-861D-47BA-B3AB-714C471A0035}"/>
              </c:ext>
            </c:extLst>
          </c:dPt>
          <c:cat>
            <c:numRef>
              <c:f>Foaie1!$A$2:$A$6</c:f>
              <c:numCache>
                <c:formatCode>General</c:formatCode>
                <c:ptCount val="5"/>
                <c:pt idx="0">
                  <c:v>2014</c:v>
                </c:pt>
                <c:pt idx="1">
                  <c:v>2015</c:v>
                </c:pt>
                <c:pt idx="2">
                  <c:v>2016</c:v>
                </c:pt>
                <c:pt idx="3">
                  <c:v>2017</c:v>
                </c:pt>
                <c:pt idx="4">
                  <c:v>2018</c:v>
                </c:pt>
              </c:numCache>
            </c:numRef>
          </c:cat>
          <c:val>
            <c:numRef>
              <c:f>Foaie1!$B$2:$B$6</c:f>
              <c:numCache>
                <c:formatCode>General</c:formatCode>
                <c:ptCount val="5"/>
                <c:pt idx="0">
                  <c:v>7.2999999999999995E-2</c:v>
                </c:pt>
                <c:pt idx="1">
                  <c:v>7.4999999999999997E-2</c:v>
                </c:pt>
                <c:pt idx="2">
                  <c:v>7.5999999999999998E-2</c:v>
                </c:pt>
                <c:pt idx="3">
                  <c:v>7.5999999999999998E-2</c:v>
                </c:pt>
                <c:pt idx="4">
                  <c:v>7.5999999999999998E-2</c:v>
                </c:pt>
              </c:numCache>
            </c:numRef>
          </c:val>
          <c:extLst>
            <c:ext xmlns:c16="http://schemas.microsoft.com/office/drawing/2014/chart" uri="{C3380CC4-5D6E-409C-BE32-E72D297353CC}">
              <c16:uniqueId val="{0000000A-861D-47BA-B3AB-714C471A0035}"/>
            </c:ext>
          </c:extLst>
        </c:ser>
        <c:ser>
          <c:idx val="1"/>
          <c:order val="1"/>
          <c:tx>
            <c:strRef>
              <c:f>Foaie1!$C$1</c:f>
              <c:strCache>
                <c:ptCount val="1"/>
                <c:pt idx="0">
                  <c:v>Coloană3</c:v>
                </c:pt>
              </c:strCache>
            </c:strRef>
          </c:tx>
          <c:spPr>
            <a:solidFill>
              <a:schemeClr val="accent2"/>
            </a:solidFill>
            <a:ln>
              <a:noFill/>
            </a:ln>
            <a:effectLst/>
          </c:spPr>
          <c:invertIfNegative val="0"/>
          <c:cat>
            <c:numRef>
              <c:f>Foaie1!$A$2:$A$6</c:f>
              <c:numCache>
                <c:formatCode>General</c:formatCode>
                <c:ptCount val="5"/>
                <c:pt idx="0">
                  <c:v>2014</c:v>
                </c:pt>
                <c:pt idx="1">
                  <c:v>2015</c:v>
                </c:pt>
                <c:pt idx="2">
                  <c:v>2016</c:v>
                </c:pt>
                <c:pt idx="3">
                  <c:v>2017</c:v>
                </c:pt>
                <c:pt idx="4">
                  <c:v>2018</c:v>
                </c:pt>
              </c:numCache>
            </c:numRef>
          </c:cat>
          <c:val>
            <c:numRef>
              <c:f>Foaie1!$C$2:$C$6</c:f>
              <c:numCache>
                <c:formatCode>General</c:formatCode>
                <c:ptCount val="5"/>
              </c:numCache>
            </c:numRef>
          </c:val>
          <c:extLst>
            <c:ext xmlns:c16="http://schemas.microsoft.com/office/drawing/2014/chart" uri="{C3380CC4-5D6E-409C-BE32-E72D297353CC}">
              <c16:uniqueId val="{0000000B-861D-47BA-B3AB-714C471A0035}"/>
            </c:ext>
          </c:extLst>
        </c:ser>
        <c:ser>
          <c:idx val="2"/>
          <c:order val="2"/>
          <c:tx>
            <c:strRef>
              <c:f>Foaie1!$D$1</c:f>
              <c:strCache>
                <c:ptCount val="1"/>
                <c:pt idx="0">
                  <c:v>Coloană2</c:v>
                </c:pt>
              </c:strCache>
            </c:strRef>
          </c:tx>
          <c:spPr>
            <a:solidFill>
              <a:schemeClr val="accent3"/>
            </a:solidFill>
            <a:ln>
              <a:noFill/>
            </a:ln>
            <a:effectLst/>
          </c:spPr>
          <c:invertIfNegative val="0"/>
          <c:cat>
            <c:numRef>
              <c:f>Foaie1!$A$2:$A$6</c:f>
              <c:numCache>
                <c:formatCode>General</c:formatCode>
                <c:ptCount val="5"/>
                <c:pt idx="0">
                  <c:v>2014</c:v>
                </c:pt>
                <c:pt idx="1">
                  <c:v>2015</c:v>
                </c:pt>
                <c:pt idx="2">
                  <c:v>2016</c:v>
                </c:pt>
                <c:pt idx="3">
                  <c:v>2017</c:v>
                </c:pt>
                <c:pt idx="4">
                  <c:v>2018</c:v>
                </c:pt>
              </c:numCache>
            </c:numRef>
          </c:cat>
          <c:val>
            <c:numRef>
              <c:f>Foaie1!$D$2:$D$6</c:f>
              <c:numCache>
                <c:formatCode>General</c:formatCode>
                <c:ptCount val="5"/>
              </c:numCache>
            </c:numRef>
          </c:val>
          <c:extLst>
            <c:ext xmlns:c16="http://schemas.microsoft.com/office/drawing/2014/chart" uri="{C3380CC4-5D6E-409C-BE32-E72D297353CC}">
              <c16:uniqueId val="{0000000C-861D-47BA-B3AB-714C471A0035}"/>
            </c:ext>
          </c:extLst>
        </c:ser>
        <c:dLbls>
          <c:showLegendKey val="0"/>
          <c:showVal val="0"/>
          <c:showCatName val="0"/>
          <c:showSerName val="0"/>
          <c:showPercent val="0"/>
          <c:showBubbleSize val="0"/>
        </c:dLbls>
        <c:gapWidth val="219"/>
        <c:axId val="14715615"/>
        <c:axId val="14717695"/>
      </c:barChart>
      <c:catAx>
        <c:axId val="14715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717695"/>
        <c:crosses val="autoZero"/>
        <c:auto val="1"/>
        <c:lblAlgn val="ctr"/>
        <c:lblOffset val="100"/>
        <c:noMultiLvlLbl val="0"/>
      </c:catAx>
      <c:valAx>
        <c:axId val="147176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715615"/>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accent4">
          <a:lumMod val="20000"/>
          <a:lumOff val="80000"/>
        </a:schemeClr>
      </a:solidFill>
      <a:round/>
    </a:ln>
    <a:effectLst/>
  </c:spPr>
  <c:txPr>
    <a:bodyPr/>
    <a:lstStyle/>
    <a:p>
      <a:pPr>
        <a:defRPr/>
      </a:pPr>
      <a:endParaRPr lang="ro-RO"/>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Cresteri</c:v>
                </c:pt>
              </c:strCache>
            </c:strRef>
          </c:tx>
          <c:spPr>
            <a:solidFill>
              <a:schemeClr val="accent6">
                <a:lumMod val="60000"/>
                <a:lumOff val="40000"/>
              </a:schemeClr>
            </a:solidFill>
          </c:spPr>
          <c:invertIfNegative val="0"/>
          <c:cat>
            <c:strRef>
              <c:f>Sheet1!$A$2:$A$7</c:f>
              <c:strCache>
                <c:ptCount val="6"/>
                <c:pt idx="1">
                  <c:v>Anul 2014</c:v>
                </c:pt>
                <c:pt idx="2">
                  <c:v>Anul 2015</c:v>
                </c:pt>
                <c:pt idx="3">
                  <c:v>Anul 2016</c:v>
                </c:pt>
                <c:pt idx="4">
                  <c:v>Anul 2017</c:v>
                </c:pt>
                <c:pt idx="5">
                  <c:v>Anul 2018</c:v>
                </c:pt>
              </c:strCache>
            </c:strRef>
          </c:cat>
          <c:val>
            <c:numRef>
              <c:f>Sheet1!$B$2:$B$7</c:f>
              <c:numCache>
                <c:formatCode>General</c:formatCode>
                <c:ptCount val="6"/>
                <c:pt idx="1">
                  <c:v>5.5</c:v>
                </c:pt>
                <c:pt idx="2">
                  <c:v>5.5</c:v>
                </c:pt>
                <c:pt idx="3">
                  <c:v>5.5</c:v>
                </c:pt>
                <c:pt idx="4">
                  <c:v>5.5</c:v>
                </c:pt>
                <c:pt idx="5">
                  <c:v>5.5</c:v>
                </c:pt>
              </c:numCache>
            </c:numRef>
          </c:val>
          <c:extLst>
            <c:ext xmlns:c16="http://schemas.microsoft.com/office/drawing/2014/chart" uri="{C3380CC4-5D6E-409C-BE32-E72D297353CC}">
              <c16:uniqueId val="{00000000-CDA8-4CCC-9E6D-9FB1B379FFF4}"/>
            </c:ext>
          </c:extLst>
        </c:ser>
        <c:ser>
          <c:idx val="1"/>
          <c:order val="1"/>
          <c:tx>
            <c:strRef>
              <c:f>Sheet1!$C$1</c:f>
              <c:strCache>
                <c:ptCount val="1"/>
                <c:pt idx="0">
                  <c:v>Taieri</c:v>
                </c:pt>
              </c:strCache>
            </c:strRef>
          </c:tx>
          <c:spPr>
            <a:solidFill>
              <a:schemeClr val="tx2">
                <a:lumMod val="40000"/>
                <a:lumOff val="60000"/>
              </a:schemeClr>
            </a:solidFill>
          </c:spPr>
          <c:invertIfNegative val="0"/>
          <c:cat>
            <c:strRef>
              <c:f>Sheet1!$A$2:$A$7</c:f>
              <c:strCache>
                <c:ptCount val="6"/>
                <c:pt idx="1">
                  <c:v>Anul 2014</c:v>
                </c:pt>
                <c:pt idx="2">
                  <c:v>Anul 2015</c:v>
                </c:pt>
                <c:pt idx="3">
                  <c:v>Anul 2016</c:v>
                </c:pt>
                <c:pt idx="4">
                  <c:v>Anul 2017</c:v>
                </c:pt>
                <c:pt idx="5">
                  <c:v>Anul 2018</c:v>
                </c:pt>
              </c:strCache>
            </c:strRef>
          </c:cat>
          <c:val>
            <c:numRef>
              <c:f>Sheet1!$C$2:$C$7</c:f>
              <c:numCache>
                <c:formatCode>General</c:formatCode>
                <c:ptCount val="6"/>
                <c:pt idx="1">
                  <c:v>5.5</c:v>
                </c:pt>
                <c:pt idx="2">
                  <c:v>5.3</c:v>
                </c:pt>
                <c:pt idx="3">
                  <c:v>5.3</c:v>
                </c:pt>
                <c:pt idx="4">
                  <c:v>5.3</c:v>
                </c:pt>
                <c:pt idx="5">
                  <c:v>5.3</c:v>
                </c:pt>
              </c:numCache>
            </c:numRef>
          </c:val>
          <c:extLst>
            <c:ext xmlns:c16="http://schemas.microsoft.com/office/drawing/2014/chart" uri="{C3380CC4-5D6E-409C-BE32-E72D297353CC}">
              <c16:uniqueId val="{00000001-CDA8-4CCC-9E6D-9FB1B379FFF4}"/>
            </c:ext>
          </c:extLst>
        </c:ser>
        <c:dLbls>
          <c:showLegendKey val="0"/>
          <c:showVal val="0"/>
          <c:showCatName val="0"/>
          <c:showSerName val="0"/>
          <c:showPercent val="0"/>
          <c:showBubbleSize val="0"/>
        </c:dLbls>
        <c:gapWidth val="150"/>
        <c:axId val="351239552"/>
        <c:axId val="351388800"/>
      </c:barChart>
      <c:catAx>
        <c:axId val="351239552"/>
        <c:scaling>
          <c:orientation val="minMax"/>
        </c:scaling>
        <c:delete val="0"/>
        <c:axPos val="b"/>
        <c:numFmt formatCode="General" sourceLinked="0"/>
        <c:majorTickMark val="out"/>
        <c:minorTickMark val="none"/>
        <c:tickLblPos val="nextTo"/>
        <c:crossAx val="351388800"/>
        <c:crosses val="autoZero"/>
        <c:auto val="1"/>
        <c:lblAlgn val="ctr"/>
        <c:lblOffset val="100"/>
        <c:noMultiLvlLbl val="0"/>
      </c:catAx>
      <c:valAx>
        <c:axId val="351388800"/>
        <c:scaling>
          <c:orientation val="minMax"/>
        </c:scaling>
        <c:delete val="0"/>
        <c:axPos val="l"/>
        <c:majorGridlines/>
        <c:numFmt formatCode="General" sourceLinked="1"/>
        <c:majorTickMark val="out"/>
        <c:minorTickMark val="none"/>
        <c:tickLblPos val="nextTo"/>
        <c:crossAx val="351239552"/>
        <c:crosses val="autoZero"/>
        <c:crossBetween val="between"/>
      </c:valAx>
    </c:plotArea>
    <c:legend>
      <c:legendPos val="r"/>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Plop</c:v>
                </c:pt>
              </c:strCache>
            </c:strRef>
          </c:tx>
          <c:spPr>
            <a:solidFill>
              <a:schemeClr val="accent2">
                <a:lumMod val="60000"/>
                <a:lumOff val="40000"/>
              </a:schemeClr>
            </a:solidFill>
          </c:spPr>
          <c:invertIfNegative val="0"/>
          <c:cat>
            <c:strRef>
              <c:f>Sheet1!$A$2:$A$5</c:f>
              <c:strCache>
                <c:ptCount val="4"/>
                <c:pt idx="0">
                  <c:v>Principale</c:v>
                </c:pt>
                <c:pt idx="1">
                  <c:v>Secundare</c:v>
                </c:pt>
                <c:pt idx="2">
                  <c:v>Accidentale</c:v>
                </c:pt>
                <c:pt idx="3">
                  <c:v>Total</c:v>
                </c:pt>
              </c:strCache>
            </c:strRef>
          </c:cat>
          <c:val>
            <c:numRef>
              <c:f>Sheet1!$B$2:$B$5</c:f>
              <c:numCache>
                <c:formatCode>General</c:formatCode>
                <c:ptCount val="4"/>
                <c:pt idx="0">
                  <c:v>30</c:v>
                </c:pt>
                <c:pt idx="1">
                  <c:v>3.5</c:v>
                </c:pt>
                <c:pt idx="2">
                  <c:v>0</c:v>
                </c:pt>
                <c:pt idx="3">
                  <c:v>33.5</c:v>
                </c:pt>
              </c:numCache>
            </c:numRef>
          </c:val>
          <c:extLst>
            <c:ext xmlns:c16="http://schemas.microsoft.com/office/drawing/2014/chart" uri="{C3380CC4-5D6E-409C-BE32-E72D297353CC}">
              <c16:uniqueId val="{00000000-AB73-4180-9529-1FED5265696D}"/>
            </c:ext>
          </c:extLst>
        </c:ser>
        <c:ser>
          <c:idx val="1"/>
          <c:order val="1"/>
          <c:tx>
            <c:strRef>
              <c:f>Sheet1!$C$1</c:f>
              <c:strCache>
                <c:ptCount val="1"/>
                <c:pt idx="0">
                  <c:v>Salcie</c:v>
                </c:pt>
              </c:strCache>
            </c:strRef>
          </c:tx>
          <c:spPr>
            <a:solidFill>
              <a:schemeClr val="accent1">
                <a:lumMod val="40000"/>
                <a:lumOff val="60000"/>
              </a:schemeClr>
            </a:solidFill>
          </c:spPr>
          <c:invertIfNegative val="0"/>
          <c:cat>
            <c:strRef>
              <c:f>Sheet1!$A$2:$A$5</c:f>
              <c:strCache>
                <c:ptCount val="4"/>
                <c:pt idx="0">
                  <c:v>Principale</c:v>
                </c:pt>
                <c:pt idx="1">
                  <c:v>Secundare</c:v>
                </c:pt>
                <c:pt idx="2">
                  <c:v>Accidentale</c:v>
                </c:pt>
                <c:pt idx="3">
                  <c:v>Total</c:v>
                </c:pt>
              </c:strCache>
            </c:strRef>
          </c:cat>
          <c:val>
            <c:numRef>
              <c:f>Sheet1!$C$2:$C$5</c:f>
              <c:numCache>
                <c:formatCode>General</c:formatCode>
                <c:ptCount val="4"/>
                <c:pt idx="0">
                  <c:v>20.100000000000001</c:v>
                </c:pt>
                <c:pt idx="1">
                  <c:v>2.2000000000000002</c:v>
                </c:pt>
                <c:pt idx="2">
                  <c:v>0</c:v>
                </c:pt>
                <c:pt idx="3">
                  <c:v>22.1</c:v>
                </c:pt>
              </c:numCache>
            </c:numRef>
          </c:val>
          <c:extLst>
            <c:ext xmlns:c16="http://schemas.microsoft.com/office/drawing/2014/chart" uri="{C3380CC4-5D6E-409C-BE32-E72D297353CC}">
              <c16:uniqueId val="{00000001-AB73-4180-9529-1FED5265696D}"/>
            </c:ext>
          </c:extLst>
        </c:ser>
        <c:ser>
          <c:idx val="2"/>
          <c:order val="2"/>
          <c:tx>
            <c:strRef>
              <c:f>Sheet1!$D$1</c:f>
              <c:strCache>
                <c:ptCount val="1"/>
                <c:pt idx="0">
                  <c:v>Alte esente</c:v>
                </c:pt>
              </c:strCache>
            </c:strRef>
          </c:tx>
          <c:spPr>
            <a:solidFill>
              <a:schemeClr val="tx2">
                <a:lumMod val="75000"/>
              </a:schemeClr>
            </a:solidFill>
          </c:spPr>
          <c:invertIfNegative val="0"/>
          <c:cat>
            <c:strRef>
              <c:f>Sheet1!$A$2:$A$5</c:f>
              <c:strCache>
                <c:ptCount val="4"/>
                <c:pt idx="0">
                  <c:v>Principale</c:v>
                </c:pt>
                <c:pt idx="1">
                  <c:v>Secundare</c:v>
                </c:pt>
                <c:pt idx="2">
                  <c:v>Accidentale</c:v>
                </c:pt>
                <c:pt idx="3">
                  <c:v>Total</c:v>
                </c:pt>
              </c:strCache>
            </c:strRef>
          </c:cat>
          <c:val>
            <c:numRef>
              <c:f>Sheet1!$D$2:$D$5</c:f>
              <c:numCache>
                <c:formatCode>General</c:formatCode>
                <c:ptCount val="4"/>
                <c:pt idx="0">
                  <c:v>1.5</c:v>
                </c:pt>
                <c:pt idx="1">
                  <c:v>2</c:v>
                </c:pt>
                <c:pt idx="2">
                  <c:v>0</c:v>
                </c:pt>
                <c:pt idx="3">
                  <c:v>3.5</c:v>
                </c:pt>
              </c:numCache>
            </c:numRef>
          </c:val>
          <c:extLst>
            <c:ext xmlns:c16="http://schemas.microsoft.com/office/drawing/2014/chart" uri="{C3380CC4-5D6E-409C-BE32-E72D297353CC}">
              <c16:uniqueId val="{00000002-AB73-4180-9529-1FED5265696D}"/>
            </c:ext>
          </c:extLst>
        </c:ser>
        <c:dLbls>
          <c:showLegendKey val="0"/>
          <c:showVal val="0"/>
          <c:showCatName val="0"/>
          <c:showSerName val="0"/>
          <c:showPercent val="0"/>
          <c:showBubbleSize val="0"/>
        </c:dLbls>
        <c:gapWidth val="150"/>
        <c:axId val="351406336"/>
        <c:axId val="351412224"/>
      </c:barChart>
      <c:catAx>
        <c:axId val="351406336"/>
        <c:scaling>
          <c:orientation val="minMax"/>
        </c:scaling>
        <c:delete val="0"/>
        <c:axPos val="b"/>
        <c:numFmt formatCode="General" sourceLinked="0"/>
        <c:majorTickMark val="out"/>
        <c:minorTickMark val="none"/>
        <c:tickLblPos val="nextTo"/>
        <c:crossAx val="351412224"/>
        <c:crosses val="autoZero"/>
        <c:auto val="1"/>
        <c:lblAlgn val="ctr"/>
        <c:lblOffset val="100"/>
        <c:noMultiLvlLbl val="0"/>
      </c:catAx>
      <c:valAx>
        <c:axId val="351412224"/>
        <c:scaling>
          <c:orientation val="minMax"/>
        </c:scaling>
        <c:delete val="0"/>
        <c:axPos val="l"/>
        <c:majorGridlines/>
        <c:numFmt formatCode="General" sourceLinked="1"/>
        <c:majorTickMark val="out"/>
        <c:minorTickMark val="none"/>
        <c:tickLblPos val="nextTo"/>
        <c:crossAx val="351406336"/>
        <c:crosses val="autoZero"/>
        <c:crossBetween val="between"/>
      </c:valAx>
      <c:spPr>
        <a:solidFill>
          <a:schemeClr val="accent3">
            <a:lumMod val="20000"/>
            <a:lumOff val="80000"/>
          </a:schemeClr>
        </a:solidFill>
      </c:spPr>
    </c:plotArea>
    <c:legend>
      <c:legendPos val="r"/>
      <c:overlay val="0"/>
    </c:legend>
    <c:plotVisOnly val="1"/>
    <c:dispBlanksAs val="gap"/>
    <c:showDLblsOverMax val="0"/>
  </c:chart>
  <c:spPr>
    <a:solidFill>
      <a:srgbClr val="8064A2">
        <a:lumMod val="20000"/>
        <a:lumOff val="80000"/>
      </a:srgbClr>
    </a:solidFill>
  </c:sp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Pondere</c:v>
                </c:pt>
              </c:strCache>
            </c:strRef>
          </c:tx>
          <c:explosion val="25"/>
          <c:dPt>
            <c:idx val="0"/>
            <c:bubble3D val="0"/>
            <c:spPr>
              <a:solidFill>
                <a:schemeClr val="accent3">
                  <a:lumMod val="40000"/>
                  <a:lumOff val="60000"/>
                </a:schemeClr>
              </a:solidFill>
            </c:spPr>
            <c:extLst>
              <c:ext xmlns:c16="http://schemas.microsoft.com/office/drawing/2014/chart" uri="{C3380CC4-5D6E-409C-BE32-E72D297353CC}">
                <c16:uniqueId val="{00000001-348F-4FFB-AAE9-63E7E9A10AE7}"/>
              </c:ext>
            </c:extLst>
          </c:dPt>
          <c:dPt>
            <c:idx val="1"/>
            <c:bubble3D val="0"/>
            <c:spPr>
              <a:solidFill>
                <a:schemeClr val="tx2">
                  <a:lumMod val="60000"/>
                  <a:lumOff val="40000"/>
                </a:schemeClr>
              </a:solidFill>
            </c:spPr>
            <c:extLst>
              <c:ext xmlns:c16="http://schemas.microsoft.com/office/drawing/2014/chart" uri="{C3380CC4-5D6E-409C-BE32-E72D297353CC}">
                <c16:uniqueId val="{00000003-348F-4FFB-AAE9-63E7E9A10AE7}"/>
              </c:ext>
            </c:extLst>
          </c:dPt>
          <c:dPt>
            <c:idx val="2"/>
            <c:bubble3D val="0"/>
            <c:spPr>
              <a:solidFill>
                <a:schemeClr val="accent6">
                  <a:lumMod val="75000"/>
                </a:schemeClr>
              </a:solidFill>
            </c:spPr>
            <c:extLst>
              <c:ext xmlns:c16="http://schemas.microsoft.com/office/drawing/2014/chart" uri="{C3380CC4-5D6E-409C-BE32-E72D297353CC}">
                <c16:uniqueId val="{00000005-348F-4FFB-AAE9-63E7E9A10AE7}"/>
              </c:ext>
            </c:extLst>
          </c:dPt>
          <c:cat>
            <c:strRef>
              <c:f>Sheet1!$A$2:$A$4</c:f>
              <c:strCache>
                <c:ptCount val="3"/>
                <c:pt idx="0">
                  <c:v>Foioase</c:v>
                </c:pt>
                <c:pt idx="1">
                  <c:v>Cvercinee</c:v>
                </c:pt>
                <c:pt idx="2">
                  <c:v>Alte terenuri</c:v>
                </c:pt>
              </c:strCache>
            </c:strRef>
          </c:cat>
          <c:val>
            <c:numRef>
              <c:f>Sheet1!$B$2:$B$4</c:f>
              <c:numCache>
                <c:formatCode>General</c:formatCode>
                <c:ptCount val="3"/>
                <c:pt idx="0">
                  <c:v>98</c:v>
                </c:pt>
                <c:pt idx="1">
                  <c:v>1</c:v>
                </c:pt>
                <c:pt idx="2">
                  <c:v>1</c:v>
                </c:pt>
              </c:numCache>
            </c:numRef>
          </c:val>
          <c:extLst>
            <c:ext xmlns:c16="http://schemas.microsoft.com/office/drawing/2014/chart" uri="{C3380CC4-5D6E-409C-BE32-E72D297353CC}">
              <c16:uniqueId val="{00000006-348F-4FFB-AAE9-63E7E9A10AE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accent4">
        <a:lumMod val="20000"/>
        <a:lumOff val="80000"/>
        <a:alpha val="41000"/>
      </a:schemeClr>
    </a:solidFill>
  </c:sp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pieChart>
        <c:varyColors val="1"/>
        <c:ser>
          <c:idx val="0"/>
          <c:order val="0"/>
          <c:tx>
            <c:strRef>
              <c:f>Foaie1!$B$1</c:f>
              <c:strCache>
                <c:ptCount val="1"/>
                <c:pt idx="0">
                  <c:v>Suprafața (Ha)</c:v>
                </c:pt>
              </c:strCache>
            </c:strRef>
          </c:tx>
          <c:dPt>
            <c:idx val="0"/>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1-A73E-4052-A73D-167F9818268B}"/>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A73E-4052-A73D-167F9818268B}"/>
              </c:ext>
            </c:extLst>
          </c:dPt>
          <c:cat>
            <c:strRef>
              <c:f>Foaie1!$A$2:$A$3</c:f>
              <c:strCache>
                <c:ptCount val="2"/>
                <c:pt idx="0">
                  <c:v>Protecție</c:v>
                </c:pt>
                <c:pt idx="1">
                  <c:v>Producție și protecție</c:v>
                </c:pt>
              </c:strCache>
            </c:strRef>
          </c:cat>
          <c:val>
            <c:numRef>
              <c:f>Foaie1!$B$2:$B$3</c:f>
              <c:numCache>
                <c:formatCode>General</c:formatCode>
                <c:ptCount val="2"/>
                <c:pt idx="0">
                  <c:v>482</c:v>
                </c:pt>
                <c:pt idx="1">
                  <c:v>1010.47</c:v>
                </c:pt>
              </c:numCache>
            </c:numRef>
          </c:val>
          <c:extLst>
            <c:ext xmlns:c16="http://schemas.microsoft.com/office/drawing/2014/chart" uri="{C3380CC4-5D6E-409C-BE32-E72D297353CC}">
              <c16:uniqueId val="{00000004-A73E-4052-A73D-167F981826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Suprafata (ha)</c:v>
                </c:pt>
              </c:strCache>
            </c:strRef>
          </c:tx>
          <c:dPt>
            <c:idx val="0"/>
            <c:bubble3D val="0"/>
            <c:spPr>
              <a:solidFill>
                <a:schemeClr val="accent5">
                  <a:lumMod val="60000"/>
                  <a:lumOff val="40000"/>
                </a:schemeClr>
              </a:solidFill>
            </c:spPr>
            <c:extLst>
              <c:ext xmlns:c16="http://schemas.microsoft.com/office/drawing/2014/chart" uri="{C3380CC4-5D6E-409C-BE32-E72D297353CC}">
                <c16:uniqueId val="{00000001-D172-49F3-820A-140BBEBEAC4A}"/>
              </c:ext>
            </c:extLst>
          </c:dPt>
          <c:dPt>
            <c:idx val="2"/>
            <c:bubble3D val="0"/>
            <c:spPr>
              <a:solidFill>
                <a:srgbClr val="FFFF00"/>
              </a:solidFill>
            </c:spPr>
            <c:extLst>
              <c:ext xmlns:c16="http://schemas.microsoft.com/office/drawing/2014/chart" uri="{C3380CC4-5D6E-409C-BE32-E72D297353CC}">
                <c16:uniqueId val="{00000003-D172-49F3-820A-140BBEBEAC4A}"/>
              </c:ext>
            </c:extLst>
          </c:dPt>
          <c:dPt>
            <c:idx val="4"/>
            <c:bubble3D val="0"/>
            <c:spPr>
              <a:solidFill>
                <a:srgbClr val="00B050"/>
              </a:solidFill>
            </c:spPr>
            <c:extLst>
              <c:ext xmlns:c16="http://schemas.microsoft.com/office/drawing/2014/chart" uri="{C3380CC4-5D6E-409C-BE32-E72D297353CC}">
                <c16:uniqueId val="{00000005-D172-49F3-820A-140BBEBEAC4A}"/>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Protectia apelor</c:v>
                </c:pt>
                <c:pt idx="1">
                  <c:v>Protectia terenurilor degradate</c:v>
                </c:pt>
                <c:pt idx="2">
                  <c:v>Protecție contra factorilor climatici</c:v>
                </c:pt>
                <c:pt idx="3">
                  <c:v>Recreere</c:v>
                </c:pt>
                <c:pt idx="4">
                  <c:v>Rezervatii seminte</c:v>
                </c:pt>
                <c:pt idx="5">
                  <c:v>Ocrotirii faunei</c:v>
                </c:pt>
              </c:strCache>
            </c:strRef>
          </c:cat>
          <c:val>
            <c:numRef>
              <c:f>Sheet1!$B$2:$B$7</c:f>
              <c:numCache>
                <c:formatCode>General</c:formatCode>
                <c:ptCount val="6"/>
                <c:pt idx="0">
                  <c:v>12830</c:v>
                </c:pt>
                <c:pt idx="1">
                  <c:v>364</c:v>
                </c:pt>
                <c:pt idx="2">
                  <c:v>150</c:v>
                </c:pt>
                <c:pt idx="3">
                  <c:v>320</c:v>
                </c:pt>
                <c:pt idx="4">
                  <c:v>47</c:v>
                </c:pt>
                <c:pt idx="5">
                  <c:v>14585</c:v>
                </c:pt>
              </c:numCache>
            </c:numRef>
          </c:val>
          <c:extLst>
            <c:ext xmlns:c16="http://schemas.microsoft.com/office/drawing/2014/chart" uri="{C3380CC4-5D6E-409C-BE32-E72D297353CC}">
              <c16:uniqueId val="{00000006-D172-49F3-820A-140BBEBEAC4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77563509522145"/>
          <c:y val="2.3823840201792963E-2"/>
          <c:w val="0.32046819212872546"/>
          <c:h val="0.97543988819579375"/>
        </c:manualLayout>
      </c:layout>
      <c:overlay val="0"/>
    </c:legend>
    <c:plotVisOnly val="1"/>
    <c:dispBlanksAs val="gap"/>
    <c:showDLblsOverMax val="0"/>
  </c:chart>
  <c:spPr>
    <a:solidFill>
      <a:schemeClr val="accent6">
        <a:lumMod val="20000"/>
        <a:lumOff val="80000"/>
      </a:schemeClr>
    </a:solidFill>
    <a:ln>
      <a:solidFill>
        <a:srgbClr val="FFFF00"/>
      </a:solidFill>
    </a:ln>
  </c:sp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plotArea>
      <c:layout/>
      <c:areaChart>
        <c:grouping val="stacked"/>
        <c:varyColors val="0"/>
        <c:ser>
          <c:idx val="0"/>
          <c:order val="0"/>
          <c:tx>
            <c:strRef>
              <c:f>Sheet1!$B$1</c:f>
              <c:strCache>
                <c:ptCount val="1"/>
                <c:pt idx="0">
                  <c:v>Impadurire</c:v>
                </c:pt>
              </c:strCache>
            </c:strRef>
          </c:tx>
          <c:spPr>
            <a:solidFill>
              <a:schemeClr val="accent3">
                <a:lumMod val="75000"/>
              </a:schemeClr>
            </a:solidFill>
          </c:spPr>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444</c:v>
                </c:pt>
                <c:pt idx="1">
                  <c:v>324</c:v>
                </c:pt>
                <c:pt idx="2">
                  <c:v>330</c:v>
                </c:pt>
                <c:pt idx="3">
                  <c:v>365</c:v>
                </c:pt>
                <c:pt idx="4">
                  <c:v>365</c:v>
                </c:pt>
              </c:numCache>
            </c:numRef>
          </c:val>
          <c:extLst>
            <c:ext xmlns:c16="http://schemas.microsoft.com/office/drawing/2014/chart" uri="{C3380CC4-5D6E-409C-BE32-E72D297353CC}">
              <c16:uniqueId val="{00000000-9CB4-468C-8A67-DF61BFD7EBC3}"/>
            </c:ext>
          </c:extLst>
        </c:ser>
        <c:ser>
          <c:idx val="1"/>
          <c:order val="1"/>
          <c:tx>
            <c:strRef>
              <c:f>Sheet1!$C$1</c:f>
              <c:strCache>
                <c:ptCount val="1"/>
                <c:pt idx="0">
                  <c:v>Regenerare naturala</c:v>
                </c:pt>
              </c:strCache>
            </c:strRef>
          </c:tx>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130</c:v>
                </c:pt>
                <c:pt idx="1">
                  <c:v>121</c:v>
                </c:pt>
                <c:pt idx="2">
                  <c:v>125</c:v>
                </c:pt>
                <c:pt idx="3">
                  <c:v>151</c:v>
                </c:pt>
                <c:pt idx="4">
                  <c:v>151</c:v>
                </c:pt>
              </c:numCache>
            </c:numRef>
          </c:val>
          <c:extLst>
            <c:ext xmlns:c16="http://schemas.microsoft.com/office/drawing/2014/chart" uri="{C3380CC4-5D6E-409C-BE32-E72D297353CC}">
              <c16:uniqueId val="{00000001-9CB4-468C-8A67-DF61BFD7EBC3}"/>
            </c:ext>
          </c:extLst>
        </c:ser>
        <c:dLbls>
          <c:showLegendKey val="0"/>
          <c:showVal val="0"/>
          <c:showCatName val="0"/>
          <c:showSerName val="0"/>
          <c:showPercent val="0"/>
          <c:showBubbleSize val="0"/>
        </c:dLbls>
        <c:axId val="351135232"/>
        <c:axId val="351136768"/>
      </c:areaChart>
      <c:catAx>
        <c:axId val="351135232"/>
        <c:scaling>
          <c:orientation val="minMax"/>
        </c:scaling>
        <c:delete val="0"/>
        <c:axPos val="b"/>
        <c:numFmt formatCode="General" sourceLinked="1"/>
        <c:majorTickMark val="out"/>
        <c:minorTickMark val="none"/>
        <c:tickLblPos val="nextTo"/>
        <c:crossAx val="351136768"/>
        <c:crosses val="autoZero"/>
        <c:auto val="1"/>
        <c:lblAlgn val="ctr"/>
        <c:lblOffset val="100"/>
        <c:noMultiLvlLbl val="0"/>
      </c:catAx>
      <c:valAx>
        <c:axId val="351136768"/>
        <c:scaling>
          <c:orientation val="minMax"/>
        </c:scaling>
        <c:delete val="0"/>
        <c:axPos val="l"/>
        <c:majorGridlines/>
        <c:numFmt formatCode="General" sourceLinked="1"/>
        <c:majorTickMark val="out"/>
        <c:minorTickMark val="none"/>
        <c:tickLblPos val="nextTo"/>
        <c:crossAx val="351135232"/>
        <c:crosses val="autoZero"/>
        <c:crossBetween val="midCat"/>
      </c:valAx>
    </c:plotArea>
    <c:legend>
      <c:legendPos val="r"/>
      <c:overlay val="0"/>
    </c:legend>
    <c:plotVisOnly val="1"/>
    <c:dispBlanksAs val="zero"/>
    <c:showDLblsOverMax val="0"/>
  </c:chart>
  <c:spPr>
    <a:solidFill>
      <a:schemeClr val="accent4">
        <a:lumMod val="20000"/>
        <a:lumOff val="80000"/>
      </a:schemeClr>
    </a:solidFill>
  </c:sp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Tăieri de regenerare în crâng</c:v>
                </c:pt>
              </c:strCache>
            </c:strRef>
          </c:tx>
          <c:spPr>
            <a:solidFill>
              <a:schemeClr val="accent5">
                <a:lumMod val="75000"/>
              </a:schemeClr>
            </a:solidFill>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64.8</c:v>
                </c:pt>
                <c:pt idx="1">
                  <c:v>46.7</c:v>
                </c:pt>
                <c:pt idx="2">
                  <c:v>48</c:v>
                </c:pt>
                <c:pt idx="3">
                  <c:v>47</c:v>
                </c:pt>
                <c:pt idx="4">
                  <c:v>47</c:v>
                </c:pt>
              </c:numCache>
            </c:numRef>
          </c:val>
          <c:extLst>
            <c:ext xmlns:c16="http://schemas.microsoft.com/office/drawing/2014/chart" uri="{C3380CC4-5D6E-409C-BE32-E72D297353CC}">
              <c16:uniqueId val="{00000000-F026-40F1-90C6-599DA54DDC86}"/>
            </c:ext>
          </c:extLst>
        </c:ser>
        <c:ser>
          <c:idx val="1"/>
          <c:order val="1"/>
          <c:tx>
            <c:strRef>
              <c:f>Sheet1!$C$1</c:f>
              <c:strCache>
                <c:ptCount val="1"/>
                <c:pt idx="0">
                  <c:v>Tăieri de substituiri-refacere </c:v>
                </c:pt>
              </c:strCache>
            </c:strRef>
          </c:tx>
          <c:spPr>
            <a:solidFill>
              <a:schemeClr val="accent6">
                <a:lumMod val="60000"/>
                <a:lumOff val="40000"/>
              </a:schemeClr>
            </a:solidFill>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64.8</c:v>
                </c:pt>
                <c:pt idx="1">
                  <c:v>46.7</c:v>
                </c:pt>
                <c:pt idx="2">
                  <c:v>48</c:v>
                </c:pt>
                <c:pt idx="3">
                  <c:v>47</c:v>
                </c:pt>
                <c:pt idx="4">
                  <c:v>47</c:v>
                </c:pt>
              </c:numCache>
            </c:numRef>
          </c:val>
          <c:extLst>
            <c:ext xmlns:c16="http://schemas.microsoft.com/office/drawing/2014/chart" uri="{C3380CC4-5D6E-409C-BE32-E72D297353CC}">
              <c16:uniqueId val="{00000001-F026-40F1-90C6-599DA54DDC86}"/>
            </c:ext>
          </c:extLst>
        </c:ser>
        <c:dLbls>
          <c:showLegendKey val="0"/>
          <c:showVal val="0"/>
          <c:showCatName val="0"/>
          <c:showSerName val="0"/>
          <c:showPercent val="0"/>
          <c:showBubbleSize val="0"/>
        </c:dLbls>
        <c:gapWidth val="150"/>
        <c:axId val="353983872"/>
        <c:axId val="353985664"/>
      </c:barChart>
      <c:catAx>
        <c:axId val="353983872"/>
        <c:scaling>
          <c:orientation val="minMax"/>
        </c:scaling>
        <c:delete val="0"/>
        <c:axPos val="b"/>
        <c:numFmt formatCode="General" sourceLinked="1"/>
        <c:majorTickMark val="out"/>
        <c:minorTickMark val="none"/>
        <c:tickLblPos val="nextTo"/>
        <c:crossAx val="353985664"/>
        <c:crosses val="autoZero"/>
        <c:auto val="1"/>
        <c:lblAlgn val="ctr"/>
        <c:lblOffset val="100"/>
        <c:noMultiLvlLbl val="0"/>
      </c:catAx>
      <c:valAx>
        <c:axId val="353985664"/>
        <c:scaling>
          <c:orientation val="minMax"/>
        </c:scaling>
        <c:delete val="0"/>
        <c:axPos val="l"/>
        <c:majorGridlines/>
        <c:numFmt formatCode="General" sourceLinked="1"/>
        <c:majorTickMark val="out"/>
        <c:minorTickMark val="none"/>
        <c:tickLblPos val="nextTo"/>
        <c:crossAx val="353983872"/>
        <c:crosses val="autoZero"/>
        <c:crossBetween val="between"/>
      </c:valAx>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bar"/>
        <c:grouping val="clustered"/>
        <c:varyColors val="0"/>
        <c:ser>
          <c:idx val="0"/>
          <c:order val="0"/>
          <c:tx>
            <c:strRef>
              <c:f>Sheet1!$B$1</c:f>
              <c:strCache>
                <c:ptCount val="1"/>
                <c:pt idx="0">
                  <c:v>Suprafata afectata de incendii</c:v>
                </c:pt>
              </c:strCache>
            </c:strRef>
          </c:tx>
          <c:invertIfNegative val="0"/>
          <c:cat>
            <c:strRef>
              <c:f>Sheet1!$A$2:$A$6</c:f>
              <c:strCache>
                <c:ptCount val="5"/>
                <c:pt idx="0">
                  <c:v>Anul 2014</c:v>
                </c:pt>
                <c:pt idx="1">
                  <c:v>Anul 2015</c:v>
                </c:pt>
                <c:pt idx="2">
                  <c:v>Anul 2016</c:v>
                </c:pt>
                <c:pt idx="3">
                  <c:v>Anul 2017</c:v>
                </c:pt>
                <c:pt idx="4">
                  <c:v>Anul 2018</c:v>
                </c:pt>
              </c:strCache>
            </c:strRef>
          </c:cat>
          <c:val>
            <c:numRef>
              <c:f>Sheet1!$B$2:$B$6</c:f>
              <c:numCache>
                <c:formatCode>0.0</c:formatCode>
                <c:ptCount val="5"/>
                <c:pt idx="0">
                  <c:v>2.2000000000000002</c:v>
                </c:pt>
                <c:pt idx="1">
                  <c:v>0.2</c:v>
                </c:pt>
                <c:pt idx="2">
                  <c:v>0</c:v>
                </c:pt>
                <c:pt idx="3">
                  <c:v>0</c:v>
                </c:pt>
                <c:pt idx="4">
                  <c:v>2.5</c:v>
                </c:pt>
              </c:numCache>
            </c:numRef>
          </c:val>
          <c:extLst>
            <c:ext xmlns:c16="http://schemas.microsoft.com/office/drawing/2014/chart" uri="{C3380CC4-5D6E-409C-BE32-E72D297353CC}">
              <c16:uniqueId val="{00000000-1384-4F15-BDBF-14783C318320}"/>
            </c:ext>
          </c:extLst>
        </c:ser>
        <c:dLbls>
          <c:showLegendKey val="0"/>
          <c:showVal val="0"/>
          <c:showCatName val="0"/>
          <c:showSerName val="0"/>
          <c:showPercent val="0"/>
          <c:showBubbleSize val="0"/>
        </c:dLbls>
        <c:gapWidth val="150"/>
        <c:axId val="354001664"/>
        <c:axId val="354003200"/>
      </c:barChart>
      <c:catAx>
        <c:axId val="354001664"/>
        <c:scaling>
          <c:orientation val="minMax"/>
        </c:scaling>
        <c:delete val="0"/>
        <c:axPos val="l"/>
        <c:numFmt formatCode="General" sourceLinked="0"/>
        <c:majorTickMark val="out"/>
        <c:minorTickMark val="none"/>
        <c:tickLblPos val="nextTo"/>
        <c:crossAx val="354003200"/>
        <c:crosses val="autoZero"/>
        <c:auto val="1"/>
        <c:lblAlgn val="ctr"/>
        <c:lblOffset val="100"/>
        <c:noMultiLvlLbl val="0"/>
      </c:catAx>
      <c:valAx>
        <c:axId val="354003200"/>
        <c:scaling>
          <c:orientation val="minMax"/>
        </c:scaling>
        <c:delete val="0"/>
        <c:axPos val="b"/>
        <c:majorGridlines/>
        <c:numFmt formatCode="0.0" sourceLinked="1"/>
        <c:majorTickMark val="out"/>
        <c:minorTickMark val="none"/>
        <c:tickLblPos val="nextTo"/>
        <c:crossAx val="354001664"/>
        <c:crosses val="autoZero"/>
        <c:crossBetween val="between"/>
      </c:valAx>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344827586206896"/>
          <c:y val="3.1141868512110725E-2"/>
          <c:w val="0.54679802955665024"/>
          <c:h val="0.84429065743944631"/>
        </c:manualLayout>
      </c:layout>
      <c:bar3DChart>
        <c:barDir val="col"/>
        <c:grouping val="percentStacked"/>
        <c:varyColors val="0"/>
        <c:ser>
          <c:idx val="0"/>
          <c:order val="0"/>
          <c:tx>
            <c:strRef>
              <c:f>Sheet1!$A$2</c:f>
              <c:strCache>
                <c:ptCount val="1"/>
                <c:pt idx="0">
                  <c:v>deseuri din constructii si demolari</c:v>
                </c:pt>
              </c:strCache>
            </c:strRef>
          </c:tx>
          <c:spPr>
            <a:solidFill>
              <a:srgbClr val="9999FF"/>
            </a:solidFill>
            <a:ln w="12707">
              <a:solidFill>
                <a:srgbClr val="000000"/>
              </a:solidFill>
              <a:prstDash val="solid"/>
            </a:ln>
          </c:spPr>
          <c:invertIfNegative val="0"/>
          <c:dLbls>
            <c:spPr>
              <a:noFill/>
              <a:ln w="25413">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Sheet1!$B$2:$H$2</c:f>
              <c:numCache>
                <c:formatCode>General</c:formatCode>
                <c:ptCount val="7"/>
                <c:pt idx="0">
                  <c:v>10</c:v>
                </c:pt>
                <c:pt idx="1">
                  <c:v>4.9000000000000004</c:v>
                </c:pt>
                <c:pt idx="2">
                  <c:v>4.4000000000000004</c:v>
                </c:pt>
                <c:pt idx="3">
                  <c:v>30.5</c:v>
                </c:pt>
                <c:pt idx="4">
                  <c:v>28.7</c:v>
                </c:pt>
                <c:pt idx="5">
                  <c:v>4.21</c:v>
                </c:pt>
                <c:pt idx="6">
                  <c:v>3.68</c:v>
                </c:pt>
              </c:numCache>
            </c:numRef>
          </c:val>
          <c:extLst>
            <c:ext xmlns:c16="http://schemas.microsoft.com/office/drawing/2014/chart" uri="{C3380CC4-5D6E-409C-BE32-E72D297353CC}">
              <c16:uniqueId val="{00000000-03B7-47A4-935A-CF06DB8FC953}"/>
            </c:ext>
          </c:extLst>
        </c:ser>
        <c:ser>
          <c:idx val="1"/>
          <c:order val="1"/>
          <c:tx>
            <c:strRef>
              <c:f>Sheet1!$A$3</c:f>
              <c:strCache>
                <c:ptCount val="1"/>
                <c:pt idx="0">
                  <c:v>deseuri din servicii municipale</c:v>
                </c:pt>
              </c:strCache>
            </c:strRef>
          </c:tx>
          <c:spPr>
            <a:solidFill>
              <a:srgbClr val="FF8080"/>
            </a:solidFill>
            <a:ln w="12707">
              <a:solidFill>
                <a:srgbClr val="000000"/>
              </a:solidFill>
              <a:prstDash val="solid"/>
            </a:ln>
          </c:spPr>
          <c:invertIfNegative val="0"/>
          <c:dLbls>
            <c:spPr>
              <a:noFill/>
              <a:ln w="25413">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Sheet1!$B$3:$H$3</c:f>
              <c:numCache>
                <c:formatCode>General</c:formatCode>
                <c:ptCount val="7"/>
                <c:pt idx="0">
                  <c:v>14.1</c:v>
                </c:pt>
                <c:pt idx="1">
                  <c:v>16.7</c:v>
                </c:pt>
                <c:pt idx="2">
                  <c:v>18.8</c:v>
                </c:pt>
                <c:pt idx="3">
                  <c:v>18.600000000000001</c:v>
                </c:pt>
                <c:pt idx="4">
                  <c:v>19.600000000000001</c:v>
                </c:pt>
                <c:pt idx="5">
                  <c:v>22.01</c:v>
                </c:pt>
                <c:pt idx="6">
                  <c:v>18</c:v>
                </c:pt>
              </c:numCache>
            </c:numRef>
          </c:val>
          <c:extLst>
            <c:ext xmlns:c16="http://schemas.microsoft.com/office/drawing/2014/chart" uri="{C3380CC4-5D6E-409C-BE32-E72D297353CC}">
              <c16:uniqueId val="{00000001-03B7-47A4-935A-CF06DB8FC953}"/>
            </c:ext>
          </c:extLst>
        </c:ser>
        <c:ser>
          <c:idx val="2"/>
          <c:order val="2"/>
          <c:tx>
            <c:strRef>
              <c:f>Sheet1!$A$4</c:f>
              <c:strCache>
                <c:ptCount val="1"/>
                <c:pt idx="0">
                  <c:v>deseuri menajere si asimilabile</c:v>
                </c:pt>
              </c:strCache>
            </c:strRef>
          </c:tx>
          <c:spPr>
            <a:solidFill>
              <a:srgbClr val="FFFFCC"/>
            </a:solidFill>
            <a:ln w="12707">
              <a:solidFill>
                <a:srgbClr val="000000"/>
              </a:solidFill>
              <a:prstDash val="solid"/>
            </a:ln>
          </c:spPr>
          <c:invertIfNegative val="0"/>
          <c:dLbls>
            <c:spPr>
              <a:noFill/>
              <a:ln w="25413">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Sheet1!$B$4:$H$4</c:f>
              <c:numCache>
                <c:formatCode>General</c:formatCode>
                <c:ptCount val="7"/>
                <c:pt idx="0">
                  <c:v>50.7</c:v>
                </c:pt>
                <c:pt idx="1">
                  <c:v>49.3</c:v>
                </c:pt>
                <c:pt idx="2">
                  <c:v>53.8</c:v>
                </c:pt>
                <c:pt idx="3">
                  <c:v>46.9</c:v>
                </c:pt>
                <c:pt idx="4">
                  <c:v>52.9</c:v>
                </c:pt>
                <c:pt idx="5">
                  <c:v>56.8</c:v>
                </c:pt>
                <c:pt idx="6">
                  <c:v>58.32</c:v>
                </c:pt>
              </c:numCache>
            </c:numRef>
          </c:val>
          <c:extLst>
            <c:ext xmlns:c16="http://schemas.microsoft.com/office/drawing/2014/chart" uri="{C3380CC4-5D6E-409C-BE32-E72D297353CC}">
              <c16:uniqueId val="{00000002-03B7-47A4-935A-CF06DB8FC953}"/>
            </c:ext>
          </c:extLst>
        </c:ser>
        <c:ser>
          <c:idx val="3"/>
          <c:order val="3"/>
          <c:tx>
            <c:strRef>
              <c:f>Sheet1!$A$5</c:f>
              <c:strCache>
                <c:ptCount val="1"/>
                <c:pt idx="0">
                  <c:v>deseuri municipale generate si necolectate</c:v>
                </c:pt>
              </c:strCache>
            </c:strRef>
          </c:tx>
          <c:spPr>
            <a:solidFill>
              <a:srgbClr val="CCFFFF"/>
            </a:solidFill>
            <a:ln w="12707">
              <a:solidFill>
                <a:srgbClr val="000000"/>
              </a:solidFill>
              <a:prstDash val="solid"/>
            </a:ln>
          </c:spPr>
          <c:invertIfNegative val="0"/>
          <c:dLbls>
            <c:spPr>
              <a:noFill/>
              <a:ln w="25413">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Sheet1!$B$5:$H$5</c:f>
              <c:numCache>
                <c:formatCode>General</c:formatCode>
                <c:ptCount val="7"/>
                <c:pt idx="0">
                  <c:v>74.8</c:v>
                </c:pt>
                <c:pt idx="1">
                  <c:v>70.900000000000006</c:v>
                </c:pt>
                <c:pt idx="2">
                  <c:v>77</c:v>
                </c:pt>
                <c:pt idx="3">
                  <c:v>96</c:v>
                </c:pt>
                <c:pt idx="4">
                  <c:v>101</c:v>
                </c:pt>
                <c:pt idx="5">
                  <c:v>83</c:v>
                </c:pt>
                <c:pt idx="6">
                  <c:v>80</c:v>
                </c:pt>
              </c:numCache>
            </c:numRef>
          </c:val>
          <c:extLst>
            <c:ext xmlns:c16="http://schemas.microsoft.com/office/drawing/2014/chart" uri="{C3380CC4-5D6E-409C-BE32-E72D297353CC}">
              <c16:uniqueId val="{00000003-03B7-47A4-935A-CF06DB8FC953}"/>
            </c:ext>
          </c:extLst>
        </c:ser>
        <c:dLbls>
          <c:showLegendKey val="0"/>
          <c:showVal val="0"/>
          <c:showCatName val="0"/>
          <c:showSerName val="0"/>
          <c:showPercent val="0"/>
          <c:showBubbleSize val="0"/>
        </c:dLbls>
        <c:gapWidth val="150"/>
        <c:gapDepth val="0"/>
        <c:shape val="box"/>
        <c:axId val="44802400"/>
        <c:axId val="1"/>
        <c:axId val="0"/>
      </c:bar3DChart>
      <c:catAx>
        <c:axId val="44802400"/>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o-RO"/>
          </a:p>
        </c:txPr>
        <c:crossAx val="1"/>
        <c:crosses val="autoZero"/>
        <c:auto val="1"/>
        <c:lblAlgn val="ctr"/>
        <c:lblOffset val="100"/>
        <c:tickLblSkip val="1"/>
        <c:tickMarkSkip val="1"/>
        <c:noMultiLvlLbl val="0"/>
      </c:catAx>
      <c:valAx>
        <c:axId val="1"/>
        <c:scaling>
          <c:orientation val="minMax"/>
        </c:scaling>
        <c:delete val="0"/>
        <c:axPos val="l"/>
        <c:majorGridlines>
          <c:spPr>
            <a:ln w="3177">
              <a:solidFill>
                <a:srgbClr val="000000"/>
              </a:solidFill>
              <a:prstDash val="solid"/>
            </a:ln>
          </c:spPr>
        </c:majorGridlines>
        <c:numFmt formatCode="0%" sourceLinked="1"/>
        <c:majorTickMark val="out"/>
        <c:minorTickMark val="none"/>
        <c:tickLblPos val="nextTo"/>
        <c:spPr>
          <a:ln w="3177">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o-RO"/>
          </a:p>
        </c:txPr>
        <c:crossAx val="44802400"/>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00000" mc:Ignorable="a14" a14:legacySpreadsheetColorIndex="9">
                <a:gamma/>
                <a:shade val="46275"/>
                <a:invGamma/>
              </a:srgbClr>
            </a:gs>
          </a:gsLst>
          <a:path path="rect">
            <a:fillToRect l="50000" t="50000" r="50000" b="50000"/>
          </a:path>
        </a:gradFill>
        <a:ln w="25413">
          <a:noFill/>
        </a:ln>
      </c:spPr>
    </c:plotArea>
    <c:legend>
      <c:legendPos val="r"/>
      <c:layout>
        <c:manualLayout>
          <c:xMode val="edge"/>
          <c:yMode val="edge"/>
          <c:x val="0.66830865454420485"/>
          <c:y val="0.24221449904968775"/>
          <c:w val="0.32512322211769351"/>
          <c:h val="0.51557100190062455"/>
        </c:manualLayout>
      </c:layout>
      <c:overlay val="0"/>
      <c:spPr>
        <a:noFill/>
        <a:ln w="3177">
          <a:solidFill>
            <a:srgbClr val="000000"/>
          </a:solidFill>
          <a:prstDash val="solid"/>
        </a:ln>
      </c:spPr>
      <c:txPr>
        <a:bodyPr/>
        <a:lstStyle/>
        <a:p>
          <a:pPr>
            <a:defRPr sz="921" b="0" i="0" u="none" strike="noStrike" baseline="0">
              <a:solidFill>
                <a:srgbClr val="000000"/>
              </a:solidFill>
              <a:latin typeface="Arial"/>
              <a:ea typeface="Arial"/>
              <a:cs typeface="Arial"/>
            </a:defRPr>
          </a:pPr>
          <a:endParaRPr lang="ro-RO"/>
        </a:p>
      </c:txPr>
    </c:legend>
    <c:plotVisOnly val="1"/>
    <c:dispBlanksAs val="gap"/>
    <c:showDLblsOverMax val="0"/>
  </c:chart>
  <c:spPr>
    <a:solidFill>
      <a:srgbClr val="FFFFFF"/>
    </a:solidFill>
    <a:ln w="3177">
      <a:solidFill>
        <a:srgbClr val="000000"/>
      </a:solidFill>
      <a:prstDash val="solid"/>
    </a:ln>
  </c:spPr>
  <c:txPr>
    <a:bodyPr/>
    <a:lstStyle/>
    <a:p>
      <a:pPr>
        <a:defRPr sz="1198" b="1" i="0" u="none" strike="noStrike" baseline="0">
          <a:solidFill>
            <a:srgbClr val="000000"/>
          </a:solidFill>
          <a:latin typeface="Calibri"/>
          <a:ea typeface="Calibri"/>
          <a:cs typeface="Calibri"/>
        </a:defRPr>
      </a:pPr>
      <a:endParaRPr lang="ro-R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0.0256</cdr:x>
      <cdr:y>0.66809</cdr:y>
    </cdr:from>
    <cdr:to>
      <cdr:x>0.1472</cdr:x>
      <cdr:y>0.75161</cdr:y>
    </cdr:to>
    <cdr:sp macro="" textlink="">
      <cdr:nvSpPr>
        <cdr:cNvPr id="2" name="TextBox 1"/>
        <cdr:cNvSpPr txBox="1"/>
      </cdr:nvSpPr>
      <cdr:spPr>
        <a:xfrm xmlns:a="http://schemas.openxmlformats.org/drawingml/2006/main">
          <a:off x="152400" y="2971800"/>
          <a:ext cx="72390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o-RO" sz="1100"/>
        </a:p>
      </cdr:txBody>
    </cdr:sp>
  </cdr:relSizeAnchor>
</c:userShapes>
</file>

<file path=word/drawings/drawing2.xml><?xml version="1.0" encoding="utf-8"?>
<c:userShapes xmlns:c="http://schemas.openxmlformats.org/drawingml/2006/chart">
  <cdr:relSizeAnchor xmlns:cdr="http://schemas.openxmlformats.org/drawingml/2006/chartDrawing">
    <cdr:from>
      <cdr:x>0.65598</cdr:x>
      <cdr:y>0.13944</cdr:y>
    </cdr:from>
    <cdr:to>
      <cdr:x>0.91848</cdr:x>
      <cdr:y>0.22278</cdr:y>
    </cdr:to>
    <cdr:sp macro="" textlink="">
      <cdr:nvSpPr>
        <cdr:cNvPr id="2" name="TextBox 1"/>
        <cdr:cNvSpPr txBox="1"/>
      </cdr:nvSpPr>
      <cdr:spPr>
        <a:xfrm xmlns:a="http://schemas.openxmlformats.org/drawingml/2006/main">
          <a:off x="3930094" y="454910"/>
          <a:ext cx="1572697" cy="2718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i="1">
              <a:solidFill>
                <a:srgbClr val="FF0000"/>
              </a:solidFill>
            </a:rPr>
            <a:t>media 2013-2017</a:t>
          </a:r>
        </a:p>
      </cdr:txBody>
    </cdr:sp>
  </cdr:relSizeAnchor>
</c:userShapes>
</file>

<file path=word/drawings/drawing3.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0.37414</cdr:x>
      <cdr:y>0.59091</cdr:y>
    </cdr:from>
    <cdr:to>
      <cdr:x>0.50697</cdr:x>
      <cdr:y>0.67727</cdr:y>
    </cdr:to>
    <cdr:sp macro="" textlink="">
      <cdr:nvSpPr>
        <cdr:cNvPr id="4" name="TextBox 3"/>
        <cdr:cNvSpPr txBox="1"/>
      </cdr:nvSpPr>
      <cdr:spPr>
        <a:xfrm xmlns:a="http://schemas.openxmlformats.org/drawingml/2006/main">
          <a:off x="2016784" y="1121434"/>
          <a:ext cx="715993" cy="163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1100"/>
            <a:t>81,81%</a:t>
          </a:r>
        </a:p>
        <a:p xmlns:a="http://schemas.openxmlformats.org/drawingml/2006/main">
          <a:endParaRPr lang="ro-RO" sz="1100"/>
        </a:p>
      </cdr:txBody>
    </cdr:sp>
  </cdr:relSizeAnchor>
  <cdr:relSizeAnchor xmlns:cdr="http://schemas.openxmlformats.org/drawingml/2006/chartDrawing">
    <cdr:from>
      <cdr:x>0.19651</cdr:x>
      <cdr:y>0.33636</cdr:y>
    </cdr:from>
    <cdr:to>
      <cdr:x>0.28612</cdr:x>
      <cdr:y>0.46364</cdr:y>
    </cdr:to>
    <cdr:sp macro="" textlink="">
      <cdr:nvSpPr>
        <cdr:cNvPr id="5" name="TextBox 4"/>
        <cdr:cNvSpPr txBox="1"/>
      </cdr:nvSpPr>
      <cdr:spPr>
        <a:xfrm xmlns:a="http://schemas.openxmlformats.org/drawingml/2006/main">
          <a:off x="1059252" y="638354"/>
          <a:ext cx="483079" cy="2415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6,3</a:t>
          </a:r>
        </a:p>
        <a:p xmlns:a="http://schemas.openxmlformats.org/drawingml/2006/main">
          <a:endParaRPr lang="ro-RO" sz="1100"/>
        </a:p>
      </cdr:txBody>
    </cdr:sp>
  </cdr:relSizeAnchor>
  <cdr:relSizeAnchor xmlns:cdr="http://schemas.openxmlformats.org/drawingml/2006/chartDrawing">
    <cdr:from>
      <cdr:x>0.26052</cdr:x>
      <cdr:y>0.31818</cdr:y>
    </cdr:from>
    <cdr:to>
      <cdr:x>0.37414</cdr:x>
      <cdr:y>0.42727</cdr:y>
    </cdr:to>
    <cdr:sp macro="" textlink="">
      <cdr:nvSpPr>
        <cdr:cNvPr id="6" name="TextBox 5"/>
        <cdr:cNvSpPr txBox="1"/>
      </cdr:nvSpPr>
      <cdr:spPr>
        <a:xfrm xmlns:a="http://schemas.openxmlformats.org/drawingml/2006/main">
          <a:off x="1404308" y="603849"/>
          <a:ext cx="612476" cy="2070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5,14</a:t>
          </a:r>
        </a:p>
        <a:p xmlns:a="http://schemas.openxmlformats.org/drawingml/2006/main">
          <a:endParaRPr lang="ro-RO" sz="1100"/>
        </a:p>
      </cdr:txBody>
    </cdr:sp>
  </cdr:relSizeAnchor>
  <cdr:relSizeAnchor xmlns:cdr="http://schemas.openxmlformats.org/drawingml/2006/chartDrawing">
    <cdr:from>
      <cdr:x>0.26372</cdr:x>
      <cdr:y>0.25</cdr:y>
    </cdr:from>
    <cdr:to>
      <cdr:x>0.3664</cdr:x>
      <cdr:y>0.38182</cdr:y>
    </cdr:to>
    <cdr:sp macro="" textlink="">
      <cdr:nvSpPr>
        <cdr:cNvPr id="7" name="TextBox 6"/>
        <cdr:cNvSpPr txBox="1"/>
      </cdr:nvSpPr>
      <cdr:spPr>
        <a:xfrm xmlns:a="http://schemas.openxmlformats.org/drawingml/2006/main">
          <a:off x="1323147" y="480923"/>
          <a:ext cx="515178" cy="2535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1,72</a:t>
          </a:r>
        </a:p>
      </cdr:txBody>
    </cdr:sp>
  </cdr:relSizeAnchor>
  <cdr:relSizeAnchor xmlns:cdr="http://schemas.openxmlformats.org/drawingml/2006/chartDrawing">
    <cdr:from>
      <cdr:x>0.29699</cdr:x>
      <cdr:y>0.1911</cdr:y>
    </cdr:from>
    <cdr:to>
      <cdr:x>0.38821</cdr:x>
      <cdr:y>0.34564</cdr:y>
    </cdr:to>
    <cdr:sp macro="" textlink="">
      <cdr:nvSpPr>
        <cdr:cNvPr id="8" name="TextBox 7"/>
        <cdr:cNvSpPr txBox="1"/>
      </cdr:nvSpPr>
      <cdr:spPr>
        <a:xfrm xmlns:a="http://schemas.openxmlformats.org/drawingml/2006/main">
          <a:off x="1490510" y="334651"/>
          <a:ext cx="457813" cy="270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800"/>
            <a:t>2,96</a:t>
          </a:r>
        </a:p>
        <a:p xmlns:a="http://schemas.openxmlformats.org/drawingml/2006/main">
          <a:endParaRPr lang="ro-RO" sz="1100"/>
        </a:p>
      </cdr:txBody>
    </cdr:sp>
  </cdr:relSizeAnchor>
  <cdr:relSizeAnchor xmlns:cdr="http://schemas.openxmlformats.org/drawingml/2006/chartDrawing">
    <cdr:from>
      <cdr:x>0.33881</cdr:x>
      <cdr:y>0.22628</cdr:y>
    </cdr:from>
    <cdr:to>
      <cdr:x>0.42683</cdr:x>
      <cdr:y>0.34901</cdr:y>
    </cdr:to>
    <cdr:sp macro="" textlink="">
      <cdr:nvSpPr>
        <cdr:cNvPr id="9" name="TextBox 8"/>
        <cdr:cNvSpPr txBox="1"/>
      </cdr:nvSpPr>
      <cdr:spPr>
        <a:xfrm xmlns:a="http://schemas.openxmlformats.org/drawingml/2006/main">
          <a:off x="1804252" y="482134"/>
          <a:ext cx="468729" cy="2615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1,72</a:t>
          </a:r>
        </a:p>
        <a:p xmlns:a="http://schemas.openxmlformats.org/drawingml/2006/main">
          <a:endParaRPr lang="ro-RO" sz="1100"/>
        </a:p>
      </cdr:txBody>
    </cdr:sp>
  </cdr:relSizeAnchor>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dr:relSizeAnchor xmlns:cdr="http://schemas.openxmlformats.org/drawingml/2006/chartDrawing">
    <cdr:from>
      <cdr:x>0.48272</cdr:x>
      <cdr:y>0.5027</cdr:y>
    </cdr:from>
    <cdr:to>
      <cdr:x>0.47653</cdr:x>
      <cdr:y>0.63205</cdr:y>
    </cdr:to>
    <cdr:sp macro="" textlink="">
      <cdr:nvSpPr>
        <cdr:cNvPr id="2"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1351</TotalTime>
  <Pages>171</Pages>
  <Words>60413</Words>
  <Characters>350401</Characters>
  <Application>Microsoft Office Word</Application>
  <DocSecurity>0</DocSecurity>
  <Lines>2920</Lines>
  <Paragraphs>819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aurel.banuta</dc:creator>
  <cp:keywords/>
  <dc:description/>
  <cp:lastModifiedBy>Aurel Banuta</cp:lastModifiedBy>
  <cp:revision>125</cp:revision>
  <cp:lastPrinted>2019-07-04T09:51:00Z</cp:lastPrinted>
  <dcterms:created xsi:type="dcterms:W3CDTF">2018-08-06T10:10:00Z</dcterms:created>
  <dcterms:modified xsi:type="dcterms:W3CDTF">2019-08-13T06:46:00Z</dcterms:modified>
</cp:coreProperties>
</file>